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05119744"/>
        <w:docPartObj>
          <w:docPartGallery w:val="Cover Pages"/>
          <w:docPartUnique/>
        </w:docPartObj>
      </w:sdtPr>
      <w:sdtEndPr>
        <w:rPr>
          <w:rFonts w:ascii="Book Antiqua" w:hAnsi="Book Antiqua"/>
          <w:b/>
          <w:sz w:val="28"/>
          <w:szCs w:val="28"/>
        </w:rPr>
      </w:sdtEndPr>
      <w:sdtContent>
        <w:p w14:paraId="78AD05AF" w14:textId="77777777" w:rsidR="00AC72C9" w:rsidRDefault="00AC72C9"/>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AC72C9" w14:paraId="00481E9E" w14:textId="77777777">
            <w:sdt>
              <w:sdtPr>
                <w:rPr>
                  <w:rFonts w:ascii="Georgia" w:hAnsi="Georgia"/>
                  <w:sz w:val="24"/>
                  <w:szCs w:val="24"/>
                </w:rPr>
                <w:alias w:val="Company"/>
                <w:id w:val="13406915"/>
                <w:placeholder>
                  <w:docPart w:val="2EFB3C2D518C483990DFCD26A12DE07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BFFC8B" w14:textId="77777777" w:rsidR="00AC72C9" w:rsidRPr="00AC72C9" w:rsidRDefault="00AC72C9">
                    <w:pPr>
                      <w:pStyle w:val="NoSpacing"/>
                      <w:rPr>
                        <w:rFonts w:ascii="Georgia" w:hAnsi="Georgia"/>
                        <w:sz w:val="24"/>
                      </w:rPr>
                    </w:pPr>
                    <w:r w:rsidRPr="00AC72C9">
                      <w:rPr>
                        <w:rFonts w:ascii="Georgia" w:hAnsi="Georgia"/>
                        <w:sz w:val="24"/>
                        <w:szCs w:val="24"/>
                      </w:rPr>
                      <w:t>California Lutheran University</w:t>
                    </w:r>
                  </w:p>
                </w:tc>
              </w:sdtContent>
            </w:sdt>
          </w:tr>
          <w:tr w:rsidR="00AC72C9" w14:paraId="3400CCDB" w14:textId="77777777">
            <w:tc>
              <w:tcPr>
                <w:tcW w:w="7672" w:type="dxa"/>
              </w:tcPr>
              <w:bookmarkStart w:id="0" w:name="_Hlk186454267" w:displacedByCustomXml="next"/>
              <w:sdt>
                <w:sdtPr>
                  <w:rPr>
                    <w:rFonts w:ascii="Georgia" w:eastAsiaTheme="majorEastAsia" w:hAnsi="Georgia" w:cstheme="majorBidi"/>
                    <w:sz w:val="64"/>
                    <w:szCs w:val="64"/>
                  </w:rPr>
                  <w:alias w:val="Title"/>
                  <w:id w:val="13406919"/>
                  <w:placeholder>
                    <w:docPart w:val="7BBF96D588034F7C9B5B1384BF7687E8"/>
                  </w:placeholder>
                  <w:dataBinding w:prefixMappings="xmlns:ns0='http://schemas.openxmlformats.org/package/2006/metadata/core-properties' xmlns:ns1='http://purl.org/dc/elements/1.1/'" w:xpath="/ns0:coreProperties[1]/ns1:title[1]" w:storeItemID="{6C3C8BC8-F283-45AE-878A-BAB7291924A1}"/>
                  <w:text/>
                </w:sdtPr>
                <w:sdtEndPr/>
                <w:sdtContent>
                  <w:p w14:paraId="69CB36C3" w14:textId="0E6E1DF0" w:rsidR="00AC72C9" w:rsidRPr="00AC72C9" w:rsidRDefault="00134445">
                    <w:pPr>
                      <w:pStyle w:val="NoSpacing"/>
                      <w:spacing w:line="216" w:lineRule="auto"/>
                      <w:rPr>
                        <w:rFonts w:ascii="Georgia" w:eastAsiaTheme="majorEastAsia" w:hAnsi="Georgia" w:cstheme="majorBidi"/>
                        <w:sz w:val="64"/>
                        <w:szCs w:val="64"/>
                      </w:rPr>
                    </w:pPr>
                    <w:r w:rsidRPr="00134445">
                      <w:rPr>
                        <w:rFonts w:ascii="Georgia" w:eastAsiaTheme="majorEastAsia" w:hAnsi="Georgia" w:cstheme="majorBidi"/>
                        <w:sz w:val="64"/>
                        <w:szCs w:val="64"/>
                      </w:rPr>
                      <w:t xml:space="preserve">Targeting Emissions:  Comparing </w:t>
                    </w:r>
                    <w:r w:rsidR="00A11EB1">
                      <w:rPr>
                        <w:rFonts w:ascii="Georgia" w:eastAsiaTheme="majorEastAsia" w:hAnsi="Georgia" w:cstheme="majorBidi"/>
                        <w:sz w:val="64"/>
                        <w:szCs w:val="64"/>
                      </w:rPr>
                      <w:t xml:space="preserve">California </w:t>
                    </w:r>
                    <w:r w:rsidRPr="00134445">
                      <w:rPr>
                        <w:rFonts w:ascii="Georgia" w:eastAsiaTheme="majorEastAsia" w:hAnsi="Georgia" w:cstheme="majorBidi"/>
                        <w:sz w:val="64"/>
                        <w:szCs w:val="64"/>
                      </w:rPr>
                      <w:t xml:space="preserve">Climate Policy </w:t>
                    </w:r>
                    <w:bookmarkStart w:id="1" w:name="_Hlk203126544"/>
                    <w:r w:rsidR="00A11EB1">
                      <w:rPr>
                        <w:rFonts w:ascii="Georgia" w:eastAsiaTheme="majorEastAsia" w:hAnsi="Georgia" w:cstheme="majorBidi"/>
                        <w:sz w:val="64"/>
                        <w:szCs w:val="64"/>
                      </w:rPr>
                      <w:t>Impacts</w:t>
                    </w:r>
                  </w:p>
                </w:sdtContent>
              </w:sdt>
              <w:bookmarkEnd w:id="1" w:displacedByCustomXml="prev"/>
              <w:bookmarkEnd w:id="0" w:displacedByCustomXml="prev"/>
            </w:tc>
          </w:tr>
          <w:tr w:rsidR="00AC72C9" w14:paraId="5E35298C" w14:textId="77777777">
            <w:tc>
              <w:tcPr>
                <w:tcW w:w="7672" w:type="dxa"/>
                <w:tcMar>
                  <w:top w:w="216" w:type="dxa"/>
                  <w:left w:w="115" w:type="dxa"/>
                  <w:bottom w:w="216" w:type="dxa"/>
                  <w:right w:w="115" w:type="dxa"/>
                </w:tcMar>
              </w:tcPr>
              <w:p w14:paraId="62967AA0" w14:textId="1017FEA0" w:rsidR="00AC72C9" w:rsidRDefault="005F45A4">
                <w:pPr>
                  <w:pStyle w:val="NoSpacing"/>
                  <w:rPr>
                    <w:rFonts w:ascii="Georgia" w:hAnsi="Georgia"/>
                    <w:sz w:val="24"/>
                  </w:rPr>
                </w:pPr>
                <w:r>
                  <w:rPr>
                    <w:rFonts w:ascii="Georgia" w:hAnsi="Georgia"/>
                    <w:sz w:val="24"/>
                  </w:rPr>
                  <w:t>ECON 5</w:t>
                </w:r>
                <w:r w:rsidR="00167D6F">
                  <w:rPr>
                    <w:rFonts w:ascii="Georgia" w:hAnsi="Georgia"/>
                    <w:sz w:val="24"/>
                  </w:rPr>
                  <w:t>55</w:t>
                </w:r>
                <w:r>
                  <w:rPr>
                    <w:rFonts w:ascii="Georgia" w:hAnsi="Georgia"/>
                    <w:sz w:val="24"/>
                  </w:rPr>
                  <w:t xml:space="preserve">: </w:t>
                </w:r>
                <w:r w:rsidR="00167D6F">
                  <w:rPr>
                    <w:rFonts w:ascii="Georgia" w:hAnsi="Georgia"/>
                    <w:sz w:val="24"/>
                  </w:rPr>
                  <w:t>Environmental Economics</w:t>
                </w:r>
              </w:p>
              <w:p w14:paraId="490F0937" w14:textId="64B760D1" w:rsidR="005F45A4" w:rsidRDefault="00167D6F">
                <w:pPr>
                  <w:pStyle w:val="NoSpacing"/>
                  <w:rPr>
                    <w:rFonts w:ascii="Georgia" w:hAnsi="Georgia"/>
                    <w:sz w:val="24"/>
                  </w:rPr>
                </w:pPr>
                <w:r>
                  <w:rPr>
                    <w:rFonts w:ascii="Georgia" w:hAnsi="Georgia"/>
                    <w:sz w:val="24"/>
                  </w:rPr>
                  <w:t xml:space="preserve">Matthew </w:t>
                </w:r>
                <w:proofErr w:type="spellStart"/>
                <w:r>
                  <w:rPr>
                    <w:rFonts w:ascii="Georgia" w:hAnsi="Georgia"/>
                    <w:sz w:val="24"/>
                  </w:rPr>
                  <w:t>Fienup</w:t>
                </w:r>
                <w:proofErr w:type="spellEnd"/>
              </w:p>
              <w:p w14:paraId="1DBFB2A5" w14:textId="439E896E" w:rsidR="005F45A4" w:rsidRPr="00AC72C9" w:rsidRDefault="009B4379">
                <w:pPr>
                  <w:pStyle w:val="NoSpacing"/>
                  <w:rPr>
                    <w:rFonts w:ascii="Georgia" w:hAnsi="Georgia"/>
                    <w:sz w:val="24"/>
                  </w:rPr>
                </w:pPr>
                <w:r>
                  <w:rPr>
                    <w:rFonts w:ascii="Georgia" w:hAnsi="Georgia"/>
                    <w:sz w:val="24"/>
                  </w:rPr>
                  <w:t>Summer</w:t>
                </w:r>
                <w:r w:rsidR="005F45A4">
                  <w:rPr>
                    <w:rFonts w:ascii="Georgia" w:hAnsi="Georgia"/>
                    <w:sz w:val="24"/>
                  </w:rPr>
                  <w:t xml:space="preserve"> 20</w:t>
                </w:r>
                <w:r w:rsidR="00C65696">
                  <w:rPr>
                    <w:rFonts w:ascii="Georgia" w:hAnsi="Georgia"/>
                    <w:sz w:val="24"/>
                  </w:rPr>
                  <w:t>25</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72C9" w14:paraId="55041159" w14:textId="77777777">
            <w:tc>
              <w:tcPr>
                <w:tcW w:w="7221" w:type="dxa"/>
                <w:tcMar>
                  <w:top w:w="216" w:type="dxa"/>
                  <w:left w:w="115" w:type="dxa"/>
                  <w:bottom w:w="216" w:type="dxa"/>
                  <w:right w:w="115" w:type="dxa"/>
                </w:tcMar>
              </w:tcPr>
              <w:sdt>
                <w:sdtPr>
                  <w:rPr>
                    <w:rFonts w:ascii="Georgia" w:hAnsi="Georgia"/>
                    <w:sz w:val="28"/>
                    <w:szCs w:val="28"/>
                  </w:rPr>
                  <w:alias w:val="Author"/>
                  <w:id w:val="13406928"/>
                  <w:placeholder>
                    <w:docPart w:val="128995AA6C8E4C00AC5C506E3CB7A8C6"/>
                  </w:placeholder>
                  <w:dataBinding w:prefixMappings="xmlns:ns0='http://schemas.openxmlformats.org/package/2006/metadata/core-properties' xmlns:ns1='http://purl.org/dc/elements/1.1/'" w:xpath="/ns0:coreProperties[1]/ns1:creator[1]" w:storeItemID="{6C3C8BC8-F283-45AE-878A-BAB7291924A1}"/>
                  <w:text/>
                </w:sdtPr>
                <w:sdtEndPr/>
                <w:sdtContent>
                  <w:p w14:paraId="3887D63F" w14:textId="246475D0" w:rsidR="00AC72C9" w:rsidRPr="00AC72C9" w:rsidRDefault="008D6C72">
                    <w:pPr>
                      <w:pStyle w:val="NoSpacing"/>
                      <w:rPr>
                        <w:rFonts w:ascii="Georgia" w:hAnsi="Georgia"/>
                        <w:sz w:val="28"/>
                        <w:szCs w:val="28"/>
                      </w:rPr>
                    </w:pPr>
                    <w:r>
                      <w:rPr>
                        <w:rFonts w:ascii="Georgia" w:hAnsi="Georgia"/>
                        <w:sz w:val="28"/>
                        <w:szCs w:val="28"/>
                      </w:rPr>
                      <w:t>Shaun Levenson</w:t>
                    </w:r>
                  </w:p>
                </w:sdtContent>
              </w:sdt>
              <w:sdt>
                <w:sdtPr>
                  <w:rPr>
                    <w:rFonts w:ascii="Georgia" w:hAnsi="Georgia"/>
                    <w:sz w:val="28"/>
                    <w:szCs w:val="28"/>
                  </w:rPr>
                  <w:alias w:val="Date"/>
                  <w:tag w:val="Date"/>
                  <w:id w:val="13406932"/>
                  <w:placeholder>
                    <w:docPart w:val="2DBA519A5C50494AB7231190AE524EEB"/>
                  </w:placeholder>
                  <w:dataBinding w:prefixMappings="xmlns:ns0='http://schemas.microsoft.com/office/2006/coverPageProps'" w:xpath="/ns0:CoverPageProperties[1]/ns0:PublishDate[1]" w:storeItemID="{55AF091B-3C7A-41E3-B477-F2FDAA23CFDA}"/>
                  <w:date w:fullDate="2025-08-15T00:00:00Z">
                    <w:dateFormat w:val="M-d-yyyy"/>
                    <w:lid w:val="en-US"/>
                    <w:storeMappedDataAs w:val="dateTime"/>
                    <w:calendar w:val="gregorian"/>
                  </w:date>
                </w:sdtPr>
                <w:sdtEndPr/>
                <w:sdtContent>
                  <w:p w14:paraId="16D719C3" w14:textId="21864080" w:rsidR="005F45A4" w:rsidRPr="005F45A4" w:rsidRDefault="004F4124">
                    <w:pPr>
                      <w:pStyle w:val="NoSpacing"/>
                      <w:rPr>
                        <w:sz w:val="28"/>
                        <w:szCs w:val="28"/>
                      </w:rPr>
                    </w:pPr>
                    <w:r>
                      <w:rPr>
                        <w:rFonts w:ascii="Georgia" w:hAnsi="Georgia"/>
                        <w:sz w:val="28"/>
                        <w:szCs w:val="28"/>
                      </w:rPr>
                      <w:t>8</w:t>
                    </w:r>
                    <w:r w:rsidR="009B4379">
                      <w:rPr>
                        <w:rFonts w:ascii="Georgia" w:hAnsi="Georgia"/>
                        <w:sz w:val="28"/>
                        <w:szCs w:val="28"/>
                      </w:rPr>
                      <w:t>-</w:t>
                    </w:r>
                    <w:r w:rsidR="00167D6F">
                      <w:rPr>
                        <w:rFonts w:ascii="Georgia" w:hAnsi="Georgia"/>
                        <w:sz w:val="28"/>
                        <w:szCs w:val="28"/>
                      </w:rPr>
                      <w:t>1</w:t>
                    </w:r>
                    <w:r w:rsidR="00134445">
                      <w:rPr>
                        <w:rFonts w:ascii="Georgia" w:hAnsi="Georgia"/>
                        <w:sz w:val="28"/>
                        <w:szCs w:val="28"/>
                      </w:rPr>
                      <w:t>5</w:t>
                    </w:r>
                    <w:r w:rsidR="00675E7E">
                      <w:rPr>
                        <w:rFonts w:ascii="Georgia" w:hAnsi="Georgia"/>
                        <w:sz w:val="28"/>
                        <w:szCs w:val="28"/>
                      </w:rPr>
                      <w:t>-2025</w:t>
                    </w:r>
                  </w:p>
                </w:sdtContent>
              </w:sdt>
            </w:tc>
          </w:tr>
        </w:tbl>
        <w:p w14:paraId="577C3611" w14:textId="77777777" w:rsidR="00167D6F" w:rsidRDefault="00AC72C9">
          <w:pPr>
            <w:rPr>
              <w:rFonts w:ascii="Book Antiqua" w:hAnsi="Book Antiqua"/>
              <w:b/>
              <w:sz w:val="28"/>
              <w:szCs w:val="28"/>
            </w:rPr>
          </w:pPr>
          <w:r>
            <w:rPr>
              <w:rFonts w:ascii="Book Antiqua" w:hAnsi="Book Antiqua"/>
              <w:b/>
              <w:sz w:val="28"/>
              <w:szCs w:val="28"/>
            </w:rPr>
            <w:br w:type="page"/>
          </w:r>
        </w:p>
      </w:sdtContent>
    </w:sdt>
    <w:p w14:paraId="5A5C4050" w14:textId="1D9A4234" w:rsidR="00134445" w:rsidRPr="00583F90" w:rsidRDefault="00134445" w:rsidP="00134445">
      <w:pPr>
        <w:spacing w:line="324" w:lineRule="auto"/>
        <w:jc w:val="center"/>
        <w:rPr>
          <w:rFonts w:ascii="Book Antiqua" w:hAnsi="Book Antiqua"/>
          <w:b/>
          <w:sz w:val="24"/>
          <w:szCs w:val="24"/>
        </w:rPr>
      </w:pPr>
      <w:r w:rsidRPr="00583F90">
        <w:rPr>
          <w:rFonts w:ascii="Book Antiqua" w:hAnsi="Book Antiqua"/>
          <w:b/>
          <w:sz w:val="24"/>
          <w:szCs w:val="24"/>
        </w:rPr>
        <w:lastRenderedPageBreak/>
        <w:t xml:space="preserve">Targeting Emissions: Comparing </w:t>
      </w:r>
      <w:r w:rsidR="00A11EB1" w:rsidRPr="00583F90">
        <w:rPr>
          <w:rFonts w:ascii="Book Antiqua" w:hAnsi="Book Antiqua"/>
          <w:b/>
          <w:sz w:val="24"/>
          <w:szCs w:val="24"/>
        </w:rPr>
        <w:t xml:space="preserve">California </w:t>
      </w:r>
      <w:r w:rsidRPr="00583F90">
        <w:rPr>
          <w:rFonts w:ascii="Book Antiqua" w:hAnsi="Book Antiqua"/>
          <w:b/>
          <w:sz w:val="24"/>
          <w:szCs w:val="24"/>
        </w:rPr>
        <w:t xml:space="preserve">Climate Policy </w:t>
      </w:r>
      <w:r w:rsidR="00A11EB1" w:rsidRPr="00583F90">
        <w:rPr>
          <w:rFonts w:ascii="Book Antiqua" w:hAnsi="Book Antiqua"/>
          <w:b/>
          <w:sz w:val="24"/>
          <w:szCs w:val="24"/>
        </w:rPr>
        <w:t>Impacts</w:t>
      </w:r>
    </w:p>
    <w:p w14:paraId="57DD1E68" w14:textId="77777777" w:rsidR="006D5CAB" w:rsidRPr="00583F90" w:rsidRDefault="006D5CAB" w:rsidP="00134445">
      <w:pPr>
        <w:spacing w:line="324" w:lineRule="auto"/>
        <w:jc w:val="center"/>
        <w:rPr>
          <w:rFonts w:ascii="Book Antiqua" w:hAnsi="Book Antiqua"/>
          <w:b/>
          <w:sz w:val="24"/>
          <w:szCs w:val="24"/>
        </w:rPr>
      </w:pPr>
    </w:p>
    <w:p w14:paraId="3BF18532" w14:textId="4A2DCE9D" w:rsidR="00167D6F" w:rsidRPr="00583F90" w:rsidRDefault="00167D6F" w:rsidP="00167D6F">
      <w:pPr>
        <w:spacing w:line="324" w:lineRule="auto"/>
        <w:rPr>
          <w:rFonts w:ascii="Book Antiqua" w:hAnsi="Book Antiqua"/>
          <w:b/>
          <w:sz w:val="24"/>
          <w:szCs w:val="24"/>
        </w:rPr>
      </w:pPr>
      <w:r w:rsidRPr="00583F90">
        <w:rPr>
          <w:rFonts w:ascii="Book Antiqua" w:hAnsi="Book Antiqua"/>
          <w:b/>
          <w:sz w:val="24"/>
          <w:szCs w:val="24"/>
        </w:rPr>
        <w:t>Introduction</w:t>
      </w:r>
    </w:p>
    <w:p w14:paraId="09EA53D8" w14:textId="2472797E" w:rsidR="005F33BB" w:rsidRPr="00583F90" w:rsidRDefault="00134445" w:rsidP="00167D6F">
      <w:pPr>
        <w:spacing w:line="324" w:lineRule="auto"/>
        <w:rPr>
          <w:rFonts w:ascii="Book Antiqua" w:hAnsi="Book Antiqua"/>
          <w:bCs/>
          <w:sz w:val="24"/>
          <w:szCs w:val="24"/>
        </w:rPr>
      </w:pPr>
      <w:r w:rsidRPr="00583F90">
        <w:rPr>
          <w:rFonts w:ascii="Book Antiqua" w:hAnsi="Book Antiqua"/>
          <w:b/>
          <w:sz w:val="24"/>
          <w:szCs w:val="24"/>
        </w:rPr>
        <w:tab/>
      </w:r>
      <w:r w:rsidR="00754A4C" w:rsidRPr="00583F90">
        <w:rPr>
          <w:rFonts w:ascii="Book Antiqua" w:hAnsi="Book Antiqua"/>
          <w:bCs/>
          <w:sz w:val="24"/>
          <w:szCs w:val="24"/>
        </w:rPr>
        <w:t>Greenhouse gas emissions impose serious social and environmental costs, making effective reduction policies increasingly urgent. While AB-32 has reduced emissions in California’s power sector, broader impacts have been limited, and equity concerns persist—particularly in low-income and minority communities facing localized pollution increases (Boyce, 2018; Lessman, 2024). This brief evaluates three major climate policy tools—RPS, LCFS, and Cap-and-Trade—across four criteria: unit effectiveness, cost effectiveness, efficiency, and equity. It concludes with recommendations to strengthen both the impact and fairness of AB-32.</w:t>
      </w:r>
    </w:p>
    <w:p w14:paraId="4A5F99BD" w14:textId="77777777" w:rsidR="00123022" w:rsidRPr="00583F90" w:rsidRDefault="00123022" w:rsidP="00167D6F">
      <w:pPr>
        <w:spacing w:line="324" w:lineRule="auto"/>
        <w:rPr>
          <w:rFonts w:ascii="Book Antiqua" w:hAnsi="Book Antiqua"/>
          <w:bCs/>
          <w:sz w:val="24"/>
          <w:szCs w:val="24"/>
        </w:rPr>
      </w:pPr>
    </w:p>
    <w:p w14:paraId="7B760FCC" w14:textId="6474B6D6" w:rsidR="00167D6F" w:rsidRPr="00583F90" w:rsidRDefault="00167D6F" w:rsidP="00167D6F">
      <w:pPr>
        <w:spacing w:line="324" w:lineRule="auto"/>
        <w:rPr>
          <w:rFonts w:ascii="Book Antiqua" w:hAnsi="Book Antiqua"/>
          <w:b/>
          <w:sz w:val="24"/>
          <w:szCs w:val="24"/>
        </w:rPr>
      </w:pPr>
      <w:r w:rsidRPr="00583F90">
        <w:rPr>
          <w:rFonts w:ascii="Book Antiqua" w:hAnsi="Book Antiqua"/>
          <w:b/>
          <w:sz w:val="24"/>
          <w:szCs w:val="24"/>
        </w:rPr>
        <w:t>Motivation</w:t>
      </w:r>
    </w:p>
    <w:p w14:paraId="5A2D8A1C" w14:textId="6B97A418" w:rsidR="003471D1" w:rsidRPr="00583F90" w:rsidRDefault="00134445" w:rsidP="00167D6F">
      <w:pPr>
        <w:spacing w:line="324" w:lineRule="auto"/>
        <w:rPr>
          <w:rFonts w:ascii="Book Antiqua" w:hAnsi="Book Antiqua"/>
          <w:bCs/>
          <w:sz w:val="24"/>
          <w:szCs w:val="24"/>
        </w:rPr>
      </w:pPr>
      <w:r w:rsidRPr="00583F90">
        <w:rPr>
          <w:rFonts w:ascii="Book Antiqua" w:hAnsi="Book Antiqua"/>
          <w:b/>
          <w:sz w:val="24"/>
          <w:szCs w:val="24"/>
        </w:rPr>
        <w:tab/>
      </w:r>
      <w:r w:rsidRPr="00583F90">
        <w:rPr>
          <w:rFonts w:ascii="Book Antiqua" w:hAnsi="Book Antiqua"/>
          <w:bCs/>
          <w:sz w:val="24"/>
          <w:szCs w:val="24"/>
        </w:rPr>
        <w:t xml:space="preserve">Economists and policymakers have a critical role to play in addressing environmental challenges, particularly those related to greenhouse gas emissions. These emissions represent a significant negative externality, imposing widespread costs on ecosystems, public health, agricultural productivity, and long-term economic stability. Because these damages are not reflected in market prices, individuals and firms tend to emit more than is socially optimal, resulting in excessive pollution. This market failure leads to a substantial loss of </w:t>
      </w:r>
      <w:r w:rsidR="003471D1" w:rsidRPr="00583F90">
        <w:rPr>
          <w:rFonts w:ascii="Book Antiqua" w:hAnsi="Book Antiqua"/>
          <w:bCs/>
          <w:sz w:val="24"/>
          <w:szCs w:val="24"/>
        </w:rPr>
        <w:t>social</w:t>
      </w:r>
      <w:r w:rsidRPr="00583F90">
        <w:rPr>
          <w:rFonts w:ascii="Book Antiqua" w:hAnsi="Book Antiqua"/>
          <w:bCs/>
          <w:sz w:val="24"/>
          <w:szCs w:val="24"/>
        </w:rPr>
        <w:t xml:space="preserve"> welfare. </w:t>
      </w:r>
    </w:p>
    <w:p w14:paraId="3036138E" w14:textId="77777777" w:rsidR="00CC0972" w:rsidRPr="00583F90" w:rsidRDefault="00CC0972" w:rsidP="00167D6F">
      <w:pPr>
        <w:spacing w:line="324" w:lineRule="auto"/>
        <w:rPr>
          <w:rFonts w:ascii="Book Antiqua" w:hAnsi="Book Antiqua"/>
          <w:bCs/>
          <w:sz w:val="24"/>
          <w:szCs w:val="24"/>
          <w:u w:val="single"/>
        </w:rPr>
      </w:pPr>
    </w:p>
    <w:p w14:paraId="60BFF983" w14:textId="2C4BD408" w:rsidR="00EB5468" w:rsidRPr="00583F90" w:rsidRDefault="00134445" w:rsidP="00167D6F">
      <w:pPr>
        <w:spacing w:line="324" w:lineRule="auto"/>
        <w:rPr>
          <w:rFonts w:ascii="Book Antiqua" w:hAnsi="Book Antiqua"/>
          <w:bCs/>
          <w:sz w:val="24"/>
          <w:szCs w:val="24"/>
          <w:u w:val="single"/>
        </w:rPr>
      </w:pPr>
      <w:r w:rsidRPr="00583F90">
        <w:rPr>
          <w:rFonts w:ascii="Book Antiqua" w:hAnsi="Book Antiqua"/>
          <w:bCs/>
          <w:sz w:val="24"/>
          <w:szCs w:val="24"/>
          <w:u w:val="single"/>
        </w:rPr>
        <w:t>Social Economic Costs</w:t>
      </w:r>
      <w:r w:rsidR="00416F86" w:rsidRPr="00583F90">
        <w:rPr>
          <w:rFonts w:ascii="Book Antiqua" w:hAnsi="Book Antiqua"/>
          <w:bCs/>
          <w:sz w:val="24"/>
          <w:szCs w:val="24"/>
          <w:u w:val="single"/>
        </w:rPr>
        <w:t xml:space="preserve"> – Negative Externality</w:t>
      </w:r>
    </w:p>
    <w:p w14:paraId="11FEABEA" w14:textId="77777777" w:rsidR="00416F86" w:rsidRPr="00583F90" w:rsidRDefault="00416F86" w:rsidP="00CC0972">
      <w:pPr>
        <w:spacing w:line="324" w:lineRule="auto"/>
        <w:ind w:firstLine="720"/>
        <w:rPr>
          <w:rFonts w:ascii="Book Antiqua" w:hAnsi="Book Antiqua"/>
          <w:bCs/>
          <w:sz w:val="24"/>
          <w:szCs w:val="24"/>
        </w:rPr>
      </w:pPr>
      <w:r w:rsidRPr="00583F90">
        <w:rPr>
          <w:rFonts w:ascii="Book Antiqua" w:hAnsi="Book Antiqua"/>
          <w:bCs/>
          <w:sz w:val="24"/>
          <w:szCs w:val="24"/>
        </w:rPr>
        <w:t xml:space="preserve">To understand why emissions policy matters, we must first consider the concept of externalities—costs or benefits from economic activities that affect </w:t>
      </w:r>
      <w:proofErr w:type="gramStart"/>
      <w:r w:rsidRPr="00583F90">
        <w:rPr>
          <w:rFonts w:ascii="Book Antiqua" w:hAnsi="Book Antiqua"/>
          <w:bCs/>
          <w:sz w:val="24"/>
          <w:szCs w:val="24"/>
        </w:rPr>
        <w:t>people</w:t>
      </w:r>
      <w:proofErr w:type="gramEnd"/>
      <w:r w:rsidRPr="00583F90">
        <w:rPr>
          <w:rFonts w:ascii="Book Antiqua" w:hAnsi="Book Antiqua"/>
          <w:bCs/>
          <w:sz w:val="24"/>
          <w:szCs w:val="24"/>
        </w:rPr>
        <w:t xml:space="preserve"> not directly involved in those activities. Negative externalities occur when activities, such as greenhouse gas emissions, create costs for others—for example, air pollution imposes health and property damages on society. By contrast, positive externalities provide benefits beyond the immediate actors, as with vaccination that improves public health at large.</w:t>
      </w:r>
    </w:p>
    <w:p w14:paraId="7215DE50" w14:textId="0D55B13B" w:rsidR="00416F86" w:rsidRPr="00583F90" w:rsidRDefault="00416F86" w:rsidP="00416F86">
      <w:pPr>
        <w:spacing w:line="324" w:lineRule="auto"/>
        <w:ind w:firstLine="720"/>
        <w:rPr>
          <w:rFonts w:ascii="Book Antiqua" w:hAnsi="Book Antiqua"/>
          <w:bCs/>
          <w:sz w:val="24"/>
          <w:szCs w:val="24"/>
        </w:rPr>
      </w:pPr>
      <w:r w:rsidRPr="00583F90">
        <w:rPr>
          <w:rFonts w:ascii="Book Antiqua" w:hAnsi="Book Antiqua"/>
          <w:bCs/>
          <w:sz w:val="24"/>
          <w:szCs w:val="24"/>
        </w:rPr>
        <w:t xml:space="preserve">These external effects result in market failure because market prices do not capture all spillover costs or benefits. As a consequence, goods with negative externalities like fossil fuel emissions tend to be overproduced, while those with </w:t>
      </w:r>
      <w:r w:rsidRPr="00583F90">
        <w:rPr>
          <w:rFonts w:ascii="Book Antiqua" w:hAnsi="Book Antiqua"/>
          <w:bCs/>
          <w:sz w:val="24"/>
          <w:szCs w:val="24"/>
        </w:rPr>
        <w:lastRenderedPageBreak/>
        <w:t>positive externalities are underproduced. In the context of climate change, the competitive equilibrium—where supply meets demand—ignores external costs, leading to an inefficiently high level of pollution. When we factor in the social cost—the full cost to society—the supply curve shifts, reducing the optimal quantity produced and raising the socially efficient price. The deadweight loss that results from this gap represents real welfare losses: society bears unnecessary harm or foregoes potential benefits simply because the market outcome does not reflect the true costs.</w:t>
      </w:r>
    </w:p>
    <w:p w14:paraId="4BFE86A4" w14:textId="240069AF" w:rsidR="00416F86" w:rsidRPr="00583F90" w:rsidRDefault="003913E6" w:rsidP="003913E6">
      <w:pPr>
        <w:spacing w:line="324" w:lineRule="auto"/>
        <w:rPr>
          <w:rFonts w:ascii="Book Antiqua" w:hAnsi="Book Antiqua"/>
          <w:bCs/>
          <w:sz w:val="24"/>
          <w:szCs w:val="24"/>
        </w:rPr>
      </w:pPr>
      <w:r w:rsidRPr="00583F90">
        <w:rPr>
          <w:rFonts w:ascii="Book Antiqua" w:hAnsi="Book Antiqua"/>
          <w:b/>
          <w:noProof/>
          <w:sz w:val="24"/>
          <w:szCs w:val="24"/>
        </w:rPr>
        <w:drawing>
          <wp:anchor distT="0" distB="0" distL="114300" distR="114300" simplePos="0" relativeHeight="251661312" behindDoc="1" locked="0" layoutInCell="1" allowOverlap="1" wp14:anchorId="17D4EF5E" wp14:editId="27641208">
            <wp:simplePos x="0" y="0"/>
            <wp:positionH relativeFrom="margin">
              <wp:align>left</wp:align>
            </wp:positionH>
            <wp:positionV relativeFrom="paragraph">
              <wp:posOffset>7620</wp:posOffset>
            </wp:positionV>
            <wp:extent cx="2633345" cy="2916555"/>
            <wp:effectExtent l="0" t="0" r="0" b="0"/>
            <wp:wrapSquare wrapText="bothSides"/>
            <wp:docPr id="890022070" name="Picture 1" descr="A graph of damage caused by greenhouse g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2070" name="Picture 1" descr="A graph of damage caused by greenhouse gas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2916555"/>
                    </a:xfrm>
                    <a:prstGeom prst="rect">
                      <a:avLst/>
                    </a:prstGeom>
                    <a:noFill/>
                  </pic:spPr>
                </pic:pic>
              </a:graphicData>
            </a:graphic>
            <wp14:sizeRelH relativeFrom="page">
              <wp14:pctWidth>0</wp14:pctWidth>
            </wp14:sizeRelH>
            <wp14:sizeRelV relativeFrom="page">
              <wp14:pctHeight>0</wp14:pctHeight>
            </wp14:sizeRelV>
          </wp:anchor>
        </w:drawing>
      </w:r>
      <w:r w:rsidR="00416F86" w:rsidRPr="00583F90">
        <w:rPr>
          <w:rFonts w:ascii="Book Antiqua" w:hAnsi="Book Antiqua"/>
          <w:bCs/>
          <w:sz w:val="24"/>
          <w:szCs w:val="24"/>
        </w:rPr>
        <w:t>To address this inefficiency, economists use the idea of the social cost of greenhouse gases: the estimated dollar value of the climate damage caused by emitting just one additional ton of greenhouse gases. According to EPA estimates at a 2% discount rate, a ton of carbon dioxide (CO</w:t>
      </w:r>
      <w:r w:rsidR="00416F86" w:rsidRPr="00583F90">
        <w:rPr>
          <w:rFonts w:ascii="Cambria Math" w:hAnsi="Cambria Math" w:cs="Cambria Math"/>
          <w:bCs/>
          <w:sz w:val="24"/>
          <w:szCs w:val="24"/>
        </w:rPr>
        <w:t>₂</w:t>
      </w:r>
      <w:r w:rsidR="00416F86" w:rsidRPr="00583F90">
        <w:rPr>
          <w:rFonts w:ascii="Book Antiqua" w:hAnsi="Book Antiqua"/>
          <w:bCs/>
          <w:sz w:val="24"/>
          <w:szCs w:val="24"/>
        </w:rPr>
        <w:t>) causes about</w:t>
      </w:r>
      <w:r w:rsidR="00416F86" w:rsidRPr="00583F90">
        <w:rPr>
          <w:rFonts w:ascii="Book Antiqua" w:hAnsi="Book Antiqua" w:cs="Book Antiqua"/>
          <w:bCs/>
          <w:sz w:val="24"/>
          <w:szCs w:val="24"/>
        </w:rPr>
        <w:t> </w:t>
      </w:r>
      <w:r w:rsidR="00416F86" w:rsidRPr="00583F90">
        <w:rPr>
          <w:rFonts w:ascii="Book Antiqua" w:hAnsi="Book Antiqua"/>
          <w:bCs/>
          <w:sz w:val="24"/>
          <w:szCs w:val="24"/>
        </w:rPr>
        <w:t>$190 in damages, while methane (CH</w:t>
      </w:r>
      <w:r w:rsidR="00416F86" w:rsidRPr="00583F90">
        <w:rPr>
          <w:rFonts w:ascii="Cambria Math" w:hAnsi="Cambria Math" w:cs="Cambria Math"/>
          <w:bCs/>
          <w:sz w:val="24"/>
          <w:szCs w:val="24"/>
        </w:rPr>
        <w:t>₄</w:t>
      </w:r>
      <w:r w:rsidR="00416F86" w:rsidRPr="00583F90">
        <w:rPr>
          <w:rFonts w:ascii="Book Antiqua" w:hAnsi="Book Antiqua"/>
          <w:bCs/>
          <w:sz w:val="24"/>
          <w:szCs w:val="24"/>
        </w:rPr>
        <w:t>) and nitrous oxide (N</w:t>
      </w:r>
      <w:r w:rsidR="00416F86" w:rsidRPr="00583F90">
        <w:rPr>
          <w:rFonts w:ascii="Cambria Math" w:hAnsi="Cambria Math" w:cs="Cambria Math"/>
          <w:bCs/>
          <w:sz w:val="24"/>
          <w:szCs w:val="24"/>
        </w:rPr>
        <w:t>₂</w:t>
      </w:r>
      <w:r w:rsidR="00416F86" w:rsidRPr="00583F90">
        <w:rPr>
          <w:rFonts w:ascii="Book Antiqua" w:hAnsi="Book Antiqua"/>
          <w:bCs/>
          <w:sz w:val="24"/>
          <w:szCs w:val="24"/>
        </w:rPr>
        <w:t xml:space="preserve">O) are far more </w:t>
      </w:r>
      <w:proofErr w:type="gramStart"/>
      <w:r w:rsidR="00416F86" w:rsidRPr="00583F90">
        <w:rPr>
          <w:rFonts w:ascii="Book Antiqua" w:hAnsi="Book Antiqua"/>
          <w:bCs/>
          <w:sz w:val="24"/>
          <w:szCs w:val="24"/>
        </w:rPr>
        <w:t>potent</w:t>
      </w:r>
      <w:r w:rsidR="00416F86" w:rsidRPr="00583F90">
        <w:rPr>
          <w:rFonts w:ascii="Book Antiqua" w:hAnsi="Book Antiqua" w:cs="Book Antiqua"/>
          <w:bCs/>
          <w:sz w:val="24"/>
          <w:szCs w:val="24"/>
        </w:rPr>
        <w:t>—</w:t>
      </w:r>
      <w:r w:rsidR="00416F86" w:rsidRPr="00583F90">
        <w:rPr>
          <w:rFonts w:ascii="Book Antiqua" w:hAnsi="Book Antiqua"/>
          <w:bCs/>
          <w:sz w:val="24"/>
          <w:szCs w:val="24"/>
        </w:rPr>
        <w:t>resulting</w:t>
      </w:r>
      <w:proofErr w:type="gramEnd"/>
      <w:r w:rsidR="00416F86" w:rsidRPr="00583F90">
        <w:rPr>
          <w:rFonts w:ascii="Book Antiqua" w:hAnsi="Book Antiqua"/>
          <w:bCs/>
          <w:sz w:val="24"/>
          <w:szCs w:val="24"/>
        </w:rPr>
        <w:t xml:space="preserve"> in costs of roughly</w:t>
      </w:r>
      <w:r w:rsidR="00416F86" w:rsidRPr="00583F90">
        <w:rPr>
          <w:rFonts w:ascii="Book Antiqua" w:hAnsi="Book Antiqua" w:cs="Book Antiqua"/>
          <w:bCs/>
          <w:sz w:val="24"/>
          <w:szCs w:val="24"/>
        </w:rPr>
        <w:t> </w:t>
      </w:r>
      <w:r w:rsidR="00416F86" w:rsidRPr="00583F90">
        <w:rPr>
          <w:rFonts w:ascii="Book Antiqua" w:hAnsi="Book Antiqua"/>
          <w:bCs/>
          <w:sz w:val="24"/>
          <w:szCs w:val="24"/>
        </w:rPr>
        <w:t>$1,600 and $54,000 per ton, respectively. These values are expected to climb by 2025, reaching approximately $210 for CO</w:t>
      </w:r>
      <w:r w:rsidR="00416F86" w:rsidRPr="00583F90">
        <w:rPr>
          <w:rFonts w:ascii="Cambria Math" w:hAnsi="Cambria Math" w:cs="Cambria Math"/>
          <w:bCs/>
          <w:sz w:val="24"/>
          <w:szCs w:val="24"/>
        </w:rPr>
        <w:t>₂</w:t>
      </w:r>
      <w:r w:rsidR="00416F86" w:rsidRPr="00583F90">
        <w:rPr>
          <w:rFonts w:ascii="Book Antiqua" w:hAnsi="Book Antiqua"/>
          <w:bCs/>
          <w:sz w:val="24"/>
          <w:szCs w:val="24"/>
        </w:rPr>
        <w:t>,</w:t>
      </w:r>
      <w:r w:rsidR="00416F86" w:rsidRPr="00583F90">
        <w:rPr>
          <w:rFonts w:ascii="Book Antiqua" w:hAnsi="Book Antiqua" w:cs="Book Antiqua"/>
          <w:bCs/>
          <w:sz w:val="24"/>
          <w:szCs w:val="24"/>
        </w:rPr>
        <w:t> </w:t>
      </w:r>
      <w:r w:rsidR="00416F86" w:rsidRPr="00583F90">
        <w:rPr>
          <w:rFonts w:ascii="Book Antiqua" w:hAnsi="Book Antiqua"/>
          <w:bCs/>
          <w:sz w:val="24"/>
          <w:szCs w:val="24"/>
        </w:rPr>
        <w:t>$2,000 for CH</w:t>
      </w:r>
      <w:r w:rsidR="00416F86" w:rsidRPr="00583F90">
        <w:rPr>
          <w:rFonts w:ascii="Cambria Math" w:hAnsi="Cambria Math" w:cs="Cambria Math"/>
          <w:bCs/>
          <w:sz w:val="24"/>
          <w:szCs w:val="24"/>
        </w:rPr>
        <w:t>₄</w:t>
      </w:r>
      <w:r w:rsidR="00416F86" w:rsidRPr="00583F90">
        <w:rPr>
          <w:rFonts w:ascii="Book Antiqua" w:hAnsi="Book Antiqua"/>
          <w:bCs/>
          <w:sz w:val="24"/>
          <w:szCs w:val="24"/>
        </w:rPr>
        <w:t>, and</w:t>
      </w:r>
      <w:r w:rsidR="00416F86" w:rsidRPr="00583F90">
        <w:rPr>
          <w:rFonts w:ascii="Book Antiqua" w:hAnsi="Book Antiqua" w:cs="Book Antiqua"/>
          <w:bCs/>
          <w:sz w:val="24"/>
          <w:szCs w:val="24"/>
        </w:rPr>
        <w:t> </w:t>
      </w:r>
      <w:r w:rsidR="00416F86" w:rsidRPr="00583F90">
        <w:rPr>
          <w:rFonts w:ascii="Book Antiqua" w:hAnsi="Book Antiqua"/>
          <w:bCs/>
          <w:sz w:val="24"/>
          <w:szCs w:val="24"/>
        </w:rPr>
        <w:t>$60,000 for N</w:t>
      </w:r>
      <w:r w:rsidR="00416F86" w:rsidRPr="00583F90">
        <w:rPr>
          <w:rFonts w:ascii="Cambria Math" w:hAnsi="Cambria Math" w:cs="Cambria Math"/>
          <w:bCs/>
          <w:sz w:val="24"/>
          <w:szCs w:val="24"/>
        </w:rPr>
        <w:t>₂</w:t>
      </w:r>
      <w:r w:rsidR="00416F86" w:rsidRPr="00583F90">
        <w:rPr>
          <w:rFonts w:ascii="Book Antiqua" w:hAnsi="Book Antiqua"/>
          <w:bCs/>
          <w:sz w:val="24"/>
          <w:szCs w:val="24"/>
        </w:rPr>
        <w:t>O. Using these EPA estimates and projected U.S. emissions, the total</w:t>
      </w:r>
      <w:r w:rsidR="00416F86" w:rsidRPr="00583F90">
        <w:rPr>
          <w:rFonts w:ascii="Book Antiqua" w:hAnsi="Book Antiqua" w:cs="Book Antiqua"/>
          <w:bCs/>
          <w:sz w:val="24"/>
          <w:szCs w:val="24"/>
        </w:rPr>
        <w:t> </w:t>
      </w:r>
      <w:r w:rsidR="00416F86" w:rsidRPr="00583F90">
        <w:rPr>
          <w:rFonts w:ascii="Book Antiqua" w:hAnsi="Book Antiqua"/>
          <w:bCs/>
          <w:sz w:val="24"/>
          <w:szCs w:val="24"/>
        </w:rPr>
        <w:t xml:space="preserve">social cost of U.S. emissions in 2025 is estimated to be about $1.22 trillion. </w:t>
      </w:r>
    </w:p>
    <w:p w14:paraId="52154D91" w14:textId="56ABAE37" w:rsidR="00CC0972" w:rsidRPr="00583F90" w:rsidRDefault="00416F86" w:rsidP="00754A4C">
      <w:pPr>
        <w:spacing w:line="324" w:lineRule="auto"/>
        <w:ind w:firstLine="360"/>
        <w:rPr>
          <w:rFonts w:ascii="Book Antiqua" w:hAnsi="Book Antiqua"/>
          <w:bCs/>
          <w:sz w:val="24"/>
          <w:szCs w:val="24"/>
        </w:rPr>
      </w:pPr>
      <w:r w:rsidRPr="00583F90">
        <w:rPr>
          <w:rFonts w:ascii="Book Antiqua" w:hAnsi="Book Antiqua"/>
          <w:bCs/>
          <w:sz w:val="24"/>
          <w:szCs w:val="24"/>
        </w:rPr>
        <w:t>To solve these problems, policies must be designed to align private</w:t>
      </w:r>
      <w:r w:rsidR="00CC0972" w:rsidRPr="00583F90">
        <w:rPr>
          <w:rFonts w:ascii="Book Antiqua" w:hAnsi="Book Antiqua"/>
          <w:bCs/>
          <w:sz w:val="24"/>
          <w:szCs w:val="24"/>
        </w:rPr>
        <w:t xml:space="preserve"> i</w:t>
      </w:r>
      <w:r w:rsidRPr="00583F90">
        <w:rPr>
          <w:rFonts w:ascii="Book Antiqua" w:hAnsi="Book Antiqua"/>
          <w:bCs/>
          <w:sz w:val="24"/>
          <w:szCs w:val="24"/>
        </w:rPr>
        <w:t xml:space="preserve">ncentives with social costs, internalizing the externalities and leading to more efficient outcomes. </w:t>
      </w:r>
    </w:p>
    <w:p w14:paraId="7D69440C" w14:textId="3406F2F6" w:rsidR="006D5CAB" w:rsidRPr="00583F90" w:rsidRDefault="006D5CAB" w:rsidP="00167D6F">
      <w:pPr>
        <w:spacing w:line="324" w:lineRule="auto"/>
        <w:rPr>
          <w:rFonts w:ascii="Book Antiqua" w:hAnsi="Book Antiqua"/>
          <w:b/>
          <w:sz w:val="24"/>
          <w:szCs w:val="24"/>
        </w:rPr>
      </w:pPr>
    </w:p>
    <w:p w14:paraId="4ABAEA1F" w14:textId="5C7C8E4E" w:rsidR="00416951" w:rsidRPr="00583F90" w:rsidRDefault="00167D6F" w:rsidP="00CC7ABF">
      <w:pPr>
        <w:spacing w:line="324" w:lineRule="auto"/>
        <w:rPr>
          <w:rFonts w:ascii="Book Antiqua" w:hAnsi="Book Antiqua"/>
          <w:b/>
          <w:sz w:val="24"/>
          <w:szCs w:val="24"/>
        </w:rPr>
      </w:pPr>
      <w:r w:rsidRPr="00583F90">
        <w:rPr>
          <w:rFonts w:ascii="Book Antiqua" w:hAnsi="Book Antiqua"/>
          <w:b/>
          <w:sz w:val="24"/>
          <w:szCs w:val="24"/>
        </w:rPr>
        <w:t>Background</w:t>
      </w:r>
    </w:p>
    <w:p w14:paraId="5410A59C" w14:textId="3B11DFBA" w:rsidR="005134D0" w:rsidRPr="00583F90" w:rsidRDefault="005134D0" w:rsidP="005134D0">
      <w:pPr>
        <w:spacing w:line="324" w:lineRule="auto"/>
        <w:rPr>
          <w:rFonts w:ascii="Book Antiqua" w:hAnsi="Book Antiqua"/>
          <w:bCs/>
          <w:sz w:val="24"/>
          <w:szCs w:val="24"/>
          <w:u w:val="single"/>
        </w:rPr>
      </w:pPr>
      <w:r w:rsidRPr="00583F90">
        <w:rPr>
          <w:rFonts w:ascii="Book Antiqua" w:hAnsi="Book Antiqua"/>
          <w:bCs/>
          <w:sz w:val="24"/>
          <w:szCs w:val="24"/>
          <w:u w:val="single"/>
        </w:rPr>
        <w:t>Major Sources of Greenhouse Gases</w:t>
      </w:r>
    </w:p>
    <w:p w14:paraId="3A227FBB" w14:textId="6B423D3B" w:rsidR="003913E6" w:rsidRPr="00583F90" w:rsidRDefault="00B92EAC" w:rsidP="00743FDF">
      <w:pPr>
        <w:spacing w:line="324" w:lineRule="auto"/>
        <w:rPr>
          <w:rFonts w:ascii="Book Antiqua" w:hAnsi="Book Antiqua"/>
          <w:bCs/>
          <w:sz w:val="24"/>
          <w:szCs w:val="24"/>
        </w:rPr>
      </w:pPr>
      <w:r w:rsidRPr="00583F90">
        <w:rPr>
          <w:rFonts w:ascii="Book Antiqua" w:hAnsi="Book Antiqua"/>
          <w:bCs/>
          <w:sz w:val="24"/>
          <w:szCs w:val="24"/>
        </w:rPr>
        <w:t>Greenhouse gases consist of 4 main gases</w:t>
      </w:r>
      <w:r w:rsidR="00E7175F" w:rsidRPr="00583F90">
        <w:rPr>
          <w:rFonts w:ascii="Book Antiqua" w:hAnsi="Book Antiqua"/>
          <w:bCs/>
          <w:sz w:val="24"/>
          <w:szCs w:val="24"/>
        </w:rPr>
        <w:t>/</w:t>
      </w:r>
      <w:r w:rsidRPr="00583F90">
        <w:rPr>
          <w:rFonts w:ascii="Book Antiqua" w:hAnsi="Book Antiqua"/>
          <w:bCs/>
          <w:sz w:val="24"/>
          <w:szCs w:val="24"/>
        </w:rPr>
        <w:t>categories: Carbon Dioxide (</w:t>
      </w:r>
      <m:oMath>
        <m:sSub>
          <m:sSubPr>
            <m:ctrlPr>
              <w:rPr>
                <w:rFonts w:ascii="Cambria Math" w:hAnsi="Cambria Math"/>
                <w:bCs/>
                <w:i/>
                <w:sz w:val="24"/>
                <w:szCs w:val="24"/>
              </w:rPr>
            </m:ctrlPr>
          </m:sSubPr>
          <m:e>
            <m:r>
              <m:rPr>
                <m:nor/>
              </m:rPr>
              <w:rPr>
                <w:rFonts w:ascii="Cambria Math" w:hAnsi="Cambria Math"/>
                <w:bCs/>
                <w:sz w:val="24"/>
                <w:szCs w:val="24"/>
              </w:rPr>
              <m:t>CO</m:t>
            </m:r>
            <m:ctrlPr>
              <w:rPr>
                <w:rFonts w:ascii="Cambria Math" w:hAnsi="Cambria Math"/>
                <w:bCs/>
                <w:sz w:val="24"/>
                <w:szCs w:val="24"/>
              </w:rPr>
            </m:ctrlPr>
          </m:e>
          <m:sub>
            <m:r>
              <w:rPr>
                <w:rFonts w:ascii="Cambria Math" w:hAnsi="Cambria Math"/>
                <w:sz w:val="24"/>
                <w:szCs w:val="24"/>
              </w:rPr>
              <m:t>2</m:t>
            </m:r>
          </m:sub>
        </m:sSub>
      </m:oMath>
      <w:r w:rsidRPr="00583F90">
        <w:rPr>
          <w:rFonts w:ascii="Book Antiqua" w:hAnsi="Book Antiqua"/>
          <w:bCs/>
          <w:sz w:val="24"/>
          <w:szCs w:val="24"/>
        </w:rPr>
        <w:t>), Methane (</w:t>
      </w:r>
      <m:oMath>
        <m:sSub>
          <m:sSubPr>
            <m:ctrlPr>
              <w:rPr>
                <w:rFonts w:ascii="Cambria Math" w:hAnsi="Cambria Math"/>
                <w:bCs/>
                <w:i/>
                <w:sz w:val="24"/>
                <w:szCs w:val="24"/>
              </w:rPr>
            </m:ctrlPr>
          </m:sSubPr>
          <m:e>
            <m:r>
              <m:rPr>
                <m:nor/>
              </m:rPr>
              <w:rPr>
                <w:rFonts w:ascii="Cambria Math" w:hAnsi="Cambria Math"/>
                <w:bCs/>
                <w:sz w:val="24"/>
                <w:szCs w:val="24"/>
              </w:rPr>
              <m:t>CH</m:t>
            </m:r>
            <m:ctrlPr>
              <w:rPr>
                <w:rFonts w:ascii="Cambria Math" w:hAnsi="Cambria Math"/>
                <w:bCs/>
                <w:sz w:val="24"/>
                <w:szCs w:val="24"/>
              </w:rPr>
            </m:ctrlPr>
          </m:e>
          <m:sub>
            <m:r>
              <w:rPr>
                <w:rFonts w:ascii="Cambria Math" w:hAnsi="Cambria Math"/>
                <w:sz w:val="24"/>
                <w:szCs w:val="24"/>
              </w:rPr>
              <m:t>4</m:t>
            </m:r>
          </m:sub>
        </m:sSub>
      </m:oMath>
      <w:r w:rsidRPr="00583F90">
        <w:rPr>
          <w:rFonts w:ascii="Book Antiqua" w:hAnsi="Book Antiqua"/>
          <w:bCs/>
          <w:sz w:val="24"/>
          <w:szCs w:val="24"/>
        </w:rPr>
        <w:t>), Nitrous Oxide (</w:t>
      </w:r>
      <m:oMath>
        <m:sSub>
          <m:sSubPr>
            <m:ctrlPr>
              <w:rPr>
                <w:rFonts w:ascii="Cambria Math" w:hAnsi="Cambria Math"/>
                <w:bCs/>
                <w:i/>
                <w:sz w:val="24"/>
                <w:szCs w:val="24"/>
              </w:rPr>
            </m:ctrlPr>
          </m:sSubPr>
          <m:e>
            <m:r>
              <m:rPr>
                <m:nor/>
              </m:rPr>
              <w:rPr>
                <w:rFonts w:ascii="Cambria Math" w:hAnsi="Cambria Math"/>
                <w:bCs/>
                <w:sz w:val="24"/>
                <w:szCs w:val="24"/>
              </w:rPr>
              <m:t>N</m:t>
            </m:r>
            <m:ctrlPr>
              <w:rPr>
                <w:rFonts w:ascii="Cambria Math" w:hAnsi="Cambria Math"/>
                <w:bCs/>
                <w:sz w:val="24"/>
                <w:szCs w:val="24"/>
              </w:rPr>
            </m:ctrlPr>
          </m:e>
          <m:sub>
            <m:r>
              <w:rPr>
                <w:rFonts w:ascii="Cambria Math" w:hAnsi="Cambria Math"/>
                <w:sz w:val="24"/>
                <w:szCs w:val="24"/>
              </w:rPr>
              <m:t>2</m:t>
            </m:r>
          </m:sub>
        </m:sSub>
        <m:r>
          <m:rPr>
            <m:nor/>
          </m:rPr>
          <w:rPr>
            <w:rFonts w:ascii="Cambria Math" w:hAnsi="Cambria Math"/>
            <w:bCs/>
            <w:sz w:val="24"/>
            <w:szCs w:val="24"/>
          </w:rPr>
          <m:t>O</m:t>
        </m:r>
      </m:oMath>
      <w:r w:rsidRPr="00583F90">
        <w:rPr>
          <w:rFonts w:ascii="Book Antiqua" w:hAnsi="Book Antiqua"/>
          <w:bCs/>
          <w:sz w:val="24"/>
          <w:szCs w:val="24"/>
        </w:rPr>
        <w:t>), and Fluorinated gases (</w:t>
      </w:r>
      <m:oMath>
        <m:r>
          <m:rPr>
            <m:nor/>
          </m:rPr>
          <w:rPr>
            <w:rFonts w:ascii="Cambria Math" w:hAnsi="Cambria Math"/>
            <w:bCs/>
            <w:sz w:val="24"/>
            <w:szCs w:val="24"/>
          </w:rPr>
          <m:t>HFCs</m:t>
        </m:r>
        <m:r>
          <w:rPr>
            <w:rFonts w:ascii="Cambria Math" w:hAnsi="Cambria Math"/>
            <w:sz w:val="24"/>
            <w:szCs w:val="24"/>
          </w:rPr>
          <m:t xml:space="preserve">, </m:t>
        </m:r>
        <m:r>
          <m:rPr>
            <m:nor/>
          </m:rPr>
          <w:rPr>
            <w:rFonts w:ascii="Cambria Math" w:hAnsi="Cambria Math"/>
            <w:bCs/>
            <w:sz w:val="24"/>
            <w:szCs w:val="24"/>
          </w:rPr>
          <m:t>PFCs</m:t>
        </m:r>
        <m:r>
          <w:rPr>
            <w:rFonts w:ascii="Cambria Math" w:hAnsi="Cambria Math"/>
            <w:sz w:val="24"/>
            <w:szCs w:val="24"/>
          </w:rPr>
          <m:t xml:space="preserve">, </m:t>
        </m:r>
        <m:sSub>
          <m:sSubPr>
            <m:ctrlPr>
              <w:rPr>
                <w:rFonts w:ascii="Cambria Math" w:hAnsi="Cambria Math"/>
                <w:bCs/>
                <w:i/>
                <w:sz w:val="24"/>
                <w:szCs w:val="24"/>
              </w:rPr>
            </m:ctrlPr>
          </m:sSubPr>
          <m:e>
            <m:r>
              <m:rPr>
                <m:nor/>
              </m:rPr>
              <w:rPr>
                <w:rFonts w:ascii="Cambria Math" w:hAnsi="Cambria Math"/>
                <w:bCs/>
                <w:sz w:val="24"/>
                <w:szCs w:val="24"/>
              </w:rPr>
              <m:t>SF</m:t>
            </m:r>
          </m:e>
          <m:sub>
            <m:r>
              <w:rPr>
                <w:rFonts w:ascii="Cambria Math" w:hAnsi="Cambria Math"/>
                <w:sz w:val="24"/>
                <w:szCs w:val="24"/>
              </w:rPr>
              <m:t>6</m:t>
            </m:r>
          </m:sub>
        </m:sSub>
        <m:r>
          <w:rPr>
            <w:rFonts w:ascii="Cambria Math" w:hAnsi="Cambria Math"/>
            <w:sz w:val="24"/>
            <w:szCs w:val="24"/>
          </w:rPr>
          <m:t xml:space="preserve">, and </m:t>
        </m:r>
        <m:sSub>
          <m:sSubPr>
            <m:ctrlPr>
              <w:rPr>
                <w:rFonts w:ascii="Cambria Math" w:hAnsi="Cambria Math"/>
                <w:bCs/>
                <w:i/>
                <w:sz w:val="24"/>
                <w:szCs w:val="24"/>
              </w:rPr>
            </m:ctrlPr>
          </m:sSubPr>
          <m:e>
            <m:r>
              <m:rPr>
                <m:nor/>
              </m:rPr>
              <w:rPr>
                <w:rFonts w:ascii="Cambria Math" w:hAnsi="Cambria Math"/>
                <w:bCs/>
                <w:sz w:val="24"/>
                <w:szCs w:val="24"/>
              </w:rPr>
              <m:t>NF</m:t>
            </m:r>
          </m:e>
          <m:sub>
            <m:r>
              <w:rPr>
                <w:rFonts w:ascii="Cambria Math" w:hAnsi="Cambria Math"/>
                <w:sz w:val="24"/>
                <w:szCs w:val="24"/>
              </w:rPr>
              <m:t>3</m:t>
            </m:r>
          </m:sub>
        </m:sSub>
        <m:r>
          <w:rPr>
            <w:rFonts w:ascii="Cambria Math" w:hAnsi="Cambria Math"/>
            <w:sz w:val="24"/>
            <w:szCs w:val="24"/>
          </w:rPr>
          <m:t>)</m:t>
        </m:r>
      </m:oMath>
      <w:r w:rsidRPr="00583F90">
        <w:rPr>
          <w:rFonts w:ascii="Book Antiqua" w:hAnsi="Book Antiqua"/>
          <w:bCs/>
          <w:sz w:val="24"/>
          <w:szCs w:val="24"/>
        </w:rPr>
        <w:t xml:space="preserve">. </w:t>
      </w:r>
      <w:r w:rsidR="00E7175F" w:rsidRPr="00583F90">
        <w:rPr>
          <w:rFonts w:ascii="Book Antiqua" w:hAnsi="Book Antiqua"/>
          <w:bCs/>
          <w:sz w:val="24"/>
          <w:szCs w:val="24"/>
        </w:rPr>
        <w:t xml:space="preserve">Refer to </w:t>
      </w:r>
      <w:r w:rsidR="00E7175F" w:rsidRPr="00583F90">
        <w:rPr>
          <w:rFonts w:ascii="Book Antiqua" w:hAnsi="Book Antiqua"/>
          <w:b/>
          <w:sz w:val="24"/>
          <w:szCs w:val="24"/>
        </w:rPr>
        <w:t>Appendix 1</w:t>
      </w:r>
      <w:r w:rsidR="00E7175F" w:rsidRPr="00583F90">
        <w:rPr>
          <w:rFonts w:ascii="Book Antiqua" w:hAnsi="Book Antiqua"/>
          <w:bCs/>
          <w:sz w:val="24"/>
          <w:szCs w:val="24"/>
        </w:rPr>
        <w:t xml:space="preserve"> for a</w:t>
      </w:r>
      <w:r w:rsidR="00601467" w:rsidRPr="00583F90">
        <w:rPr>
          <w:rFonts w:ascii="Book Antiqua" w:hAnsi="Book Antiqua"/>
          <w:bCs/>
          <w:sz w:val="24"/>
          <w:szCs w:val="24"/>
        </w:rPr>
        <w:t xml:space="preserve"> table </w:t>
      </w:r>
      <w:r w:rsidR="00E7175F" w:rsidRPr="00583F90">
        <w:rPr>
          <w:rFonts w:ascii="Book Antiqua" w:hAnsi="Book Antiqua"/>
          <w:bCs/>
          <w:sz w:val="24"/>
          <w:szCs w:val="24"/>
        </w:rPr>
        <w:t xml:space="preserve">that </w:t>
      </w:r>
      <w:r w:rsidR="00601467" w:rsidRPr="00583F90">
        <w:rPr>
          <w:rFonts w:ascii="Book Antiqua" w:hAnsi="Book Antiqua"/>
          <w:bCs/>
          <w:sz w:val="24"/>
          <w:szCs w:val="24"/>
        </w:rPr>
        <w:t>presents the 2022 source breakdown data as reported by the Environmental Protection Agency (EPA).</w:t>
      </w:r>
    </w:p>
    <w:p w14:paraId="72E90577" w14:textId="66808869" w:rsidR="0005509D" w:rsidRPr="00583F90" w:rsidRDefault="00895C8A" w:rsidP="003913E6">
      <w:pPr>
        <w:spacing w:line="324" w:lineRule="auto"/>
        <w:rPr>
          <w:rFonts w:ascii="Book Antiqua" w:hAnsi="Book Antiqua"/>
          <w:bCs/>
          <w:sz w:val="24"/>
          <w:szCs w:val="24"/>
          <w:u w:val="single"/>
        </w:rPr>
      </w:pPr>
      <w:r w:rsidRPr="00583F90">
        <w:rPr>
          <w:rFonts w:ascii="Book Antiqua" w:hAnsi="Book Antiqua"/>
          <w:bCs/>
          <w:sz w:val="24"/>
          <w:szCs w:val="24"/>
          <w:u w:val="single"/>
        </w:rPr>
        <w:lastRenderedPageBreak/>
        <w:t>US vs California Comparison</w:t>
      </w:r>
    </w:p>
    <w:p w14:paraId="4530325C" w14:textId="22828837" w:rsidR="00895C8A" w:rsidRPr="00583F90" w:rsidRDefault="008E65D1" w:rsidP="008E65D1">
      <w:pPr>
        <w:spacing w:line="324" w:lineRule="auto"/>
        <w:jc w:val="center"/>
        <w:rPr>
          <w:rFonts w:ascii="Book Antiqua" w:hAnsi="Book Antiqua"/>
          <w:bCs/>
          <w:sz w:val="24"/>
          <w:szCs w:val="24"/>
        </w:rPr>
      </w:pPr>
      <w:r w:rsidRPr="00583F90">
        <w:rPr>
          <w:rFonts w:ascii="Book Antiqua" w:hAnsi="Book Antiqua"/>
          <w:bCs/>
          <w:noProof/>
          <w:sz w:val="24"/>
          <w:szCs w:val="24"/>
        </w:rPr>
        <w:drawing>
          <wp:inline distT="0" distB="0" distL="0" distR="0" wp14:anchorId="092669E5" wp14:editId="3FE886F8">
            <wp:extent cx="2606040" cy="1892808"/>
            <wp:effectExtent l="0" t="0" r="3810" b="0"/>
            <wp:docPr id="92943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040" cy="1892808"/>
                    </a:xfrm>
                    <a:prstGeom prst="rect">
                      <a:avLst/>
                    </a:prstGeom>
                    <a:noFill/>
                    <a:effectLst>
                      <a:softEdge rad="63500"/>
                    </a:effectLst>
                  </pic:spPr>
                </pic:pic>
              </a:graphicData>
            </a:graphic>
          </wp:inline>
        </w:drawing>
      </w:r>
      <w:r w:rsidRPr="00583F90">
        <w:rPr>
          <w:rFonts w:ascii="Book Antiqua" w:hAnsi="Book Antiqua"/>
          <w:bCs/>
          <w:noProof/>
          <w:sz w:val="24"/>
          <w:szCs w:val="24"/>
        </w:rPr>
        <w:drawing>
          <wp:inline distT="0" distB="0" distL="0" distR="0" wp14:anchorId="30C9553D" wp14:editId="57F8B1B9">
            <wp:extent cx="2606040" cy="1892808"/>
            <wp:effectExtent l="0" t="0" r="3810" b="0"/>
            <wp:docPr id="991845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6040" cy="1892808"/>
                    </a:xfrm>
                    <a:prstGeom prst="rect">
                      <a:avLst/>
                    </a:prstGeom>
                    <a:noFill/>
                    <a:effectLst>
                      <a:softEdge rad="63500"/>
                    </a:effectLst>
                  </pic:spPr>
                </pic:pic>
              </a:graphicData>
            </a:graphic>
          </wp:inline>
        </w:drawing>
      </w:r>
    </w:p>
    <w:p w14:paraId="1B341667" w14:textId="5E0C468A" w:rsidR="0047042B" w:rsidRPr="00583F90" w:rsidRDefault="00B44D31" w:rsidP="0047042B">
      <w:pPr>
        <w:spacing w:line="324" w:lineRule="auto"/>
        <w:rPr>
          <w:rFonts w:ascii="Book Antiqua" w:hAnsi="Book Antiqua"/>
          <w:bCs/>
          <w:sz w:val="24"/>
          <w:szCs w:val="24"/>
        </w:rPr>
      </w:pPr>
      <w:r w:rsidRPr="00583F90">
        <w:rPr>
          <w:rFonts w:ascii="Book Antiqua" w:hAnsi="Book Antiqua"/>
          <w:bCs/>
          <w:sz w:val="24"/>
          <w:szCs w:val="24"/>
        </w:rPr>
        <w:tab/>
      </w:r>
      <w:r w:rsidR="0047042B" w:rsidRPr="00583F90">
        <w:rPr>
          <w:rFonts w:ascii="Book Antiqua" w:hAnsi="Book Antiqua"/>
          <w:bCs/>
          <w:sz w:val="24"/>
          <w:szCs w:val="24"/>
        </w:rPr>
        <w:t>The greenhouse gas emission profiles of California and the U.S. differ notably by sector. In 2022, transportation accounted for about 39% of California’s emissions</w:t>
      </w:r>
      <w:proofErr w:type="gramStart"/>
      <w:r w:rsidR="0047042B" w:rsidRPr="00583F90">
        <w:rPr>
          <w:rFonts w:ascii="Book Antiqua" w:hAnsi="Book Antiqua"/>
          <w:bCs/>
          <w:sz w:val="24"/>
          <w:szCs w:val="24"/>
        </w:rPr>
        <w:t>—significantly</w:t>
      </w:r>
      <w:proofErr w:type="gramEnd"/>
      <w:r w:rsidR="0047042B" w:rsidRPr="00583F90">
        <w:rPr>
          <w:rFonts w:ascii="Book Antiqua" w:hAnsi="Book Antiqua"/>
          <w:bCs/>
          <w:sz w:val="24"/>
          <w:szCs w:val="24"/>
        </w:rPr>
        <w:t xml:space="preserve"> higher than the national average of 28%. Industry contributed roughly 23% in both cases, while power generation made up a much smaller share of California’s total emissions. This reflects California’s cleaner electric grid compared to the U.S. as a whole.</w:t>
      </w:r>
    </w:p>
    <w:p w14:paraId="18CE9AC6" w14:textId="5BB77FA6" w:rsidR="00B44D31" w:rsidRPr="00583F90" w:rsidRDefault="0047042B" w:rsidP="0047042B">
      <w:pPr>
        <w:spacing w:line="324" w:lineRule="auto"/>
        <w:ind w:firstLine="720"/>
        <w:rPr>
          <w:rFonts w:ascii="Book Antiqua" w:hAnsi="Book Antiqua"/>
          <w:bCs/>
          <w:sz w:val="24"/>
          <w:szCs w:val="24"/>
        </w:rPr>
      </w:pPr>
      <w:r w:rsidRPr="00583F90">
        <w:rPr>
          <w:rFonts w:ascii="Book Antiqua" w:hAnsi="Book Antiqua"/>
          <w:bCs/>
          <w:sz w:val="24"/>
          <w:szCs w:val="24"/>
        </w:rPr>
        <w:t xml:space="preserve">These differences have important policy implications. California’s much higher transportation share suggests that decarbonizing this sector is a particularly pressing challenge. This prominence likely results from a combination of factors, such as the state’s car-centric urban layout, economic activity, and population density. Meanwhile, the success of policies targeting electricity generation is evident in the sector’s reduced emissions share relative to the national average—highlighting the </w:t>
      </w:r>
      <w:r w:rsidR="00416951" w:rsidRPr="00583F90">
        <w:rPr>
          <w:rFonts w:ascii="Book Antiqua" w:hAnsi="Book Antiqua"/>
          <w:bCs/>
          <w:sz w:val="24"/>
          <w:szCs w:val="24"/>
        </w:rPr>
        <w:t xml:space="preserve">unit </w:t>
      </w:r>
      <w:r w:rsidRPr="00583F90">
        <w:rPr>
          <w:rFonts w:ascii="Book Antiqua" w:hAnsi="Book Antiqua"/>
          <w:bCs/>
          <w:sz w:val="24"/>
          <w:szCs w:val="24"/>
        </w:rPr>
        <w:t>effectiveness of renewable portfolio standards and related initiatives in California.</w:t>
      </w:r>
    </w:p>
    <w:p w14:paraId="371A4D10" w14:textId="77777777" w:rsidR="00754A4C" w:rsidRPr="00583F90" w:rsidRDefault="00754A4C" w:rsidP="00743FDF">
      <w:pPr>
        <w:spacing w:line="324" w:lineRule="auto"/>
        <w:rPr>
          <w:rFonts w:ascii="Book Antiqua" w:hAnsi="Book Antiqua"/>
          <w:b/>
          <w:sz w:val="24"/>
          <w:szCs w:val="24"/>
        </w:rPr>
      </w:pPr>
    </w:p>
    <w:p w14:paraId="61193D5F" w14:textId="070B324A" w:rsidR="00DE7AB3" w:rsidRPr="00583F90" w:rsidRDefault="003106BC" w:rsidP="00743FDF">
      <w:pPr>
        <w:spacing w:line="324" w:lineRule="auto"/>
        <w:rPr>
          <w:rFonts w:ascii="Book Antiqua" w:hAnsi="Book Antiqua"/>
          <w:b/>
          <w:sz w:val="24"/>
          <w:szCs w:val="24"/>
        </w:rPr>
      </w:pPr>
      <w:r w:rsidRPr="00583F90">
        <w:rPr>
          <w:rFonts w:ascii="Book Antiqua" w:hAnsi="Book Antiqua"/>
          <w:b/>
          <w:sz w:val="24"/>
          <w:szCs w:val="24"/>
        </w:rPr>
        <w:t>Policy Overview</w:t>
      </w:r>
    </w:p>
    <w:p w14:paraId="315A88FA" w14:textId="14755712" w:rsidR="003A7312" w:rsidRPr="00583F90" w:rsidRDefault="003A7312" w:rsidP="00743FDF">
      <w:pPr>
        <w:spacing w:line="324" w:lineRule="auto"/>
        <w:rPr>
          <w:rFonts w:ascii="Book Antiqua" w:hAnsi="Book Antiqua"/>
          <w:bCs/>
          <w:sz w:val="24"/>
          <w:szCs w:val="24"/>
        </w:rPr>
      </w:pPr>
      <w:r w:rsidRPr="00583F90">
        <w:rPr>
          <w:rFonts w:ascii="Book Antiqua" w:hAnsi="Book Antiqua"/>
          <w:b/>
          <w:sz w:val="24"/>
          <w:szCs w:val="24"/>
        </w:rPr>
        <w:tab/>
      </w:r>
      <w:r w:rsidRPr="00583F90">
        <w:rPr>
          <w:rFonts w:ascii="Book Antiqua" w:hAnsi="Book Antiqua"/>
          <w:bCs/>
          <w:sz w:val="24"/>
          <w:szCs w:val="24"/>
        </w:rPr>
        <w:t>This section provides an overview of key climate policies, focusing on their design, implementation, and impacts. For each policy, the underlying mechanisms will be described alongside analysis from existing research evaluating their unit effectiveness, cost effectiveness, efficiency, and equity implications. By examining these dimensions, the goal is to better understand how well each policy achieves emissions reductions and whether those outcomes are delivered in a cost-effective and socially equitable manner.</w:t>
      </w:r>
    </w:p>
    <w:p w14:paraId="312AAFE2" w14:textId="77777777" w:rsidR="003A7312" w:rsidRPr="00583F90" w:rsidRDefault="003A7312" w:rsidP="00743FDF">
      <w:pPr>
        <w:spacing w:line="324" w:lineRule="auto"/>
        <w:rPr>
          <w:rFonts w:ascii="Book Antiqua" w:hAnsi="Book Antiqua"/>
          <w:bCs/>
          <w:sz w:val="24"/>
          <w:szCs w:val="24"/>
        </w:rPr>
      </w:pPr>
    </w:p>
    <w:p w14:paraId="3791F68C" w14:textId="6C0609A7" w:rsidR="003106BC" w:rsidRPr="00583F90" w:rsidRDefault="003106BC" w:rsidP="00743FDF">
      <w:pPr>
        <w:spacing w:line="324" w:lineRule="auto"/>
        <w:rPr>
          <w:rFonts w:ascii="Book Antiqua" w:hAnsi="Book Antiqua"/>
          <w:bCs/>
          <w:sz w:val="24"/>
          <w:szCs w:val="24"/>
          <w:u w:val="single"/>
        </w:rPr>
      </w:pPr>
      <w:r w:rsidRPr="00583F90">
        <w:rPr>
          <w:rFonts w:ascii="Book Antiqua" w:hAnsi="Book Antiqua"/>
          <w:bCs/>
          <w:sz w:val="24"/>
          <w:szCs w:val="24"/>
          <w:u w:val="single"/>
        </w:rPr>
        <w:lastRenderedPageBreak/>
        <w:t>Renewable Portfolio Standards</w:t>
      </w:r>
    </w:p>
    <w:p w14:paraId="4BB476D0" w14:textId="3EAD4820" w:rsidR="00497351" w:rsidRPr="00583F90" w:rsidRDefault="008E65D1" w:rsidP="00123022">
      <w:pPr>
        <w:spacing w:line="324" w:lineRule="auto"/>
        <w:ind w:firstLine="720"/>
        <w:rPr>
          <w:rFonts w:ascii="Book Antiqua" w:hAnsi="Book Antiqua"/>
          <w:bCs/>
          <w:sz w:val="24"/>
          <w:szCs w:val="24"/>
        </w:rPr>
      </w:pPr>
      <w:r w:rsidRPr="00583F90">
        <w:rPr>
          <w:rFonts w:ascii="Book Antiqua" w:hAnsi="Book Antiqua"/>
          <w:bCs/>
          <w:noProof/>
          <w:sz w:val="24"/>
          <w:szCs w:val="24"/>
        </w:rPr>
        <w:drawing>
          <wp:anchor distT="0" distB="0" distL="114300" distR="114300" simplePos="0" relativeHeight="251660288" behindDoc="1" locked="0" layoutInCell="1" allowOverlap="1" wp14:anchorId="60C565CF" wp14:editId="42C4F5F8">
            <wp:simplePos x="0" y="0"/>
            <wp:positionH relativeFrom="margin">
              <wp:align>right</wp:align>
            </wp:positionH>
            <wp:positionV relativeFrom="paragraph">
              <wp:posOffset>1656299</wp:posOffset>
            </wp:positionV>
            <wp:extent cx="4279392" cy="2404872"/>
            <wp:effectExtent l="0" t="0" r="6985" b="0"/>
            <wp:wrapSquare wrapText="bothSides"/>
            <wp:docPr id="11" name="Picture 10" descr="A diagram of the california energy consumption&#10;&#10;AI-generated content may be incorrect.">
              <a:extLst xmlns:a="http://schemas.openxmlformats.org/drawingml/2006/main">
                <a:ext uri="{FF2B5EF4-FFF2-40B4-BE49-F238E27FC236}">
                  <a16:creationId xmlns:a16="http://schemas.microsoft.com/office/drawing/2014/main" id="{AAD5BEF5-A47B-2D1B-DDB8-574872981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the california energy consumption&#10;&#10;AI-generated content may be incorrect.">
                      <a:extLst>
                        <a:ext uri="{FF2B5EF4-FFF2-40B4-BE49-F238E27FC236}">
                          <a16:creationId xmlns:a16="http://schemas.microsoft.com/office/drawing/2014/main" id="{AAD5BEF5-A47B-2D1B-DDB8-57487298167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9392" cy="2404872"/>
                    </a:xfrm>
                    <a:prstGeom prst="rect">
                      <a:avLst/>
                    </a:prstGeom>
                  </pic:spPr>
                </pic:pic>
              </a:graphicData>
            </a:graphic>
          </wp:anchor>
        </w:drawing>
      </w:r>
      <w:r w:rsidR="00497351" w:rsidRPr="00583F90">
        <w:rPr>
          <w:rFonts w:ascii="Book Antiqua" w:hAnsi="Book Antiqua"/>
          <w:bCs/>
          <w:sz w:val="24"/>
          <w:szCs w:val="24"/>
        </w:rPr>
        <w:t xml:space="preserve">The Renewable Portfolio Standard (RPS) requires utilities—electricity providers responsible for delivering power to customers—to ensure a growing share of their electricity comes from renewable sources like wind, solar, and hydro. Utilities prove compliance by acquiring Renewable Energy Certificates (RECs), each representing one megawatt-hour of renewable electricity generated. If they fall short, utilities must buy extra RECs or face penalties. This policy helps internalize the social costs of fossil fuel generation, aligning private utility decisions with public environmental goals.  Under California’s AB-32, the RPS targets 60% renewable electricity by 2030 and 100% carbon-free by 2045. Complementing the RPS, feed-in tariffs offer </w:t>
      </w:r>
      <w:proofErr w:type="gramStart"/>
      <w:r w:rsidR="00497351" w:rsidRPr="00583F90">
        <w:rPr>
          <w:rFonts w:ascii="Book Antiqua" w:hAnsi="Book Antiqua"/>
          <w:bCs/>
          <w:sz w:val="24"/>
          <w:szCs w:val="24"/>
        </w:rPr>
        <w:t>guaranteed,</w:t>
      </w:r>
      <w:proofErr w:type="gramEnd"/>
      <w:r w:rsidR="00497351" w:rsidRPr="00583F90">
        <w:rPr>
          <w:rFonts w:ascii="Book Antiqua" w:hAnsi="Book Antiqua"/>
          <w:bCs/>
          <w:sz w:val="24"/>
          <w:szCs w:val="24"/>
        </w:rPr>
        <w:t xml:space="preserve"> above-market prices to renewable energy </w:t>
      </w:r>
      <w:proofErr w:type="gramStart"/>
      <w:r w:rsidR="00497351" w:rsidRPr="00583F90">
        <w:rPr>
          <w:rFonts w:ascii="Book Antiqua" w:hAnsi="Book Antiqua"/>
          <w:bCs/>
          <w:sz w:val="24"/>
          <w:szCs w:val="24"/>
        </w:rPr>
        <w:t>producers—</w:t>
      </w:r>
      <w:proofErr w:type="gramEnd"/>
      <w:r w:rsidR="00497351" w:rsidRPr="00583F90">
        <w:rPr>
          <w:rFonts w:ascii="Book Antiqua" w:hAnsi="Book Antiqua"/>
          <w:bCs/>
          <w:sz w:val="24"/>
          <w:szCs w:val="24"/>
        </w:rPr>
        <w:t>especially small or independent generators—encouraging investment by providing stable returns. Together, these tools drive renewable energy growth, reduce emissions, and support California’s clean energy transition.</w:t>
      </w:r>
    </w:p>
    <w:p w14:paraId="26C22BD4" w14:textId="77777777" w:rsidR="003A7312" w:rsidRPr="00583F90" w:rsidRDefault="003A7312" w:rsidP="003913E6">
      <w:pPr>
        <w:spacing w:line="324" w:lineRule="auto"/>
        <w:rPr>
          <w:rFonts w:ascii="Book Antiqua" w:hAnsi="Book Antiqua"/>
          <w:bCs/>
          <w:i/>
          <w:iCs/>
          <w:sz w:val="24"/>
          <w:szCs w:val="24"/>
        </w:rPr>
      </w:pPr>
    </w:p>
    <w:p w14:paraId="7D8CCE75" w14:textId="6DD3D9BD" w:rsidR="00123022" w:rsidRPr="00583F90" w:rsidRDefault="00123022" w:rsidP="003913E6">
      <w:pPr>
        <w:spacing w:line="324" w:lineRule="auto"/>
        <w:rPr>
          <w:rFonts w:ascii="Book Antiqua" w:hAnsi="Book Antiqua"/>
          <w:bCs/>
          <w:i/>
          <w:iCs/>
          <w:sz w:val="24"/>
          <w:szCs w:val="24"/>
        </w:rPr>
      </w:pPr>
      <w:r w:rsidRPr="00583F90">
        <w:rPr>
          <w:rFonts w:ascii="Book Antiqua" w:hAnsi="Book Antiqua"/>
          <w:bCs/>
          <w:i/>
          <w:iCs/>
          <w:sz w:val="24"/>
          <w:szCs w:val="24"/>
        </w:rPr>
        <w:t>Prior Research</w:t>
      </w:r>
    </w:p>
    <w:p w14:paraId="4B5D072C" w14:textId="643D7D28" w:rsidR="00123022" w:rsidRPr="00583F90" w:rsidRDefault="005F1BA0" w:rsidP="00D321E2">
      <w:pPr>
        <w:spacing w:line="324" w:lineRule="auto"/>
        <w:rPr>
          <w:rFonts w:ascii="Book Antiqua" w:hAnsi="Book Antiqua"/>
          <w:bCs/>
          <w:sz w:val="24"/>
          <w:szCs w:val="24"/>
        </w:rPr>
      </w:pPr>
      <w:r w:rsidRPr="00583F90">
        <w:rPr>
          <w:rFonts w:ascii="Book Antiqua" w:hAnsi="Book Antiqua"/>
          <w:bCs/>
          <w:sz w:val="24"/>
          <w:szCs w:val="24"/>
        </w:rPr>
        <w:t>Renewable Portfolio Standard (RPS) programs have been effective in significantly increasing renewable energy adoption and reducing CO</w:t>
      </w:r>
      <w:r w:rsidRPr="00583F90">
        <w:rPr>
          <w:rFonts w:ascii="Cambria Math" w:hAnsi="Cambria Math" w:cs="Cambria Math"/>
          <w:bCs/>
          <w:sz w:val="24"/>
          <w:szCs w:val="24"/>
        </w:rPr>
        <w:t>₂</w:t>
      </w:r>
      <w:r w:rsidRPr="00583F90">
        <w:rPr>
          <w:rFonts w:ascii="Book Antiqua" w:hAnsi="Book Antiqua"/>
          <w:bCs/>
          <w:sz w:val="24"/>
          <w:szCs w:val="24"/>
        </w:rPr>
        <w:t xml:space="preserve"> emissions from coal-fired power plants. These programs contribute to broader environmental benefits, including improved air quality and reduced water usage (Lyon, 2017; Wiser et al., 2017; Greenstone &amp; Nath, 2021). However, their effectiveness can be constrained by overlapping or poorly coordinated policies (Lyon, 2017; Goulder &amp; Stavins, 2011; Goulder et al., 2012; Moore et al., 2010).   A notable challenge of RPS programs is the land use intensification associated with large-scale wind and solar deployment, which requires significant land area to generate substantial renewable electricity (Holland et </w:t>
      </w:r>
      <w:r w:rsidRPr="00583F90">
        <w:rPr>
          <w:rFonts w:ascii="Book Antiqua" w:hAnsi="Book Antiqua"/>
          <w:bCs/>
          <w:sz w:val="24"/>
          <w:szCs w:val="24"/>
        </w:rPr>
        <w:lastRenderedPageBreak/>
        <w:t>al., 2015). Additionally, some research suggests that RPS policies risk displacing cleaner but more expensive energy sources like natural gas, rather than replacing cheaper and higher-emitting sources such as coal (Palmer et al.).  Political factors also influence RPS adoption: states with more liberal ideologies are more likely to implement RPS policies, whereas conservative states or those with significant fossil fuel industries tend to resist adoption (Lyon, 2016).  From a cost perspective, states with RPS policies experience electricity prices approximately 20% higher than those without, with annual price increases about 5% greater (</w:t>
      </w:r>
      <w:proofErr w:type="spellStart"/>
      <w:r w:rsidRPr="00583F90">
        <w:rPr>
          <w:rFonts w:ascii="Book Antiqua" w:hAnsi="Book Antiqua"/>
          <w:bCs/>
          <w:sz w:val="24"/>
          <w:szCs w:val="24"/>
        </w:rPr>
        <w:t>Kydes</w:t>
      </w:r>
      <w:proofErr w:type="spellEnd"/>
      <w:r w:rsidRPr="00583F90">
        <w:rPr>
          <w:rFonts w:ascii="Book Antiqua" w:hAnsi="Book Antiqua"/>
          <w:bCs/>
          <w:sz w:val="24"/>
          <w:szCs w:val="24"/>
        </w:rPr>
        <w:t>, 2007). While higher energy prices can be an intentional policy tool to reduce greenhouse gas emissions, they may disproportionately affect lower-income households, for whom electricity expenses represent a larger share of income, raising equity concerns.</w:t>
      </w:r>
    </w:p>
    <w:p w14:paraId="1E117775" w14:textId="77777777" w:rsidR="005F1BA0" w:rsidRPr="00583F90" w:rsidRDefault="005F1BA0" w:rsidP="005F1BA0">
      <w:pPr>
        <w:spacing w:line="324" w:lineRule="auto"/>
        <w:rPr>
          <w:rFonts w:ascii="Book Antiqua" w:hAnsi="Book Antiqua"/>
          <w:bCs/>
          <w:i/>
          <w:iCs/>
          <w:sz w:val="24"/>
          <w:szCs w:val="24"/>
        </w:rPr>
      </w:pPr>
    </w:p>
    <w:p w14:paraId="233AC8B8" w14:textId="5BB30DEC" w:rsidR="003106BC" w:rsidRPr="00583F90" w:rsidRDefault="003106BC" w:rsidP="00743FDF">
      <w:pPr>
        <w:spacing w:line="324" w:lineRule="auto"/>
        <w:rPr>
          <w:rFonts w:ascii="Book Antiqua" w:hAnsi="Book Antiqua"/>
          <w:bCs/>
          <w:sz w:val="24"/>
          <w:szCs w:val="24"/>
          <w:u w:val="single"/>
        </w:rPr>
      </w:pPr>
      <w:r w:rsidRPr="00583F90">
        <w:rPr>
          <w:rFonts w:ascii="Book Antiqua" w:hAnsi="Book Antiqua"/>
          <w:bCs/>
          <w:sz w:val="24"/>
          <w:szCs w:val="24"/>
          <w:u w:val="single"/>
        </w:rPr>
        <w:t>Low Carbon Fuel Standards</w:t>
      </w:r>
    </w:p>
    <w:p w14:paraId="5364294A" w14:textId="297C3D2D" w:rsidR="00155C17" w:rsidRPr="00583F90" w:rsidRDefault="00155C17" w:rsidP="00155C17">
      <w:pPr>
        <w:spacing w:line="324" w:lineRule="auto"/>
        <w:ind w:firstLine="720"/>
        <w:rPr>
          <w:rFonts w:ascii="Book Antiqua" w:hAnsi="Book Antiqua"/>
          <w:bCs/>
          <w:sz w:val="24"/>
          <w:szCs w:val="24"/>
        </w:rPr>
      </w:pPr>
      <w:r w:rsidRPr="00583F90">
        <w:rPr>
          <w:rFonts w:ascii="Book Antiqua" w:hAnsi="Book Antiqua"/>
          <w:bCs/>
          <w:sz w:val="24"/>
          <w:szCs w:val="24"/>
        </w:rPr>
        <w:t>The Low Carbon Fuel Standard requires fuel providers to decrease the average carbon intensity of transportation fuels over time.  Each year, a lower carbon intensity (CI) target is set, pushing fuel suppliers to use or blend in more low-carbon options like biofuels, electricity, or hydrogen. For every unit of low-carbon fuel sold, credits are earned, while selling fuels above the target incurs deficits. Providers of high-carbon fuels must either blend cleaner alternatives or purchase credits from those who exceed the standard.  By making low-carbon fuels more valuable and high-carbon fuels more costly, LCFS internalizes some of these broader social and environmental costs, providing a direct incentive for private companies to innovate and reduce emissions.</w:t>
      </w:r>
    </w:p>
    <w:p w14:paraId="118035C7" w14:textId="2447F8D0" w:rsidR="005F33BB" w:rsidRPr="00583F90" w:rsidRDefault="005F33BB" w:rsidP="00CC7ABF">
      <w:pPr>
        <w:spacing w:line="324" w:lineRule="auto"/>
        <w:ind w:firstLine="720"/>
        <w:rPr>
          <w:rFonts w:ascii="Book Antiqua" w:hAnsi="Book Antiqua"/>
          <w:bCs/>
          <w:sz w:val="24"/>
          <w:szCs w:val="24"/>
        </w:rPr>
      </w:pPr>
      <w:r w:rsidRPr="00583F90">
        <w:rPr>
          <w:rFonts w:ascii="Book Antiqua" w:hAnsi="Book Antiqua"/>
          <w:bCs/>
          <w:sz w:val="24"/>
          <w:szCs w:val="24"/>
        </w:rPr>
        <w:t xml:space="preserve">The LCFS, part of AB-32 since 2011, requires fuel providers to annually lower the average carbon intensity (CI) of transportation fuels based on a full life-cycle assessment. Fuels with CI below set benchmarks earn credits; those above generate deficits. Providers meet obligations by blending low-carbon fuels or purchasing credits. The program covers fuels like biofuels, electricity, and hydrogen, and includes credit provisions for zero-emission vehicle infrastructure. Its targets aim for a 20% CI reduction by 2030 relative to 2010 levels. </w:t>
      </w:r>
    </w:p>
    <w:p w14:paraId="1E16811E" w14:textId="77777777" w:rsidR="005F33BB" w:rsidRPr="00583F90" w:rsidRDefault="005F33BB" w:rsidP="00743FDF">
      <w:pPr>
        <w:spacing w:line="324" w:lineRule="auto"/>
        <w:rPr>
          <w:rFonts w:ascii="Book Antiqua" w:hAnsi="Book Antiqua"/>
          <w:bCs/>
          <w:sz w:val="24"/>
          <w:szCs w:val="24"/>
        </w:rPr>
      </w:pPr>
    </w:p>
    <w:p w14:paraId="6564E8C2" w14:textId="77777777" w:rsidR="00583F90" w:rsidRDefault="00583F90" w:rsidP="00743FDF">
      <w:pPr>
        <w:spacing w:line="324" w:lineRule="auto"/>
        <w:rPr>
          <w:rFonts w:ascii="Book Antiqua" w:hAnsi="Book Antiqua"/>
          <w:bCs/>
          <w:i/>
          <w:iCs/>
          <w:sz w:val="24"/>
          <w:szCs w:val="24"/>
        </w:rPr>
      </w:pPr>
    </w:p>
    <w:p w14:paraId="4D99A689" w14:textId="77777777" w:rsidR="00583F90" w:rsidRDefault="00583F90" w:rsidP="00743FDF">
      <w:pPr>
        <w:spacing w:line="324" w:lineRule="auto"/>
        <w:rPr>
          <w:rFonts w:ascii="Book Antiqua" w:hAnsi="Book Antiqua"/>
          <w:bCs/>
          <w:i/>
          <w:iCs/>
          <w:sz w:val="24"/>
          <w:szCs w:val="24"/>
        </w:rPr>
      </w:pPr>
    </w:p>
    <w:p w14:paraId="12B30304" w14:textId="4A0CBABE" w:rsidR="00123022" w:rsidRPr="00583F90" w:rsidRDefault="00123022" w:rsidP="00743FDF">
      <w:pPr>
        <w:spacing w:line="324" w:lineRule="auto"/>
        <w:rPr>
          <w:rFonts w:ascii="Book Antiqua" w:hAnsi="Book Antiqua"/>
          <w:bCs/>
          <w:i/>
          <w:iCs/>
          <w:sz w:val="24"/>
          <w:szCs w:val="24"/>
        </w:rPr>
      </w:pPr>
      <w:r w:rsidRPr="00583F90">
        <w:rPr>
          <w:rFonts w:ascii="Book Antiqua" w:hAnsi="Book Antiqua"/>
          <w:bCs/>
          <w:i/>
          <w:iCs/>
          <w:sz w:val="24"/>
          <w:szCs w:val="24"/>
        </w:rPr>
        <w:lastRenderedPageBreak/>
        <w:t>Prior Research</w:t>
      </w:r>
    </w:p>
    <w:p w14:paraId="75735665" w14:textId="7B0B737F" w:rsidR="00165C75" w:rsidRPr="00583F90" w:rsidRDefault="00165C75" w:rsidP="00165C75">
      <w:pPr>
        <w:spacing w:line="324" w:lineRule="auto"/>
        <w:ind w:firstLine="720"/>
        <w:rPr>
          <w:rFonts w:ascii="Book Antiqua" w:hAnsi="Book Antiqua"/>
          <w:bCs/>
          <w:sz w:val="24"/>
          <w:szCs w:val="24"/>
        </w:rPr>
      </w:pPr>
      <w:r w:rsidRPr="00583F90">
        <w:rPr>
          <w:rFonts w:ascii="Book Antiqua" w:hAnsi="Book Antiqua"/>
          <w:bCs/>
          <w:sz w:val="24"/>
          <w:szCs w:val="24"/>
        </w:rPr>
        <w:t>The effectiveness of California’s Low Carbon Fuel Standard (LCFS) in reducing transportation-sector CO</w:t>
      </w:r>
      <w:r w:rsidRPr="00583F90">
        <w:rPr>
          <w:rFonts w:ascii="Cambria Math" w:hAnsi="Cambria Math" w:cs="Cambria Math"/>
          <w:bCs/>
          <w:sz w:val="24"/>
          <w:szCs w:val="24"/>
        </w:rPr>
        <w:t>₂</w:t>
      </w:r>
      <w:r w:rsidRPr="00583F90">
        <w:rPr>
          <w:rFonts w:ascii="Book Antiqua" w:hAnsi="Book Antiqua"/>
          <w:bCs/>
          <w:sz w:val="24"/>
          <w:szCs w:val="24"/>
        </w:rPr>
        <w:t xml:space="preserve"> emissions has been supported by both empirical evidence and regulatory data, though its success varies depending on policy design and market dynamics. According to CARB (2024), the LCFS has resulted in a cumulative reduction of over 320 million metric tons of CO</w:t>
      </w:r>
      <w:r w:rsidRPr="00583F90">
        <w:rPr>
          <w:rFonts w:ascii="Cambria Math" w:hAnsi="Cambria Math" w:cs="Cambria Math"/>
          <w:bCs/>
          <w:sz w:val="24"/>
          <w:szCs w:val="24"/>
        </w:rPr>
        <w:t>₂</w:t>
      </w:r>
      <w:r w:rsidRPr="00583F90">
        <w:rPr>
          <w:rFonts w:ascii="Book Antiqua" w:hAnsi="Book Antiqua"/>
          <w:bCs/>
          <w:sz w:val="24"/>
          <w:szCs w:val="24"/>
        </w:rPr>
        <w:t xml:space="preserve"> since its inception. In 2021 alone, LCFS policies were credited with cutting emissions by approximately 20 million tons (Saddler, 2023).   Despite these gains, the effectiveness of the LCFS is highly dependent on its stringency and the responsiveness of fuel markets. In regions with inelastic demand for high-carbon fuels, emission reductions may be limited or even reversed (Huseynov, 2022; Holland, Hughes &amp; Knittel, 2009). Additionally, while the policy is designed to encourage fuel-switching, its impact is uneven across regions due to differences in baseline fuel mixes and infrastructure (Huseynov, 2022).  There are also concerns about unintended environmental consequences, such as land use intensification and indirect emissions, that may offset some of the intended GHG benefits (Holland et al., 2015). The high cost of abatement under LCFS has been a consistent critique—Holland (2007) estimates the average cost of CO</w:t>
      </w:r>
      <w:r w:rsidRPr="00583F90">
        <w:rPr>
          <w:rFonts w:ascii="Cambria Math" w:hAnsi="Cambria Math" w:cs="Cambria Math"/>
          <w:bCs/>
          <w:sz w:val="24"/>
          <w:szCs w:val="24"/>
        </w:rPr>
        <w:t>₂</w:t>
      </w:r>
      <w:r w:rsidRPr="00583F90">
        <w:rPr>
          <w:rFonts w:ascii="Book Antiqua" w:hAnsi="Book Antiqua"/>
          <w:bCs/>
          <w:sz w:val="24"/>
          <w:szCs w:val="24"/>
        </w:rPr>
        <w:t xml:space="preserve"> reduction across firms at $307 to $2,272 per ton, significantly higher than other carbon reduction strategies.  To improve both effectiveness and cost-efficiency, researchers advocate for a standardized life-cycle assessment (LCA) framework that captures the full emissions profile of fuels, including extraction, processing, transportation, refining, and distribution—not just tailpipe combustion (Saddler, 2023). This would help ensure that the policy supports truly </w:t>
      </w:r>
      <w:proofErr w:type="gramStart"/>
      <w:r w:rsidRPr="00583F90">
        <w:rPr>
          <w:rFonts w:ascii="Book Antiqua" w:hAnsi="Book Antiqua"/>
          <w:bCs/>
          <w:sz w:val="24"/>
          <w:szCs w:val="24"/>
        </w:rPr>
        <w:t>low-carbon</w:t>
      </w:r>
      <w:proofErr w:type="gramEnd"/>
      <w:r w:rsidRPr="00583F90">
        <w:rPr>
          <w:rFonts w:ascii="Book Antiqua" w:hAnsi="Book Antiqua"/>
          <w:bCs/>
          <w:sz w:val="24"/>
          <w:szCs w:val="24"/>
        </w:rPr>
        <w:t xml:space="preserve"> fuels and avoids favoring those that appear clean only under narrow metrics.</w:t>
      </w:r>
    </w:p>
    <w:p w14:paraId="0A78D870" w14:textId="77777777" w:rsidR="001C09FF" w:rsidRPr="00583F90" w:rsidRDefault="001C09FF" w:rsidP="00743FDF">
      <w:pPr>
        <w:spacing w:line="324" w:lineRule="auto"/>
        <w:rPr>
          <w:rFonts w:ascii="Book Antiqua" w:hAnsi="Book Antiqua"/>
          <w:bCs/>
          <w:sz w:val="24"/>
          <w:szCs w:val="24"/>
          <w:u w:val="single"/>
        </w:rPr>
      </w:pPr>
    </w:p>
    <w:p w14:paraId="63F06F93" w14:textId="2C13B0F8" w:rsidR="003106BC" w:rsidRPr="00583F90" w:rsidRDefault="003106BC" w:rsidP="00743FDF">
      <w:pPr>
        <w:spacing w:line="324" w:lineRule="auto"/>
        <w:rPr>
          <w:rFonts w:ascii="Book Antiqua" w:hAnsi="Book Antiqua"/>
          <w:bCs/>
          <w:sz w:val="24"/>
          <w:szCs w:val="24"/>
          <w:u w:val="single"/>
        </w:rPr>
      </w:pPr>
      <w:r w:rsidRPr="00583F90">
        <w:rPr>
          <w:rFonts w:ascii="Book Antiqua" w:hAnsi="Book Antiqua"/>
          <w:bCs/>
          <w:sz w:val="24"/>
          <w:szCs w:val="24"/>
          <w:u w:val="single"/>
        </w:rPr>
        <w:t>Carbon Cap and Trade</w:t>
      </w:r>
    </w:p>
    <w:p w14:paraId="3DC41780" w14:textId="2BF5999F" w:rsidR="00CC0972" w:rsidRPr="00583F90" w:rsidRDefault="00CC0972" w:rsidP="006C23C8">
      <w:pPr>
        <w:spacing w:line="324" w:lineRule="auto"/>
        <w:ind w:firstLine="720"/>
        <w:rPr>
          <w:rFonts w:ascii="Book Antiqua" w:hAnsi="Book Antiqua"/>
          <w:bCs/>
          <w:sz w:val="24"/>
          <w:szCs w:val="24"/>
        </w:rPr>
      </w:pPr>
      <w:r w:rsidRPr="00583F90">
        <w:rPr>
          <w:rFonts w:ascii="Book Antiqua" w:hAnsi="Book Antiqua"/>
          <w:bCs/>
          <w:sz w:val="24"/>
          <w:szCs w:val="24"/>
        </w:rPr>
        <w:t>The Carbon Cap and Trade program imposes a firm limit, or "cap," on the total greenhouse gas emissions allowed from covered entities, such as power plants and industrial facilities.  A set number of emission allowances are issued, each permitting the holder to emit one ton of CO</w:t>
      </w:r>
      <w:r w:rsidRPr="00583F90">
        <w:rPr>
          <w:rFonts w:ascii="Cambria Math" w:hAnsi="Cambria Math" w:cs="Cambria Math"/>
          <w:bCs/>
          <w:sz w:val="24"/>
          <w:szCs w:val="24"/>
        </w:rPr>
        <w:t>₂</w:t>
      </w:r>
      <w:r w:rsidRPr="00583F90">
        <w:rPr>
          <w:rFonts w:ascii="Book Antiqua" w:hAnsi="Book Antiqua"/>
          <w:bCs/>
          <w:sz w:val="24"/>
          <w:szCs w:val="24"/>
        </w:rPr>
        <w:t xml:space="preserve"> or equivalent greenhouse gases. Companies must hold enough allowances to cover their emissions. If they emit less, they can sell or trade their excess allowances to others who need more. This creates a market price for carbon emissions.  By capping total emissions and making allowances a scarce, tradable </w:t>
      </w:r>
      <w:r w:rsidRPr="00583F90">
        <w:rPr>
          <w:rFonts w:ascii="Book Antiqua" w:hAnsi="Book Antiqua"/>
          <w:bCs/>
          <w:sz w:val="24"/>
          <w:szCs w:val="24"/>
        </w:rPr>
        <w:lastRenderedPageBreak/>
        <w:t xml:space="preserve">commodity, the policy directly puts a price on carbon </w:t>
      </w:r>
      <w:proofErr w:type="gramStart"/>
      <w:r w:rsidRPr="00583F90">
        <w:rPr>
          <w:rFonts w:ascii="Book Antiqua" w:hAnsi="Book Antiqua"/>
          <w:bCs/>
          <w:sz w:val="24"/>
          <w:szCs w:val="24"/>
        </w:rPr>
        <w:t>pollution—</w:t>
      </w:r>
      <w:proofErr w:type="gramEnd"/>
      <w:r w:rsidRPr="00583F90">
        <w:rPr>
          <w:rFonts w:ascii="Book Antiqua" w:hAnsi="Book Antiqua"/>
          <w:bCs/>
          <w:sz w:val="24"/>
          <w:szCs w:val="24"/>
        </w:rPr>
        <w:t>the negative externality not accounted for in unregulated markets. This incentivizes companies to reduce emissions where it is most cost-effective, internalizing the societal costs of climate change and pollution.</w:t>
      </w:r>
    </w:p>
    <w:p w14:paraId="5CDC1B97" w14:textId="77777777" w:rsidR="00CC0972" w:rsidRPr="00583F90" w:rsidRDefault="00CC0972" w:rsidP="00743FDF">
      <w:pPr>
        <w:spacing w:line="324" w:lineRule="auto"/>
        <w:rPr>
          <w:rFonts w:ascii="Book Antiqua" w:hAnsi="Book Antiqua"/>
          <w:bCs/>
          <w:sz w:val="24"/>
          <w:szCs w:val="24"/>
          <w:u w:val="single"/>
        </w:rPr>
      </w:pPr>
    </w:p>
    <w:p w14:paraId="358053AF" w14:textId="7298D10E" w:rsidR="00123022" w:rsidRPr="00583F90" w:rsidRDefault="00123022" w:rsidP="00743FDF">
      <w:pPr>
        <w:spacing w:line="324" w:lineRule="auto"/>
        <w:rPr>
          <w:rFonts w:ascii="Book Antiqua" w:hAnsi="Book Antiqua"/>
          <w:bCs/>
          <w:i/>
          <w:iCs/>
          <w:sz w:val="24"/>
          <w:szCs w:val="24"/>
        </w:rPr>
      </w:pPr>
      <w:r w:rsidRPr="00583F90">
        <w:rPr>
          <w:rFonts w:ascii="Book Antiqua" w:hAnsi="Book Antiqua"/>
          <w:bCs/>
          <w:i/>
          <w:iCs/>
          <w:sz w:val="24"/>
          <w:szCs w:val="24"/>
        </w:rPr>
        <w:t>Prior Research</w:t>
      </w:r>
    </w:p>
    <w:p w14:paraId="67F880D2" w14:textId="77777777" w:rsidR="00636568" w:rsidRPr="00583F90" w:rsidRDefault="00636568" w:rsidP="00636568">
      <w:pPr>
        <w:spacing w:line="324" w:lineRule="auto"/>
        <w:ind w:firstLine="720"/>
        <w:rPr>
          <w:rFonts w:ascii="Book Antiqua" w:hAnsi="Book Antiqua"/>
          <w:bCs/>
          <w:sz w:val="24"/>
          <w:szCs w:val="24"/>
        </w:rPr>
      </w:pPr>
      <w:r w:rsidRPr="00583F90">
        <w:rPr>
          <w:rFonts w:ascii="Book Antiqua" w:hAnsi="Book Antiqua"/>
          <w:bCs/>
          <w:sz w:val="24"/>
          <w:szCs w:val="24"/>
        </w:rPr>
        <w:t>Carbon cap-and-trade systems are widely recognized as cost-effective and efficient mechanisms for reducing greenhouse gas emissions. Multiple studies suggest that their overall costs are relatively minor (Peace &amp; Juliani, 2009; Holland et al., 2015). When well-designed, these systems lower compliance costs, drive innovation, and generally outperform alternatives such as the Renewable Portfolio Standard (RPS) and Low Carbon Fuel Standard (LCFS) by offering stronger incentives and more accurate emissions accounting (Holland et al., 2015; Schmalensee &amp; Stavins, 2015).</w:t>
      </w:r>
    </w:p>
    <w:p w14:paraId="2B693A52" w14:textId="77777777" w:rsidR="00636568" w:rsidRPr="00583F90" w:rsidRDefault="00636568" w:rsidP="00636568">
      <w:pPr>
        <w:spacing w:line="324" w:lineRule="auto"/>
        <w:ind w:firstLine="720"/>
        <w:rPr>
          <w:rFonts w:ascii="Book Antiqua" w:hAnsi="Book Antiqua"/>
          <w:bCs/>
          <w:sz w:val="24"/>
          <w:szCs w:val="24"/>
        </w:rPr>
      </w:pPr>
      <w:r w:rsidRPr="00583F90">
        <w:rPr>
          <w:rFonts w:ascii="Book Antiqua" w:hAnsi="Book Antiqua"/>
          <w:bCs/>
          <w:sz w:val="24"/>
          <w:szCs w:val="24"/>
        </w:rPr>
        <w:t>Cap-and-trade programs also avoid many of the environmental drawbacks associated with RPS and LCFS policies. For example, they do not cause land use intensification, making them more environmentally sustainable in that regard (Holland et al., 2015). They also tend to achieve emissions reductions more rapidly than other regulatory tools (Schmalensee &amp; Stavins, 2015).</w:t>
      </w:r>
    </w:p>
    <w:p w14:paraId="17AB2035" w14:textId="27259D00" w:rsidR="00636568" w:rsidRPr="00583F90" w:rsidRDefault="00636568" w:rsidP="00636568">
      <w:pPr>
        <w:spacing w:line="324" w:lineRule="auto"/>
        <w:ind w:firstLine="720"/>
        <w:rPr>
          <w:rFonts w:ascii="Book Antiqua" w:hAnsi="Book Antiqua"/>
          <w:bCs/>
          <w:sz w:val="24"/>
          <w:szCs w:val="24"/>
        </w:rPr>
      </w:pPr>
      <w:r w:rsidRPr="00583F90">
        <w:rPr>
          <w:rFonts w:ascii="Book Antiqua" w:hAnsi="Book Antiqua"/>
          <w:bCs/>
          <w:sz w:val="24"/>
          <w:szCs w:val="24"/>
        </w:rPr>
        <w:t>However, cap-and-trade systems are not without challenges. One key issue is price volatility, especially in thin markets or when rules around banking and borrowing are ambiguous (Schmalensee &amp; Stavins, 2015). Another challenge lies in the design of the emissions cap: if set too high, it fails to generate meaningful reductions; if set too low, compliance costs can become excessive and politically untenable (Schmalensee &amp; Stavins, 2015).</w:t>
      </w:r>
    </w:p>
    <w:p w14:paraId="515DC4AD" w14:textId="6904D799" w:rsidR="00636568" w:rsidRPr="00583F90" w:rsidRDefault="00636568" w:rsidP="00636568">
      <w:pPr>
        <w:spacing w:line="324" w:lineRule="auto"/>
        <w:ind w:firstLine="720"/>
        <w:rPr>
          <w:rFonts w:ascii="Book Antiqua" w:hAnsi="Book Antiqua"/>
          <w:bCs/>
          <w:sz w:val="24"/>
          <w:szCs w:val="24"/>
        </w:rPr>
      </w:pPr>
      <w:r w:rsidRPr="00583F90">
        <w:rPr>
          <w:rFonts w:ascii="Book Antiqua" w:hAnsi="Book Antiqua"/>
          <w:bCs/>
          <w:sz w:val="24"/>
          <w:szCs w:val="24"/>
        </w:rPr>
        <w:t>Political compromises often result in free allowance allocations, which can generate windfall profits for certain industries and raise concerns about equity and fairness (Grainger &amp; Costello, 2015). Moreover, overlapping policies can dilute the price signals that cap-and-trade relies on, thus reducing its cost-effectiveness (Schmalensee &amp; Stavins, 2015; Breetz et al., 2005). Effective implementation also requires robust administrative oversight to prevent evasion and ensure compliance.</w:t>
      </w:r>
    </w:p>
    <w:p w14:paraId="65231563" w14:textId="6EF00FBF" w:rsidR="00044295" w:rsidRDefault="00636568" w:rsidP="00583F90">
      <w:pPr>
        <w:spacing w:line="324" w:lineRule="auto"/>
        <w:ind w:firstLine="720"/>
        <w:rPr>
          <w:rFonts w:ascii="Book Antiqua" w:hAnsi="Book Antiqua"/>
          <w:bCs/>
          <w:sz w:val="24"/>
          <w:szCs w:val="24"/>
        </w:rPr>
      </w:pPr>
      <w:r w:rsidRPr="00583F90">
        <w:rPr>
          <w:rFonts w:ascii="Book Antiqua" w:hAnsi="Book Antiqua"/>
          <w:bCs/>
          <w:sz w:val="24"/>
          <w:szCs w:val="24"/>
        </w:rPr>
        <w:t xml:space="preserve">Finally, although cap-and-trade systems address emissions at an aggregate level, they can give rise to local "hot spots"—areas where pollution intensifies rather than </w:t>
      </w:r>
      <w:r w:rsidRPr="00583F90">
        <w:rPr>
          <w:rFonts w:ascii="Book Antiqua" w:hAnsi="Book Antiqua"/>
          <w:bCs/>
          <w:sz w:val="24"/>
          <w:szCs w:val="24"/>
        </w:rPr>
        <w:lastRenderedPageBreak/>
        <w:t xml:space="preserve">declines. Hathaway (2018) finds that the market-driven allocation of emissions permits can concentrate pollution in lower-income </w:t>
      </w:r>
      <w:r w:rsidR="00BB6113" w:rsidRPr="00583F90">
        <w:rPr>
          <w:rFonts w:ascii="Book Antiqua" w:hAnsi="Book Antiqua"/>
          <w:b/>
          <w:noProof/>
          <w:sz w:val="24"/>
          <w:szCs w:val="24"/>
        </w:rPr>
        <w:drawing>
          <wp:anchor distT="0" distB="0" distL="114300" distR="114300" simplePos="0" relativeHeight="251664384" behindDoc="1" locked="0" layoutInCell="1" allowOverlap="1" wp14:anchorId="5A5F89D9" wp14:editId="4E6D4FCD">
            <wp:simplePos x="0" y="0"/>
            <wp:positionH relativeFrom="margin">
              <wp:align>right</wp:align>
            </wp:positionH>
            <wp:positionV relativeFrom="paragraph">
              <wp:posOffset>854</wp:posOffset>
            </wp:positionV>
            <wp:extent cx="3640455" cy="2899410"/>
            <wp:effectExtent l="0" t="0" r="0" b="0"/>
            <wp:wrapTight wrapText="bothSides">
              <wp:wrapPolygon edited="0">
                <wp:start x="0" y="0"/>
                <wp:lineTo x="0" y="21430"/>
                <wp:lineTo x="21476" y="21430"/>
                <wp:lineTo x="21476" y="0"/>
                <wp:lineTo x="0" y="0"/>
              </wp:wrapPolygon>
            </wp:wrapTight>
            <wp:docPr id="119468181" name="Picture 10" descr="A truck with a tanker trailer&#10;&#10;AI-generated content may be incorrect.">
              <a:extLst xmlns:a="http://schemas.openxmlformats.org/drawingml/2006/main">
                <a:ext uri="{FF2B5EF4-FFF2-40B4-BE49-F238E27FC236}">
                  <a16:creationId xmlns:a16="http://schemas.microsoft.com/office/drawing/2014/main" id="{FBAF8F79-FFA9-6882-636A-68457E853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181" name="Picture 10" descr="A truck with a tanker trailer&#10;&#10;AI-generated content may be incorrect.">
                      <a:extLst>
                        <a:ext uri="{FF2B5EF4-FFF2-40B4-BE49-F238E27FC236}">
                          <a16:creationId xmlns:a16="http://schemas.microsoft.com/office/drawing/2014/main" id="{FBAF8F79-FFA9-6882-636A-68457E853A7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40455" cy="2899410"/>
                    </a:xfrm>
                    <a:prstGeom prst="rect">
                      <a:avLst/>
                    </a:prstGeom>
                  </pic:spPr>
                </pic:pic>
              </a:graphicData>
            </a:graphic>
            <wp14:sizeRelH relativeFrom="margin">
              <wp14:pctWidth>0</wp14:pctWidth>
            </wp14:sizeRelH>
            <wp14:sizeRelV relativeFrom="margin">
              <wp14:pctHeight>0</wp14:pctHeight>
            </wp14:sizeRelV>
          </wp:anchor>
        </w:drawing>
      </w:r>
      <w:r w:rsidRPr="00583F90">
        <w:rPr>
          <w:rFonts w:ascii="Book Antiqua" w:hAnsi="Book Antiqua"/>
          <w:bCs/>
          <w:sz w:val="24"/>
          <w:szCs w:val="24"/>
        </w:rPr>
        <w:t>communities, as firms shift emissions-heavy operations to areas with lower compliance costs or higher allocation volumes. Relatedly, emissions leakage can occur when emissions reductions in one region are offset by increases elsewhere, particularly when geographic or sectoral coverage is incomplete.</w:t>
      </w:r>
    </w:p>
    <w:p w14:paraId="2BD88EB6" w14:textId="77777777" w:rsidR="00583F90" w:rsidRPr="00583F90" w:rsidRDefault="00583F90" w:rsidP="00583F90">
      <w:pPr>
        <w:spacing w:line="324" w:lineRule="auto"/>
        <w:ind w:firstLine="720"/>
        <w:rPr>
          <w:rFonts w:ascii="Book Antiqua" w:hAnsi="Book Antiqua"/>
          <w:bCs/>
          <w:sz w:val="24"/>
          <w:szCs w:val="24"/>
        </w:rPr>
      </w:pPr>
    </w:p>
    <w:p w14:paraId="2B609AB3" w14:textId="24D2810E" w:rsidR="001E77C8" w:rsidRPr="00583F90" w:rsidRDefault="001E77C8" w:rsidP="00167D6F">
      <w:pPr>
        <w:spacing w:line="324" w:lineRule="auto"/>
        <w:rPr>
          <w:rFonts w:ascii="Book Antiqua" w:hAnsi="Book Antiqua"/>
          <w:bCs/>
          <w:sz w:val="24"/>
          <w:szCs w:val="24"/>
          <w:u w:val="single"/>
        </w:rPr>
      </w:pPr>
      <w:r w:rsidRPr="00583F90">
        <w:rPr>
          <w:rFonts w:ascii="Book Antiqua" w:hAnsi="Book Antiqua"/>
          <w:bCs/>
          <w:sz w:val="24"/>
          <w:szCs w:val="24"/>
          <w:u w:val="single"/>
        </w:rPr>
        <w:t>Summary</w:t>
      </w:r>
    </w:p>
    <w:tbl>
      <w:tblPr>
        <w:tblStyle w:val="PlainTable5"/>
        <w:tblW w:w="11250" w:type="dxa"/>
        <w:jc w:val="center"/>
        <w:tblLook w:val="04A0" w:firstRow="1" w:lastRow="0" w:firstColumn="1" w:lastColumn="0" w:noHBand="0" w:noVBand="1"/>
      </w:tblPr>
      <w:tblGrid>
        <w:gridCol w:w="1318"/>
        <w:gridCol w:w="3632"/>
        <w:gridCol w:w="3330"/>
        <w:gridCol w:w="2970"/>
      </w:tblGrid>
      <w:tr w:rsidR="00E86005" w:rsidRPr="00583F90" w14:paraId="394D135E" w14:textId="77777777" w:rsidTr="00E8600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tcPr>
          <w:p w14:paraId="29CB4E96" w14:textId="073229B5" w:rsidR="00D3776F" w:rsidRPr="00583F90" w:rsidRDefault="00D3776F" w:rsidP="00167D6F">
            <w:pPr>
              <w:spacing w:line="324" w:lineRule="auto"/>
              <w:rPr>
                <w:rFonts w:ascii="Book Antiqua" w:hAnsi="Book Antiqua"/>
                <w:b/>
                <w:sz w:val="20"/>
                <w:szCs w:val="20"/>
              </w:rPr>
            </w:pPr>
            <w:r w:rsidRPr="00583F90">
              <w:rPr>
                <w:rFonts w:ascii="Book Antiqua" w:hAnsi="Book Antiqua"/>
                <w:b/>
                <w:sz w:val="20"/>
                <w:szCs w:val="20"/>
              </w:rPr>
              <w:t>Dimension</w:t>
            </w:r>
          </w:p>
        </w:tc>
        <w:tc>
          <w:tcPr>
            <w:tcW w:w="3632" w:type="dxa"/>
          </w:tcPr>
          <w:p w14:paraId="7792A9F4" w14:textId="182BB5AD" w:rsidR="00D3776F" w:rsidRPr="00583F90" w:rsidRDefault="00D3776F" w:rsidP="00167D6F">
            <w:pPr>
              <w:spacing w:line="324" w:lineRule="auto"/>
              <w:cnfStyle w:val="100000000000" w:firstRow="1" w:lastRow="0" w:firstColumn="0" w:lastColumn="0" w:oddVBand="0" w:evenVBand="0" w:oddHBand="0" w:evenHBand="0" w:firstRowFirstColumn="0" w:firstRowLastColumn="0" w:lastRowFirstColumn="0" w:lastRowLastColumn="0"/>
              <w:rPr>
                <w:rFonts w:ascii="Book Antiqua" w:hAnsi="Book Antiqua"/>
                <w:b/>
                <w:sz w:val="20"/>
                <w:szCs w:val="20"/>
              </w:rPr>
            </w:pPr>
            <w:r w:rsidRPr="00583F90">
              <w:rPr>
                <w:rFonts w:ascii="Book Antiqua" w:hAnsi="Book Antiqua"/>
                <w:b/>
                <w:sz w:val="20"/>
                <w:szCs w:val="20"/>
              </w:rPr>
              <w:t>RPS</w:t>
            </w:r>
          </w:p>
        </w:tc>
        <w:tc>
          <w:tcPr>
            <w:tcW w:w="3330" w:type="dxa"/>
          </w:tcPr>
          <w:p w14:paraId="508EF132" w14:textId="2FA0F423" w:rsidR="00D3776F" w:rsidRPr="00583F90" w:rsidRDefault="00D3776F" w:rsidP="00167D6F">
            <w:pPr>
              <w:spacing w:line="324" w:lineRule="auto"/>
              <w:cnfStyle w:val="100000000000" w:firstRow="1" w:lastRow="0" w:firstColumn="0" w:lastColumn="0" w:oddVBand="0" w:evenVBand="0" w:oddHBand="0" w:evenHBand="0" w:firstRowFirstColumn="0" w:firstRowLastColumn="0" w:lastRowFirstColumn="0" w:lastRowLastColumn="0"/>
              <w:rPr>
                <w:rFonts w:ascii="Book Antiqua" w:hAnsi="Book Antiqua"/>
                <w:b/>
                <w:sz w:val="20"/>
                <w:szCs w:val="20"/>
              </w:rPr>
            </w:pPr>
            <w:r w:rsidRPr="00583F90">
              <w:rPr>
                <w:rFonts w:ascii="Book Antiqua" w:hAnsi="Book Antiqua"/>
                <w:b/>
                <w:sz w:val="20"/>
                <w:szCs w:val="20"/>
              </w:rPr>
              <w:t>LCFS</w:t>
            </w:r>
          </w:p>
        </w:tc>
        <w:tc>
          <w:tcPr>
            <w:tcW w:w="2970" w:type="dxa"/>
          </w:tcPr>
          <w:p w14:paraId="16C7F93D" w14:textId="598A9F53" w:rsidR="00D3776F" w:rsidRPr="00583F90" w:rsidRDefault="00D3776F" w:rsidP="00167D6F">
            <w:pPr>
              <w:spacing w:line="324" w:lineRule="auto"/>
              <w:cnfStyle w:val="100000000000" w:firstRow="1" w:lastRow="0" w:firstColumn="0" w:lastColumn="0" w:oddVBand="0" w:evenVBand="0" w:oddHBand="0" w:evenHBand="0" w:firstRowFirstColumn="0" w:firstRowLastColumn="0" w:lastRowFirstColumn="0" w:lastRowLastColumn="0"/>
              <w:rPr>
                <w:rFonts w:ascii="Book Antiqua" w:hAnsi="Book Antiqua"/>
                <w:b/>
                <w:sz w:val="20"/>
                <w:szCs w:val="20"/>
              </w:rPr>
            </w:pPr>
            <w:r w:rsidRPr="00583F90">
              <w:rPr>
                <w:rFonts w:ascii="Book Antiqua" w:hAnsi="Book Antiqua"/>
                <w:b/>
                <w:sz w:val="20"/>
                <w:szCs w:val="20"/>
              </w:rPr>
              <w:t xml:space="preserve">Cap and </w:t>
            </w:r>
            <w:proofErr w:type="gramStart"/>
            <w:r w:rsidRPr="00583F90">
              <w:rPr>
                <w:rFonts w:ascii="Book Antiqua" w:hAnsi="Book Antiqua"/>
                <w:b/>
                <w:sz w:val="20"/>
                <w:szCs w:val="20"/>
              </w:rPr>
              <w:t>Trade</w:t>
            </w:r>
            <w:proofErr w:type="gramEnd"/>
          </w:p>
        </w:tc>
      </w:tr>
      <w:tr w:rsidR="00E86005" w:rsidRPr="00583F90" w14:paraId="70E98B36" w14:textId="77777777" w:rsidTr="00E86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CECD14B" w14:textId="597004BB" w:rsidR="00D3776F" w:rsidRPr="00583F90" w:rsidRDefault="00D3776F" w:rsidP="00167D6F">
            <w:pPr>
              <w:spacing w:line="324" w:lineRule="auto"/>
              <w:rPr>
                <w:rFonts w:ascii="Book Antiqua" w:hAnsi="Book Antiqua"/>
                <w:bCs/>
                <w:sz w:val="20"/>
                <w:szCs w:val="20"/>
              </w:rPr>
            </w:pPr>
            <w:r w:rsidRPr="00583F90">
              <w:rPr>
                <w:rFonts w:ascii="Book Antiqua" w:hAnsi="Book Antiqua"/>
                <w:bCs/>
                <w:sz w:val="20"/>
                <w:szCs w:val="20"/>
              </w:rPr>
              <w:t>Unit Effectiveness</w:t>
            </w:r>
          </w:p>
        </w:tc>
        <w:tc>
          <w:tcPr>
            <w:tcW w:w="3632" w:type="dxa"/>
          </w:tcPr>
          <w:p w14:paraId="0426036A" w14:textId="66F06122"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Leads to significant renewable energy adoption and CO</w:t>
            </w:r>
            <w:r w:rsidRPr="00583F90">
              <w:rPr>
                <w:rFonts w:ascii="Cambria Math" w:hAnsi="Cambria Math" w:cs="Cambria Math"/>
                <w:bCs/>
                <w:sz w:val="20"/>
                <w:szCs w:val="20"/>
              </w:rPr>
              <w:t>₂</w:t>
            </w:r>
            <w:r w:rsidRPr="00583F90">
              <w:rPr>
                <w:rFonts w:ascii="Book Antiqua" w:hAnsi="Book Antiqua"/>
                <w:bCs/>
                <w:sz w:val="20"/>
                <w:szCs w:val="20"/>
              </w:rPr>
              <w:t xml:space="preserve"> reductions, especially from coal.</w:t>
            </w:r>
            <w:r w:rsidRPr="00583F90">
              <w:rPr>
                <w:rFonts w:ascii="Book Antiqua" w:hAnsi="Book Antiqua"/>
                <w:bCs/>
                <w:sz w:val="20"/>
                <w:szCs w:val="20"/>
              </w:rPr>
              <w:br/>
              <w:t>- Less effective where policies overlap or political resistance exists.</w:t>
            </w:r>
            <w:r w:rsidRPr="00583F90">
              <w:rPr>
                <w:rFonts w:ascii="Book Antiqua" w:hAnsi="Book Antiqua"/>
                <w:bCs/>
                <w:sz w:val="20"/>
                <w:szCs w:val="20"/>
              </w:rPr>
              <w:br/>
              <w:t>- May displace cleaner fuels like natural gas.</w:t>
            </w:r>
          </w:p>
        </w:tc>
        <w:tc>
          <w:tcPr>
            <w:tcW w:w="3330" w:type="dxa"/>
          </w:tcPr>
          <w:p w14:paraId="415DB2D4" w14:textId="01A86BC1"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Moderately effective in reducing transportation emissions.</w:t>
            </w:r>
            <w:r w:rsidRPr="00583F90">
              <w:rPr>
                <w:rFonts w:ascii="Book Antiqua" w:hAnsi="Book Antiqua"/>
                <w:bCs/>
                <w:sz w:val="20"/>
                <w:szCs w:val="20"/>
              </w:rPr>
              <w:br/>
              <w:t>- Effectiveness depends on fuel diversity and credit market strength.</w:t>
            </w:r>
            <w:r w:rsidRPr="00583F90">
              <w:rPr>
                <w:rFonts w:ascii="Book Antiqua" w:hAnsi="Book Antiqua"/>
                <w:bCs/>
                <w:sz w:val="20"/>
                <w:szCs w:val="20"/>
              </w:rPr>
              <w:br/>
              <w:t>- Works best in combination with other policies.</w:t>
            </w:r>
          </w:p>
        </w:tc>
        <w:tc>
          <w:tcPr>
            <w:tcW w:w="2970" w:type="dxa"/>
          </w:tcPr>
          <w:p w14:paraId="42A24722" w14:textId="56842854"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Proven to deliver substantial, economy-wide GHG reductions when cap is binding.</w:t>
            </w:r>
            <w:r w:rsidRPr="00583F90">
              <w:rPr>
                <w:rFonts w:ascii="Book Antiqua" w:hAnsi="Book Antiqua"/>
                <w:bCs/>
                <w:sz w:val="20"/>
                <w:szCs w:val="20"/>
              </w:rPr>
              <w:br/>
              <w:t>- Can drive faster emissions cuts than RPS or LCFS.</w:t>
            </w:r>
          </w:p>
        </w:tc>
      </w:tr>
      <w:tr w:rsidR="00E86005" w:rsidRPr="00583F90" w14:paraId="05C60E99" w14:textId="77777777" w:rsidTr="00E86005">
        <w:trPr>
          <w:jc w:val="center"/>
        </w:trPr>
        <w:tc>
          <w:tcPr>
            <w:cnfStyle w:val="001000000000" w:firstRow="0" w:lastRow="0" w:firstColumn="1" w:lastColumn="0" w:oddVBand="0" w:evenVBand="0" w:oddHBand="0" w:evenHBand="0" w:firstRowFirstColumn="0" w:firstRowLastColumn="0" w:lastRowFirstColumn="0" w:lastRowLastColumn="0"/>
            <w:tcW w:w="1318" w:type="dxa"/>
          </w:tcPr>
          <w:p w14:paraId="4A8E8D01" w14:textId="61A42568" w:rsidR="00D3776F" w:rsidRPr="00583F90" w:rsidRDefault="00D3776F" w:rsidP="00167D6F">
            <w:pPr>
              <w:spacing w:line="324" w:lineRule="auto"/>
              <w:rPr>
                <w:rFonts w:ascii="Book Antiqua" w:hAnsi="Book Antiqua"/>
                <w:bCs/>
                <w:sz w:val="20"/>
                <w:szCs w:val="20"/>
              </w:rPr>
            </w:pPr>
            <w:r w:rsidRPr="00583F90">
              <w:rPr>
                <w:rFonts w:ascii="Book Antiqua" w:hAnsi="Book Antiqua"/>
                <w:bCs/>
                <w:sz w:val="20"/>
                <w:szCs w:val="20"/>
              </w:rPr>
              <w:t>Cost Effectiveness</w:t>
            </w:r>
          </w:p>
        </w:tc>
        <w:tc>
          <w:tcPr>
            <w:tcW w:w="3632" w:type="dxa"/>
          </w:tcPr>
          <w:p w14:paraId="59C438E7" w14:textId="247489B0"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Increases electricity costs (~20% higher in RPS states).</w:t>
            </w:r>
            <w:r w:rsidRPr="00583F90">
              <w:rPr>
                <w:rFonts w:ascii="Book Antiqua" w:hAnsi="Book Antiqua"/>
                <w:bCs/>
                <w:sz w:val="20"/>
                <w:szCs w:val="20"/>
              </w:rPr>
              <w:br/>
              <w:t>- Does not minimize cost due to tech mandates.</w:t>
            </w:r>
            <w:r w:rsidRPr="00583F90">
              <w:rPr>
                <w:rFonts w:ascii="Book Antiqua" w:hAnsi="Book Antiqua"/>
                <w:bCs/>
                <w:sz w:val="20"/>
                <w:szCs w:val="20"/>
              </w:rPr>
              <w:br/>
              <w:t>- Higher compliance costs.</w:t>
            </w:r>
          </w:p>
        </w:tc>
        <w:tc>
          <w:tcPr>
            <w:tcW w:w="3330" w:type="dxa"/>
          </w:tcPr>
          <w:p w14:paraId="57C7D214" w14:textId="5D66A53F"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High marginal abatement costs for each unit of GHG reduced.</w:t>
            </w:r>
            <w:r w:rsidRPr="00583F90">
              <w:rPr>
                <w:rFonts w:ascii="Book Antiqua" w:hAnsi="Book Antiqua"/>
                <w:bCs/>
                <w:sz w:val="20"/>
                <w:szCs w:val="20"/>
              </w:rPr>
              <w:br/>
              <w:t>- Cost varies based on fuel market conditions.</w:t>
            </w:r>
            <w:r w:rsidRPr="00583F90">
              <w:rPr>
                <w:rFonts w:ascii="Book Antiqua" w:hAnsi="Book Antiqua"/>
                <w:bCs/>
                <w:sz w:val="20"/>
                <w:szCs w:val="20"/>
              </w:rPr>
              <w:br/>
              <w:t>- Risk of driving up fuel prices.</w:t>
            </w:r>
          </w:p>
        </w:tc>
        <w:tc>
          <w:tcPr>
            <w:tcW w:w="2970" w:type="dxa"/>
          </w:tcPr>
          <w:p w14:paraId="27D33324" w14:textId="7D2BC145"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Most cost-effective due to flexible, market-based structure.</w:t>
            </w:r>
            <w:r w:rsidRPr="00583F90">
              <w:rPr>
                <w:rFonts w:ascii="Book Antiqua" w:hAnsi="Book Antiqua"/>
                <w:bCs/>
                <w:sz w:val="20"/>
                <w:szCs w:val="20"/>
              </w:rPr>
              <w:br/>
              <w:t>- Lowers overall abatement cost by allowing cheapest reductions first.</w:t>
            </w:r>
          </w:p>
        </w:tc>
      </w:tr>
      <w:tr w:rsidR="00E86005" w:rsidRPr="00583F90" w14:paraId="519925E4" w14:textId="77777777" w:rsidTr="00E86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A2ABD94" w14:textId="384BA43B" w:rsidR="00D3776F" w:rsidRPr="00583F90" w:rsidRDefault="00D3776F" w:rsidP="00167D6F">
            <w:pPr>
              <w:spacing w:line="324" w:lineRule="auto"/>
              <w:rPr>
                <w:rFonts w:ascii="Book Antiqua" w:hAnsi="Book Antiqua"/>
                <w:bCs/>
                <w:sz w:val="20"/>
                <w:szCs w:val="20"/>
              </w:rPr>
            </w:pPr>
            <w:r w:rsidRPr="00583F90">
              <w:rPr>
                <w:rFonts w:ascii="Book Antiqua" w:hAnsi="Book Antiqua"/>
                <w:bCs/>
                <w:sz w:val="20"/>
                <w:szCs w:val="20"/>
              </w:rPr>
              <w:t>Efficiency</w:t>
            </w:r>
          </w:p>
        </w:tc>
        <w:tc>
          <w:tcPr>
            <w:tcW w:w="3632" w:type="dxa"/>
          </w:tcPr>
          <w:p w14:paraId="74B7A0DE" w14:textId="4756D43C"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Less efficient than alternatives like carbon pricing.</w:t>
            </w:r>
            <w:r w:rsidRPr="00583F90">
              <w:rPr>
                <w:rFonts w:ascii="Book Antiqua" w:hAnsi="Book Antiqua"/>
                <w:bCs/>
                <w:sz w:val="20"/>
                <w:szCs w:val="20"/>
              </w:rPr>
              <w:br/>
              <w:t>- Mandates specific technologies, increasing total system cost.</w:t>
            </w:r>
            <w:r w:rsidRPr="00583F90">
              <w:rPr>
                <w:rFonts w:ascii="Book Antiqua" w:hAnsi="Book Antiqua"/>
                <w:bCs/>
                <w:sz w:val="20"/>
                <w:szCs w:val="20"/>
              </w:rPr>
              <w:br/>
              <w:t>- Doesn't optimize reduction location.</w:t>
            </w:r>
          </w:p>
        </w:tc>
        <w:tc>
          <w:tcPr>
            <w:tcW w:w="3330" w:type="dxa"/>
          </w:tcPr>
          <w:p w14:paraId="43A35724" w14:textId="0C6CFEA1"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Less efficient due to fragmented crediting system and lack of direct pricing.</w:t>
            </w:r>
            <w:r w:rsidRPr="00583F90">
              <w:rPr>
                <w:rFonts w:ascii="Book Antiqua" w:hAnsi="Book Antiqua"/>
                <w:bCs/>
                <w:sz w:val="20"/>
                <w:szCs w:val="20"/>
              </w:rPr>
              <w:br/>
              <w:t>- Market complexity increases cost of achieving targets.</w:t>
            </w:r>
          </w:p>
        </w:tc>
        <w:tc>
          <w:tcPr>
            <w:tcW w:w="2970" w:type="dxa"/>
          </w:tcPr>
          <w:p w14:paraId="6C52C888" w14:textId="6B3ABFCD" w:rsidR="00D3776F" w:rsidRPr="00583F90" w:rsidRDefault="00D3776F" w:rsidP="00167D6F">
            <w:pPr>
              <w:spacing w:line="324" w:lineRule="auto"/>
              <w:cnfStyle w:val="000000100000" w:firstRow="0" w:lastRow="0" w:firstColumn="0" w:lastColumn="0" w:oddVBand="0" w:evenVBand="0" w:oddHBand="1"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Highly efficient relative to RPS and LCFS.</w:t>
            </w:r>
            <w:r w:rsidRPr="00583F90">
              <w:rPr>
                <w:rFonts w:ascii="Book Antiqua" w:hAnsi="Book Antiqua"/>
                <w:bCs/>
                <w:sz w:val="20"/>
                <w:szCs w:val="20"/>
              </w:rPr>
              <w:br/>
              <w:t>- Allows emitters to respond flexibly, reducing at lowest cost across sectors and locations.</w:t>
            </w:r>
          </w:p>
        </w:tc>
      </w:tr>
      <w:tr w:rsidR="00D3776F" w:rsidRPr="00583F90" w14:paraId="62550829" w14:textId="77777777" w:rsidTr="00E86005">
        <w:trPr>
          <w:jc w:val="center"/>
        </w:trPr>
        <w:tc>
          <w:tcPr>
            <w:cnfStyle w:val="001000000000" w:firstRow="0" w:lastRow="0" w:firstColumn="1" w:lastColumn="0" w:oddVBand="0" w:evenVBand="0" w:oddHBand="0" w:evenHBand="0" w:firstRowFirstColumn="0" w:firstRowLastColumn="0" w:lastRowFirstColumn="0" w:lastRowLastColumn="0"/>
            <w:tcW w:w="1318" w:type="dxa"/>
          </w:tcPr>
          <w:p w14:paraId="1CE847A9" w14:textId="0996D19C" w:rsidR="00D3776F" w:rsidRPr="00583F90" w:rsidRDefault="00D3776F" w:rsidP="00167D6F">
            <w:pPr>
              <w:spacing w:line="324" w:lineRule="auto"/>
              <w:rPr>
                <w:rFonts w:ascii="Book Antiqua" w:hAnsi="Book Antiqua"/>
                <w:bCs/>
                <w:sz w:val="20"/>
                <w:szCs w:val="20"/>
              </w:rPr>
            </w:pPr>
            <w:r w:rsidRPr="00583F90">
              <w:rPr>
                <w:rFonts w:ascii="Book Antiqua" w:hAnsi="Book Antiqua"/>
                <w:bCs/>
                <w:sz w:val="20"/>
                <w:szCs w:val="20"/>
              </w:rPr>
              <w:lastRenderedPageBreak/>
              <w:t>Equity</w:t>
            </w:r>
          </w:p>
        </w:tc>
        <w:tc>
          <w:tcPr>
            <w:tcW w:w="36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776F" w:rsidRPr="00583F90" w14:paraId="4F889AC5" w14:textId="77777777">
              <w:trPr>
                <w:tblCellSpacing w:w="15" w:type="dxa"/>
              </w:trPr>
              <w:tc>
                <w:tcPr>
                  <w:tcW w:w="0" w:type="auto"/>
                  <w:vAlign w:val="center"/>
                  <w:hideMark/>
                </w:tcPr>
                <w:p w14:paraId="1138EA7E" w14:textId="77777777" w:rsidR="00D3776F" w:rsidRPr="00583F90" w:rsidRDefault="00D3776F" w:rsidP="00D3776F">
                  <w:pPr>
                    <w:spacing w:line="324" w:lineRule="auto"/>
                    <w:rPr>
                      <w:rFonts w:ascii="Book Antiqua" w:hAnsi="Book Antiqua"/>
                      <w:bCs/>
                      <w:sz w:val="20"/>
                      <w:szCs w:val="20"/>
                    </w:rPr>
                  </w:pPr>
                </w:p>
              </w:tc>
            </w:tr>
          </w:tbl>
          <w:p w14:paraId="46A65DD8" w14:textId="77777777" w:rsidR="00D3776F" w:rsidRPr="00583F90" w:rsidRDefault="00D3776F" w:rsidP="00D377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6"/>
            </w:tblGrid>
            <w:tr w:rsidR="00D3776F" w:rsidRPr="00583F90" w14:paraId="5EC4E961" w14:textId="77777777">
              <w:trPr>
                <w:tblCellSpacing w:w="15" w:type="dxa"/>
              </w:trPr>
              <w:tc>
                <w:tcPr>
                  <w:tcW w:w="0" w:type="auto"/>
                  <w:vAlign w:val="center"/>
                  <w:hideMark/>
                </w:tcPr>
                <w:p w14:paraId="776AFEFB" w14:textId="77777777" w:rsidR="00D3776F" w:rsidRPr="00583F90" w:rsidRDefault="00D3776F" w:rsidP="00D3776F">
                  <w:pPr>
                    <w:spacing w:line="324" w:lineRule="auto"/>
                    <w:rPr>
                      <w:rFonts w:ascii="Book Antiqua" w:hAnsi="Book Antiqua"/>
                      <w:bCs/>
                      <w:sz w:val="20"/>
                      <w:szCs w:val="20"/>
                    </w:rPr>
                  </w:pPr>
                  <w:r w:rsidRPr="00583F90">
                    <w:rPr>
                      <w:rFonts w:ascii="Book Antiqua" w:hAnsi="Book Antiqua"/>
                      <w:bCs/>
                      <w:sz w:val="20"/>
                      <w:szCs w:val="20"/>
                    </w:rPr>
                    <w:t>- Higher electricity prices burden low-income households disproportionately.</w:t>
                  </w:r>
                  <w:r w:rsidRPr="00583F90">
                    <w:rPr>
                      <w:rFonts w:ascii="Book Antiqua" w:hAnsi="Book Antiqua"/>
                      <w:bCs/>
                      <w:sz w:val="20"/>
                      <w:szCs w:val="20"/>
                    </w:rPr>
                    <w:br/>
                    <w:t>- Adoption correlates with political ideology and income levels.</w:t>
                  </w:r>
                </w:p>
              </w:tc>
            </w:tr>
          </w:tbl>
          <w:p w14:paraId="1611E7C1" w14:textId="77777777"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p>
        </w:tc>
        <w:tc>
          <w:tcPr>
            <w:tcW w:w="3330" w:type="dxa"/>
          </w:tcPr>
          <w:p w14:paraId="47F483EC" w14:textId="506A9389"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Potentially regressive if fuel price increases are passed on to consumers.</w:t>
            </w:r>
            <w:r w:rsidRPr="00583F90">
              <w:rPr>
                <w:rFonts w:ascii="Book Antiqua" w:hAnsi="Book Antiqua"/>
                <w:bCs/>
                <w:sz w:val="20"/>
                <w:szCs w:val="20"/>
              </w:rPr>
              <w:br/>
              <w:t>- Equity outcomes depend on credit flows and vehicle access.</w:t>
            </w:r>
          </w:p>
        </w:tc>
        <w:tc>
          <w:tcPr>
            <w:tcW w:w="2970" w:type="dxa"/>
          </w:tcPr>
          <w:p w14:paraId="0A75C00A" w14:textId="12DD867F" w:rsidR="00D3776F" w:rsidRPr="00583F90" w:rsidRDefault="00D3776F" w:rsidP="00167D6F">
            <w:pPr>
              <w:spacing w:line="324" w:lineRule="auto"/>
              <w:cnfStyle w:val="000000000000" w:firstRow="0" w:lastRow="0" w:firstColumn="0" w:lastColumn="0" w:oddVBand="0" w:evenVBand="0" w:oddHBand="0" w:evenHBand="0" w:firstRowFirstColumn="0" w:firstRowLastColumn="0" w:lastRowFirstColumn="0" w:lastRowLastColumn="0"/>
              <w:rPr>
                <w:rFonts w:ascii="Book Antiqua" w:hAnsi="Book Antiqua"/>
                <w:bCs/>
                <w:sz w:val="20"/>
                <w:szCs w:val="20"/>
              </w:rPr>
            </w:pPr>
            <w:r w:rsidRPr="00583F90">
              <w:rPr>
                <w:rFonts w:ascii="Book Antiqua" w:hAnsi="Book Antiqua"/>
                <w:bCs/>
                <w:sz w:val="20"/>
                <w:szCs w:val="20"/>
              </w:rPr>
              <w:t>- Risks of hot spots and leakage can disproportionately affect low-income communities.</w:t>
            </w:r>
            <w:r w:rsidRPr="00583F90">
              <w:rPr>
                <w:rFonts w:ascii="Book Antiqua" w:hAnsi="Book Antiqua"/>
                <w:bCs/>
                <w:sz w:val="20"/>
                <w:szCs w:val="20"/>
              </w:rPr>
              <w:br/>
              <w:t>- Free allowance allocations may favor incumbent polluters.</w:t>
            </w:r>
          </w:p>
        </w:tc>
      </w:tr>
    </w:tbl>
    <w:p w14:paraId="1CB01118" w14:textId="4691E3C5" w:rsidR="00D3776F" w:rsidRPr="00583F90" w:rsidRDefault="00D3776F" w:rsidP="00167D6F">
      <w:pPr>
        <w:spacing w:line="324" w:lineRule="auto"/>
        <w:rPr>
          <w:rFonts w:ascii="Book Antiqua" w:hAnsi="Book Antiqua"/>
          <w:bCs/>
          <w:sz w:val="24"/>
          <w:szCs w:val="24"/>
          <w:u w:val="single"/>
        </w:rPr>
      </w:pPr>
    </w:p>
    <w:p w14:paraId="461099DA" w14:textId="3C62A65B" w:rsidR="00167D6F" w:rsidRPr="00583F90" w:rsidRDefault="00D54319" w:rsidP="00167D6F">
      <w:pPr>
        <w:spacing w:line="324" w:lineRule="auto"/>
        <w:rPr>
          <w:rFonts w:ascii="Book Antiqua" w:hAnsi="Book Antiqua"/>
          <w:b/>
          <w:sz w:val="24"/>
          <w:szCs w:val="24"/>
        </w:rPr>
      </w:pPr>
      <w:r w:rsidRPr="00583F90">
        <w:rPr>
          <w:rFonts w:ascii="Book Antiqua" w:hAnsi="Book Antiqua"/>
          <w:b/>
          <w:sz w:val="24"/>
          <w:szCs w:val="24"/>
        </w:rPr>
        <w:t>Policy Proposal</w:t>
      </w:r>
    </w:p>
    <w:p w14:paraId="7AED1D48" w14:textId="2BE1B889" w:rsidR="00583F90" w:rsidRDefault="00583F90" w:rsidP="009D1883">
      <w:pPr>
        <w:spacing w:line="324" w:lineRule="auto"/>
        <w:rPr>
          <w:rFonts w:ascii="Book Antiqua" w:hAnsi="Book Antiqua"/>
          <w:bCs/>
          <w:sz w:val="24"/>
          <w:szCs w:val="24"/>
          <w:u w:val="single"/>
        </w:rPr>
      </w:pPr>
      <w:r w:rsidRPr="00583F90">
        <w:rPr>
          <w:rFonts w:ascii="Book Antiqua" w:hAnsi="Book Antiqua"/>
          <w:b/>
          <w:noProof/>
          <w:sz w:val="24"/>
          <w:szCs w:val="24"/>
        </w:rPr>
        <w:drawing>
          <wp:anchor distT="0" distB="0" distL="114300" distR="114300" simplePos="0" relativeHeight="251666432" behindDoc="1" locked="0" layoutInCell="1" allowOverlap="1" wp14:anchorId="3F6E7AA8" wp14:editId="0D712E5F">
            <wp:simplePos x="0" y="0"/>
            <wp:positionH relativeFrom="margin">
              <wp:align>right</wp:align>
            </wp:positionH>
            <wp:positionV relativeFrom="paragraph">
              <wp:posOffset>14167</wp:posOffset>
            </wp:positionV>
            <wp:extent cx="3152775" cy="4265295"/>
            <wp:effectExtent l="0" t="0" r="9525" b="1905"/>
            <wp:wrapSquare wrapText="bothSides"/>
            <wp:docPr id="7" name="Picture 6" descr="A map of california with blue squares&#10;&#10;AI-generated content may be incorrect.">
              <a:extLst xmlns:a="http://schemas.openxmlformats.org/drawingml/2006/main">
                <a:ext uri="{FF2B5EF4-FFF2-40B4-BE49-F238E27FC236}">
                  <a16:creationId xmlns:a16="http://schemas.microsoft.com/office/drawing/2014/main" id="{BF08FAFA-51C7-7F00-71EC-AF5FF4150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p of california with blue squares&#10;&#10;AI-generated content may be incorrect.">
                      <a:extLst>
                        <a:ext uri="{FF2B5EF4-FFF2-40B4-BE49-F238E27FC236}">
                          <a16:creationId xmlns:a16="http://schemas.microsoft.com/office/drawing/2014/main" id="{BF08FAFA-51C7-7F00-71EC-AF5FF4150A1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52775" cy="4265295"/>
                    </a:xfrm>
                    <a:prstGeom prst="rect">
                      <a:avLst/>
                    </a:prstGeom>
                  </pic:spPr>
                </pic:pic>
              </a:graphicData>
            </a:graphic>
            <wp14:sizeRelH relativeFrom="margin">
              <wp14:pctWidth>0</wp14:pctWidth>
            </wp14:sizeRelH>
            <wp14:sizeRelV relativeFrom="margin">
              <wp14:pctHeight>0</wp14:pctHeight>
            </wp14:sizeRelV>
          </wp:anchor>
        </w:drawing>
      </w:r>
      <w:r w:rsidR="00D54319" w:rsidRPr="00583F90">
        <w:rPr>
          <w:rFonts w:ascii="Book Antiqua" w:hAnsi="Book Antiqua"/>
          <w:bCs/>
          <w:sz w:val="24"/>
          <w:szCs w:val="24"/>
          <w:u w:val="single"/>
        </w:rPr>
        <w:t>Problem</w:t>
      </w:r>
      <w:r w:rsidR="00CC0B36" w:rsidRPr="00583F90">
        <w:rPr>
          <w:rFonts w:ascii="Book Antiqua" w:hAnsi="Book Antiqua"/>
          <w:bCs/>
          <w:sz w:val="24"/>
          <w:szCs w:val="24"/>
          <w:u w:val="single"/>
        </w:rPr>
        <w:t xml:space="preserve"> 1</w:t>
      </w:r>
    </w:p>
    <w:p w14:paraId="474646A8" w14:textId="2EB33414" w:rsidR="009D1883" w:rsidRPr="00583F90" w:rsidRDefault="00146DA1" w:rsidP="00583F90">
      <w:pPr>
        <w:spacing w:line="324" w:lineRule="auto"/>
        <w:ind w:firstLine="720"/>
        <w:rPr>
          <w:rFonts w:ascii="Book Antiqua" w:hAnsi="Book Antiqua"/>
          <w:bCs/>
          <w:sz w:val="24"/>
          <w:szCs w:val="24"/>
        </w:rPr>
      </w:pPr>
      <w:r w:rsidRPr="00583F90">
        <w:rPr>
          <w:rFonts w:ascii="Book Antiqua" w:hAnsi="Book Antiqua"/>
          <w:bCs/>
          <w:sz w:val="24"/>
          <w:szCs w:val="24"/>
        </w:rPr>
        <w:t>A major concern with AB-32 is the broad, uniform scope of its cap-and-trade system. By setting a single statewide carbon cap, the program overlooks regional disparities in pollution burden, industrial activity, and community vulnerability. While this design supports administrative simplicity and market liquidity, it can lead to emissions “hot spots” in areas like the Central Valley and South Coast air basin—regions that often host lower-income communities. As a result, these communities may face persistently high or even increased pollution levels alongside higher energy costs, raising serious equity concerns due to the regressive nature of these impacts.</w:t>
      </w:r>
      <w:r w:rsidR="00583F90">
        <w:rPr>
          <w:rFonts w:ascii="Book Antiqua" w:hAnsi="Book Antiqua"/>
          <w:bCs/>
          <w:sz w:val="24"/>
          <w:szCs w:val="24"/>
        </w:rPr>
        <w:t xml:space="preserve"> </w:t>
      </w:r>
      <w:r w:rsidRPr="00583F90">
        <w:rPr>
          <w:rFonts w:ascii="Book Antiqua" w:hAnsi="Book Antiqua"/>
          <w:bCs/>
          <w:sz w:val="24"/>
          <w:szCs w:val="24"/>
        </w:rPr>
        <w:t xml:space="preserve">I propose </w:t>
      </w:r>
      <w:r w:rsidR="00583F90">
        <w:rPr>
          <w:rFonts w:ascii="Book Antiqua" w:hAnsi="Book Antiqua"/>
          <w:bCs/>
          <w:sz w:val="24"/>
          <w:szCs w:val="24"/>
        </w:rPr>
        <w:t>th</w:t>
      </w:r>
      <w:r w:rsidRPr="00583F90">
        <w:rPr>
          <w:rFonts w:ascii="Book Antiqua" w:hAnsi="Book Antiqua"/>
          <w:bCs/>
          <w:sz w:val="24"/>
          <w:szCs w:val="24"/>
        </w:rPr>
        <w:t>e introduction of nested regional sub-caps within the existing statewide market.</w:t>
      </w:r>
      <w:r w:rsidR="009D1883" w:rsidRPr="00583F90">
        <w:rPr>
          <w:rFonts w:ascii="Book Antiqua" w:hAnsi="Book Antiqua"/>
          <w:bCs/>
          <w:sz w:val="24"/>
          <w:szCs w:val="24"/>
        </w:rPr>
        <w:t xml:space="preserve"> Under this design, the total statewide emissions cap would remain intact, but a portion of allowances would be allocated into regional sub-caps. These sub-caps would apply to areas with particularly high industrial emissions or vulnerable populations. Allowances within each sub-cap would be tradable only within that region, while the rest of the market would remain fully statewide.</w:t>
      </w:r>
    </w:p>
    <w:p w14:paraId="3F6D6A3A" w14:textId="04B0687D" w:rsidR="009D1883" w:rsidRPr="00583F90" w:rsidRDefault="00583F90" w:rsidP="009D1883">
      <w:pPr>
        <w:spacing w:line="324" w:lineRule="auto"/>
        <w:rPr>
          <w:rFonts w:ascii="Book Antiqua" w:hAnsi="Book Antiqua"/>
          <w:bCs/>
          <w:sz w:val="24"/>
          <w:szCs w:val="24"/>
        </w:rPr>
      </w:pPr>
      <w:r w:rsidRPr="00583F90">
        <w:rPr>
          <w:rFonts w:ascii="Book Antiqua" w:hAnsi="Book Antiqua"/>
          <w:bCs/>
          <w:noProof/>
          <w:sz w:val="24"/>
          <w:szCs w:val="24"/>
        </w:rPr>
        <w:lastRenderedPageBreak/>
        <w:drawing>
          <wp:anchor distT="0" distB="0" distL="114300" distR="114300" simplePos="0" relativeHeight="251667456" behindDoc="1" locked="0" layoutInCell="1" allowOverlap="1" wp14:anchorId="475F59FE" wp14:editId="044DD0E8">
            <wp:simplePos x="0" y="0"/>
            <wp:positionH relativeFrom="margin">
              <wp:align>right</wp:align>
            </wp:positionH>
            <wp:positionV relativeFrom="paragraph">
              <wp:posOffset>1177508</wp:posOffset>
            </wp:positionV>
            <wp:extent cx="2453005" cy="2595880"/>
            <wp:effectExtent l="0" t="0" r="4445" b="0"/>
            <wp:wrapTight wrapText="bothSides">
              <wp:wrapPolygon edited="0">
                <wp:start x="0" y="0"/>
                <wp:lineTo x="0" y="21399"/>
                <wp:lineTo x="21471" y="21399"/>
                <wp:lineTo x="21471" y="0"/>
                <wp:lineTo x="0" y="0"/>
              </wp:wrapPolygon>
            </wp:wrapTight>
            <wp:docPr id="176860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3005"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883" w:rsidRPr="00583F90">
        <w:rPr>
          <w:rFonts w:ascii="Book Antiqua" w:hAnsi="Book Antiqua"/>
          <w:bCs/>
          <w:sz w:val="24"/>
          <w:szCs w:val="24"/>
        </w:rPr>
        <w:t>This hybrid approach would:</w:t>
      </w:r>
      <w:r>
        <w:rPr>
          <w:rFonts w:ascii="Book Antiqua" w:hAnsi="Book Antiqua"/>
          <w:bCs/>
          <w:sz w:val="24"/>
          <w:szCs w:val="24"/>
        </w:rPr>
        <w:t xml:space="preserve"> A) </w:t>
      </w:r>
      <w:r w:rsidR="009D1883" w:rsidRPr="00583F90">
        <w:rPr>
          <w:rFonts w:ascii="Book Antiqua" w:hAnsi="Book Antiqua"/>
          <w:bCs/>
          <w:sz w:val="24"/>
          <w:szCs w:val="24"/>
        </w:rPr>
        <w:t>Allow regions with large industrial footprints to feel a stronger price signal, encouraging localized mitigation.</w:t>
      </w:r>
      <w:r>
        <w:rPr>
          <w:rFonts w:ascii="Book Antiqua" w:hAnsi="Book Antiqua"/>
          <w:bCs/>
          <w:sz w:val="24"/>
          <w:szCs w:val="24"/>
        </w:rPr>
        <w:t xml:space="preserve"> B) </w:t>
      </w:r>
      <w:r w:rsidR="009D1883" w:rsidRPr="00583F90">
        <w:rPr>
          <w:rFonts w:ascii="Book Antiqua" w:hAnsi="Book Antiqua"/>
          <w:bCs/>
          <w:sz w:val="24"/>
          <w:szCs w:val="24"/>
        </w:rPr>
        <w:t>Create space for more place-based environmental justice solutions, without fragmenting the entire market.</w:t>
      </w:r>
      <w:r w:rsidR="00CC0B36" w:rsidRPr="00583F90">
        <w:rPr>
          <w:rFonts w:ascii="Book Antiqua" w:hAnsi="Book Antiqua"/>
          <w:bCs/>
          <w:sz w:val="24"/>
          <w:szCs w:val="24"/>
        </w:rPr>
        <w:t xml:space="preserve">  </w:t>
      </w:r>
      <w:r>
        <w:rPr>
          <w:rFonts w:ascii="Book Antiqua" w:hAnsi="Book Antiqua"/>
          <w:bCs/>
          <w:sz w:val="24"/>
          <w:szCs w:val="24"/>
        </w:rPr>
        <w:t xml:space="preserve">And C) </w:t>
      </w:r>
      <w:r w:rsidR="009D1883" w:rsidRPr="00583F90">
        <w:rPr>
          <w:rFonts w:ascii="Book Antiqua" w:hAnsi="Book Antiqua"/>
          <w:bCs/>
          <w:sz w:val="24"/>
          <w:szCs w:val="24"/>
        </w:rPr>
        <w:t>Preserve the core strengths of AB-32—cost-effectiveness, statewide coordination, and administrative efficiency.  Admittedly, setting up regional sub-caps would introduce some additional complexity and cost, especially in emissions tracking and allowance administration. But these costs could be minimized by building on the existing CARB infrastructure and emissions reporting system. And importantly, the benefits—more targeted pollution reduction, stronger local air quality improvements, and greater fairness—could make California’s climate policy a more equitable and scalable model for others to follow.</w:t>
      </w:r>
    </w:p>
    <w:p w14:paraId="5150559E" w14:textId="5B676676" w:rsidR="00CC0B36" w:rsidRPr="00583F90" w:rsidRDefault="00CC0B36" w:rsidP="009D1883">
      <w:pPr>
        <w:spacing w:line="324" w:lineRule="auto"/>
        <w:rPr>
          <w:rFonts w:ascii="Book Antiqua" w:hAnsi="Book Antiqua"/>
          <w:bCs/>
          <w:sz w:val="24"/>
          <w:szCs w:val="24"/>
        </w:rPr>
      </w:pPr>
    </w:p>
    <w:p w14:paraId="7891574A" w14:textId="130B1CB4" w:rsidR="00CC0B36" w:rsidRPr="00583F90" w:rsidRDefault="00CC0B36" w:rsidP="009D1883">
      <w:pPr>
        <w:spacing w:line="324" w:lineRule="auto"/>
        <w:rPr>
          <w:rFonts w:ascii="Book Antiqua" w:hAnsi="Book Antiqua"/>
          <w:bCs/>
          <w:sz w:val="24"/>
          <w:szCs w:val="24"/>
          <w:u w:val="single"/>
        </w:rPr>
      </w:pPr>
      <w:r w:rsidRPr="00583F90">
        <w:rPr>
          <w:rFonts w:ascii="Book Antiqua" w:hAnsi="Book Antiqua"/>
          <w:bCs/>
          <w:sz w:val="24"/>
          <w:szCs w:val="24"/>
          <w:u w:val="single"/>
        </w:rPr>
        <w:t>Problem 2</w:t>
      </w:r>
    </w:p>
    <w:p w14:paraId="417F3E5E" w14:textId="771A0F2E" w:rsidR="00CC0B36" w:rsidRPr="00583F90" w:rsidRDefault="00CC0B36" w:rsidP="009D1883">
      <w:pPr>
        <w:spacing w:line="324" w:lineRule="auto"/>
        <w:rPr>
          <w:rFonts w:ascii="Book Antiqua" w:hAnsi="Book Antiqua"/>
          <w:bCs/>
          <w:sz w:val="24"/>
          <w:szCs w:val="24"/>
        </w:rPr>
      </w:pPr>
      <w:r w:rsidRPr="00583F90">
        <w:rPr>
          <w:rFonts w:ascii="Book Antiqua" w:hAnsi="Book Antiqua"/>
          <w:bCs/>
          <w:sz w:val="24"/>
          <w:szCs w:val="24"/>
        </w:rPr>
        <w:t xml:space="preserve">Another limitation of AB-32 is that it gives no explicit consideration to nuclear energy, despite its potential as a low-carbon, reliable power source. Public opposition—often rooted in misconceptions about safety, waste, and environmental impact—has limited </w:t>
      </w:r>
      <w:proofErr w:type="spellStart"/>
      <w:r w:rsidRPr="00583F90">
        <w:rPr>
          <w:rFonts w:ascii="Book Antiqua" w:hAnsi="Book Antiqua"/>
          <w:bCs/>
          <w:sz w:val="24"/>
          <w:szCs w:val="24"/>
        </w:rPr>
        <w:t>nuclear’s</w:t>
      </w:r>
      <w:proofErr w:type="spellEnd"/>
      <w:r w:rsidRPr="00583F90">
        <w:rPr>
          <w:rFonts w:ascii="Book Antiqua" w:hAnsi="Book Antiqua"/>
          <w:bCs/>
          <w:sz w:val="24"/>
          <w:szCs w:val="24"/>
        </w:rPr>
        <w:t xml:space="preserve"> role in California’s decarbonization strategy. Addressing this gap will require targeted public education on the actual risks and benefits of nuclear power, especially in comparison to fossil fuels and even certain renewable alternatives, to ensure policy decisions are informed by evidence rather than perception.</w:t>
      </w:r>
    </w:p>
    <w:p w14:paraId="1855FD24" w14:textId="77777777" w:rsidR="00A8053A" w:rsidRPr="00583F90" w:rsidRDefault="00A8053A" w:rsidP="00167D6F">
      <w:pPr>
        <w:spacing w:line="324" w:lineRule="auto"/>
        <w:rPr>
          <w:rFonts w:ascii="Book Antiqua" w:hAnsi="Book Antiqua"/>
          <w:bCs/>
          <w:sz w:val="24"/>
          <w:szCs w:val="24"/>
          <w:u w:val="single"/>
        </w:rPr>
      </w:pPr>
    </w:p>
    <w:p w14:paraId="254EF8D5" w14:textId="77777777" w:rsidR="00C725D2" w:rsidRPr="00583F90" w:rsidRDefault="00C725D2" w:rsidP="00167D6F">
      <w:pPr>
        <w:spacing w:line="324" w:lineRule="auto"/>
        <w:rPr>
          <w:rFonts w:ascii="Book Antiqua" w:hAnsi="Book Antiqua"/>
          <w:bCs/>
          <w:sz w:val="24"/>
          <w:szCs w:val="24"/>
          <w:u w:val="single"/>
        </w:rPr>
      </w:pPr>
    </w:p>
    <w:p w14:paraId="3E64EDE3" w14:textId="77777777" w:rsidR="00C725D2" w:rsidRPr="00583F90" w:rsidRDefault="00C725D2" w:rsidP="00167D6F">
      <w:pPr>
        <w:spacing w:line="324" w:lineRule="auto"/>
        <w:rPr>
          <w:rFonts w:ascii="Book Antiqua" w:hAnsi="Book Antiqua"/>
          <w:bCs/>
          <w:sz w:val="24"/>
          <w:szCs w:val="24"/>
        </w:rPr>
      </w:pPr>
    </w:p>
    <w:p w14:paraId="55B7EB62" w14:textId="77777777" w:rsidR="009B165A" w:rsidRPr="00583F90" w:rsidRDefault="009B165A" w:rsidP="00167D6F">
      <w:pPr>
        <w:spacing w:line="324" w:lineRule="auto"/>
        <w:rPr>
          <w:rFonts w:ascii="Book Antiqua" w:hAnsi="Book Antiqua"/>
          <w:b/>
          <w:sz w:val="24"/>
          <w:szCs w:val="24"/>
        </w:rPr>
      </w:pPr>
    </w:p>
    <w:p w14:paraId="7430162B" w14:textId="77777777" w:rsidR="009B165A" w:rsidRDefault="009B165A" w:rsidP="00167D6F">
      <w:pPr>
        <w:spacing w:line="324" w:lineRule="auto"/>
        <w:rPr>
          <w:rFonts w:ascii="Book Antiqua" w:hAnsi="Book Antiqua"/>
          <w:b/>
          <w:sz w:val="24"/>
          <w:szCs w:val="24"/>
        </w:rPr>
      </w:pPr>
    </w:p>
    <w:p w14:paraId="779543CE" w14:textId="77777777" w:rsidR="00583F90" w:rsidRDefault="00583F90" w:rsidP="00167D6F">
      <w:pPr>
        <w:spacing w:line="324" w:lineRule="auto"/>
        <w:rPr>
          <w:rFonts w:ascii="Book Antiqua" w:hAnsi="Book Antiqua"/>
          <w:b/>
          <w:sz w:val="24"/>
          <w:szCs w:val="24"/>
        </w:rPr>
      </w:pPr>
    </w:p>
    <w:p w14:paraId="1145296F" w14:textId="77777777" w:rsidR="00583F90" w:rsidRDefault="00583F90" w:rsidP="00167D6F">
      <w:pPr>
        <w:spacing w:line="324" w:lineRule="auto"/>
        <w:rPr>
          <w:rFonts w:ascii="Book Antiqua" w:hAnsi="Book Antiqua"/>
          <w:b/>
          <w:sz w:val="24"/>
          <w:szCs w:val="24"/>
        </w:rPr>
      </w:pPr>
    </w:p>
    <w:p w14:paraId="426B156D" w14:textId="5F09B4F4" w:rsidR="00CC7ABF" w:rsidRPr="00583F90" w:rsidRDefault="00416F86" w:rsidP="00DF6FD7">
      <w:pPr>
        <w:spacing w:line="324" w:lineRule="auto"/>
        <w:rPr>
          <w:rFonts w:ascii="Book Antiqua" w:hAnsi="Book Antiqua"/>
          <w:b/>
          <w:sz w:val="24"/>
          <w:szCs w:val="24"/>
        </w:rPr>
      </w:pPr>
      <w:r w:rsidRPr="00583F90">
        <w:rPr>
          <w:rFonts w:ascii="Book Antiqua" w:hAnsi="Book Antiqua"/>
          <w:b/>
          <w:sz w:val="24"/>
          <w:szCs w:val="24"/>
        </w:rPr>
        <w:lastRenderedPageBreak/>
        <w:t>Appendix 1 – Charts and Tables</w:t>
      </w:r>
    </w:p>
    <w:p w14:paraId="1D56097F" w14:textId="7822E3D9" w:rsidR="00BB6113" w:rsidRDefault="00BB6113" w:rsidP="00BB6113">
      <w:pPr>
        <w:spacing w:line="324" w:lineRule="auto"/>
        <w:jc w:val="center"/>
        <w:rPr>
          <w:rFonts w:ascii="Book Antiqua" w:hAnsi="Book Antiqua"/>
          <w:b/>
          <w:sz w:val="24"/>
          <w:szCs w:val="24"/>
        </w:rPr>
      </w:pPr>
      <w:r w:rsidRPr="00583F90">
        <w:rPr>
          <w:rFonts w:ascii="Book Antiqua" w:hAnsi="Book Antiqua"/>
          <w:bCs/>
          <w:noProof/>
          <w:sz w:val="24"/>
          <w:szCs w:val="24"/>
        </w:rPr>
        <w:drawing>
          <wp:inline distT="0" distB="0" distL="0" distR="0" wp14:anchorId="6D8BF07E" wp14:editId="65E93DDB">
            <wp:extent cx="1819275" cy="2093595"/>
            <wp:effectExtent l="0" t="0" r="0" b="1905"/>
            <wp:docPr id="6" name="Picture 5" descr="A pie chart with numbers and text&#10;&#10;AI-generated content may be incorrect.">
              <a:extLst xmlns:a="http://schemas.openxmlformats.org/drawingml/2006/main">
                <a:ext uri="{FF2B5EF4-FFF2-40B4-BE49-F238E27FC236}">
                  <a16:creationId xmlns:a16="http://schemas.microsoft.com/office/drawing/2014/main" id="{511F631C-7FE6-DE1D-C327-5AE153264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e chart with numbers and text&#10;&#10;AI-generated content may be incorrect.">
                      <a:extLst>
                        <a:ext uri="{FF2B5EF4-FFF2-40B4-BE49-F238E27FC236}">
                          <a16:creationId xmlns:a16="http://schemas.microsoft.com/office/drawing/2014/main" id="{511F631C-7FE6-DE1D-C327-5AE15326428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6772" cy="2102547"/>
                    </a:xfrm>
                    <a:prstGeom prst="rect">
                      <a:avLst/>
                    </a:prstGeom>
                  </pic:spPr>
                </pic:pic>
              </a:graphicData>
            </a:graphic>
          </wp:inline>
        </w:drawing>
      </w:r>
    </w:p>
    <w:p w14:paraId="3AA6DF54" w14:textId="77777777" w:rsidR="00583F90" w:rsidRPr="00583F90" w:rsidRDefault="00583F90" w:rsidP="00583F90">
      <w:pPr>
        <w:spacing w:line="324" w:lineRule="auto"/>
        <w:rPr>
          <w:rFonts w:ascii="Book Antiqua" w:hAnsi="Book Antiqua"/>
          <w:bCs/>
          <w:sz w:val="24"/>
          <w:szCs w:val="24"/>
        </w:rPr>
      </w:pPr>
      <w:r w:rsidRPr="00583F90">
        <w:rPr>
          <w:rFonts w:ascii="Book Antiqua" w:hAnsi="Book Antiqua"/>
          <w:b/>
          <w:noProof/>
          <w:sz w:val="24"/>
          <w:szCs w:val="24"/>
        </w:rPr>
        <w:drawing>
          <wp:anchor distT="0" distB="0" distL="114300" distR="114300" simplePos="0" relativeHeight="251669504" behindDoc="1" locked="0" layoutInCell="1" allowOverlap="1" wp14:anchorId="2ED27920" wp14:editId="5B7D91C5">
            <wp:simplePos x="0" y="0"/>
            <wp:positionH relativeFrom="margin">
              <wp:align>left</wp:align>
            </wp:positionH>
            <wp:positionV relativeFrom="paragraph">
              <wp:posOffset>3810</wp:posOffset>
            </wp:positionV>
            <wp:extent cx="4160520" cy="1828800"/>
            <wp:effectExtent l="0" t="0" r="0" b="0"/>
            <wp:wrapSquare wrapText="bothSides"/>
            <wp:docPr id="711196502" name="Picture 2" descr="The left panel shows the greenhouse effect, where heat is trapped near Earth’s surface by naturally occurring greenhouse gases. The right panel shows how humans are intensifying the greenhouse effect through processes that release greenhouse gases into the atmosphere, mainly burning fossil fuels for energy and transportation. ">
              <a:extLst xmlns:a="http://schemas.openxmlformats.org/drawingml/2006/main">
                <a:ext uri="{FF2B5EF4-FFF2-40B4-BE49-F238E27FC236}">
                  <a16:creationId xmlns:a16="http://schemas.microsoft.com/office/drawing/2014/main" id="{B78F2406-893F-6A53-602B-6E41F29A3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he left panel shows the greenhouse effect, where heat is trapped near Earth’s surface by naturally occurring greenhouse gases. The right panel shows how humans are intensifying the greenhouse effect through processes that release greenhouse gases into the atmosphere, mainly burning fossil fuels for energy and transportation. ">
                      <a:extLst>
                        <a:ext uri="{FF2B5EF4-FFF2-40B4-BE49-F238E27FC236}">
                          <a16:creationId xmlns:a16="http://schemas.microsoft.com/office/drawing/2014/main" id="{B78F2406-893F-6A53-602B-6E41F29A3F84}"/>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effectLst>
                      <a:softEdge rad="63500"/>
                    </a:effectLst>
                  </pic:spPr>
                </pic:pic>
              </a:graphicData>
            </a:graphic>
          </wp:anchor>
        </w:drawing>
      </w:r>
      <w:r w:rsidRPr="00583F90">
        <w:rPr>
          <w:rFonts w:ascii="Book Antiqua" w:hAnsi="Book Antiqua"/>
          <w:bCs/>
          <w:sz w:val="24"/>
          <w:szCs w:val="24"/>
        </w:rPr>
        <w:t xml:space="preserve">Greenhouse gases absorb heat in the Earth’s atmosphere, trapping energy and warming the planet—a process known as the greenhouse effect. Human activities, especially burning fossil fuels, have increased the concentration of these gases, </w:t>
      </w:r>
      <w:proofErr w:type="gramStart"/>
      <w:r w:rsidRPr="00583F90">
        <w:rPr>
          <w:rFonts w:ascii="Book Antiqua" w:hAnsi="Book Antiqua"/>
          <w:bCs/>
          <w:sz w:val="24"/>
          <w:szCs w:val="24"/>
        </w:rPr>
        <w:t>intensifying</w:t>
      </w:r>
      <w:proofErr w:type="gramEnd"/>
      <w:r w:rsidRPr="00583F90">
        <w:rPr>
          <w:rFonts w:ascii="Book Antiqua" w:hAnsi="Book Antiqua"/>
          <w:bCs/>
          <w:sz w:val="24"/>
          <w:szCs w:val="24"/>
        </w:rPr>
        <w:t xml:space="preserve"> global warming and driving climate change. Greenhouse gases are atmospheric gases that trap heat by absorbing and re-emitting infrared </w:t>
      </w:r>
      <w:proofErr w:type="gramStart"/>
      <w:r w:rsidRPr="00583F90">
        <w:rPr>
          <w:rFonts w:ascii="Book Antiqua" w:hAnsi="Book Antiqua"/>
          <w:bCs/>
          <w:sz w:val="24"/>
          <w:szCs w:val="24"/>
        </w:rPr>
        <w:t>radiation—a</w:t>
      </w:r>
      <w:proofErr w:type="gramEnd"/>
      <w:r w:rsidRPr="00583F90">
        <w:rPr>
          <w:rFonts w:ascii="Book Antiqua" w:hAnsi="Book Antiqua"/>
          <w:bCs/>
          <w:sz w:val="24"/>
          <w:szCs w:val="24"/>
        </w:rPr>
        <w:t xml:space="preserve"> process known as the </w:t>
      </w:r>
      <w:r w:rsidRPr="00583F90">
        <w:rPr>
          <w:rFonts w:ascii="Book Antiqua" w:hAnsi="Book Antiqua"/>
          <w:b/>
          <w:bCs/>
          <w:sz w:val="24"/>
          <w:szCs w:val="24"/>
        </w:rPr>
        <w:t>greenhouse effect</w:t>
      </w:r>
      <w:r w:rsidRPr="00583F90">
        <w:rPr>
          <w:rFonts w:ascii="Book Antiqua" w:hAnsi="Book Antiqua"/>
          <w:bCs/>
          <w:sz w:val="24"/>
          <w:szCs w:val="24"/>
        </w:rPr>
        <w:t>. During the day, sunlight passes through the atmosphere and warms the Earth’s surface. At night, the planet cools by releasing that energy in the form of infrared radiation. While most of this radiation escapes into space, greenhouse gases such as carbon dioxide (CO</w:t>
      </w:r>
      <w:r w:rsidRPr="00583F90">
        <w:rPr>
          <w:rFonts w:ascii="Cambria Math" w:hAnsi="Cambria Math" w:cs="Cambria Math"/>
          <w:bCs/>
          <w:sz w:val="24"/>
          <w:szCs w:val="24"/>
        </w:rPr>
        <w:t>₂</w:t>
      </w:r>
      <w:r w:rsidRPr="00583F90">
        <w:rPr>
          <w:rFonts w:ascii="Book Antiqua" w:hAnsi="Book Antiqua"/>
          <w:bCs/>
          <w:sz w:val="24"/>
          <w:szCs w:val="24"/>
        </w:rPr>
        <w:t>), methane (CH</w:t>
      </w:r>
      <w:r w:rsidRPr="00583F90">
        <w:rPr>
          <w:rFonts w:ascii="Cambria Math" w:hAnsi="Cambria Math" w:cs="Cambria Math"/>
          <w:bCs/>
          <w:sz w:val="24"/>
          <w:szCs w:val="24"/>
        </w:rPr>
        <w:t>₄</w:t>
      </w:r>
      <w:r w:rsidRPr="00583F90">
        <w:rPr>
          <w:rFonts w:ascii="Book Antiqua" w:hAnsi="Book Antiqua"/>
          <w:bCs/>
          <w:sz w:val="24"/>
          <w:szCs w:val="24"/>
        </w:rPr>
        <w:t>), and nitrous oxide (N</w:t>
      </w:r>
      <w:r w:rsidRPr="00583F90">
        <w:rPr>
          <w:rFonts w:ascii="Cambria Math" w:hAnsi="Cambria Math" w:cs="Cambria Math"/>
          <w:bCs/>
          <w:sz w:val="24"/>
          <w:szCs w:val="24"/>
        </w:rPr>
        <w:t>₂</w:t>
      </w:r>
      <w:r w:rsidRPr="00583F90">
        <w:rPr>
          <w:rFonts w:ascii="Book Antiqua" w:hAnsi="Book Antiqua"/>
          <w:bCs/>
          <w:sz w:val="24"/>
          <w:szCs w:val="24"/>
        </w:rPr>
        <w:t>O) absorb a significant portion of it. Unlike abundant gases like oxygen and nitrogen, which do not interact with infrared radiation, greenhouse gases retain heat and re-radiate it back toward the Earth</w:t>
      </w:r>
      <w:r w:rsidRPr="00583F90">
        <w:rPr>
          <w:rFonts w:ascii="Book Antiqua" w:hAnsi="Book Antiqua" w:cs="Book Antiqua"/>
          <w:bCs/>
          <w:sz w:val="24"/>
          <w:szCs w:val="24"/>
        </w:rPr>
        <w:t>’</w:t>
      </w:r>
      <w:r w:rsidRPr="00583F90">
        <w:rPr>
          <w:rFonts w:ascii="Book Antiqua" w:hAnsi="Book Antiqua"/>
          <w:bCs/>
          <w:sz w:val="24"/>
          <w:szCs w:val="24"/>
        </w:rPr>
        <w:t xml:space="preserve">s surface. This natural warming cycle is essential for maintaining a livable climate. However, when human activities—such as burning fossil fuels, agriculture, and industrial processes—significantly increase greenhouse gas concentrations, the result is excessive heat retention resulting in an imbalance that </w:t>
      </w:r>
      <w:r w:rsidRPr="00583F90">
        <w:rPr>
          <w:rFonts w:ascii="Book Antiqua" w:hAnsi="Book Antiqua"/>
          <w:bCs/>
          <w:sz w:val="24"/>
          <w:szCs w:val="24"/>
        </w:rPr>
        <w:lastRenderedPageBreak/>
        <w:t>contributes to global warming and broader climate disruptions that threaten ecosystems, economies, and human well-being.</w:t>
      </w:r>
    </w:p>
    <w:p w14:paraId="134EC8B2" w14:textId="6BFE228C" w:rsidR="00416F86" w:rsidRPr="00583F90" w:rsidRDefault="00416F86" w:rsidP="00583F90">
      <w:pPr>
        <w:spacing w:line="324" w:lineRule="auto"/>
        <w:rPr>
          <w:rFonts w:ascii="Book Antiqua" w:hAnsi="Book Antiqua"/>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966"/>
        <w:gridCol w:w="2457"/>
        <w:gridCol w:w="1710"/>
      </w:tblGrid>
      <w:tr w:rsidR="00416F86" w:rsidRPr="00583F90" w14:paraId="38D4F9F0" w14:textId="77777777" w:rsidTr="002D3A8D">
        <w:trPr>
          <w:jc w:val="center"/>
        </w:trPr>
        <w:tc>
          <w:tcPr>
            <w:tcW w:w="0" w:type="auto"/>
            <w:tcBorders>
              <w:bottom w:val="double" w:sz="18" w:space="0" w:color="auto"/>
            </w:tcBorders>
          </w:tcPr>
          <w:p w14:paraId="50760238" w14:textId="77777777" w:rsidR="00416F86" w:rsidRPr="00583F90" w:rsidRDefault="00416F86" w:rsidP="002D3A8D">
            <w:pPr>
              <w:spacing w:line="324" w:lineRule="auto"/>
              <w:jc w:val="center"/>
              <w:rPr>
                <w:rFonts w:ascii="Book Antiqua" w:hAnsi="Book Antiqua"/>
                <w:b/>
                <w:sz w:val="20"/>
                <w:szCs w:val="20"/>
              </w:rPr>
            </w:pPr>
            <w:r w:rsidRPr="00583F90">
              <w:rPr>
                <w:rFonts w:ascii="Book Antiqua" w:hAnsi="Book Antiqua"/>
                <w:b/>
                <w:sz w:val="20"/>
                <w:szCs w:val="20"/>
              </w:rPr>
              <w:t>Type</w:t>
            </w:r>
          </w:p>
        </w:tc>
        <w:tc>
          <w:tcPr>
            <w:tcW w:w="0" w:type="auto"/>
            <w:tcBorders>
              <w:bottom w:val="double" w:sz="18" w:space="0" w:color="auto"/>
            </w:tcBorders>
          </w:tcPr>
          <w:p w14:paraId="5A4008F7" w14:textId="77777777" w:rsidR="00416F86" w:rsidRPr="00583F90" w:rsidRDefault="00416F86" w:rsidP="002D3A8D">
            <w:pPr>
              <w:spacing w:line="324" w:lineRule="auto"/>
              <w:jc w:val="center"/>
              <w:rPr>
                <w:rFonts w:ascii="Book Antiqua" w:hAnsi="Book Antiqua"/>
                <w:b/>
                <w:sz w:val="20"/>
                <w:szCs w:val="20"/>
              </w:rPr>
            </w:pPr>
            <w:r w:rsidRPr="00583F90">
              <w:rPr>
                <w:rFonts w:ascii="Book Antiqua" w:hAnsi="Book Antiqua"/>
                <w:b/>
                <w:sz w:val="20"/>
                <w:szCs w:val="20"/>
              </w:rPr>
              <w:t>% Share</w:t>
            </w:r>
          </w:p>
        </w:tc>
        <w:tc>
          <w:tcPr>
            <w:tcW w:w="2457" w:type="dxa"/>
            <w:tcBorders>
              <w:bottom w:val="double" w:sz="18" w:space="0" w:color="auto"/>
            </w:tcBorders>
          </w:tcPr>
          <w:p w14:paraId="65A4D7C6" w14:textId="77777777" w:rsidR="00416F86" w:rsidRPr="00583F90" w:rsidRDefault="00416F86" w:rsidP="002D3A8D">
            <w:pPr>
              <w:spacing w:line="324" w:lineRule="auto"/>
              <w:jc w:val="center"/>
              <w:rPr>
                <w:rFonts w:ascii="Book Antiqua" w:hAnsi="Book Antiqua"/>
                <w:b/>
                <w:sz w:val="20"/>
                <w:szCs w:val="20"/>
              </w:rPr>
            </w:pPr>
            <w:r w:rsidRPr="00583F90">
              <w:rPr>
                <w:rFonts w:ascii="Book Antiqua" w:hAnsi="Book Antiqua"/>
                <w:b/>
                <w:sz w:val="20"/>
                <w:szCs w:val="20"/>
              </w:rPr>
              <w:t>Source</w:t>
            </w:r>
          </w:p>
        </w:tc>
        <w:tc>
          <w:tcPr>
            <w:tcW w:w="1710" w:type="dxa"/>
            <w:tcBorders>
              <w:bottom w:val="double" w:sz="18" w:space="0" w:color="auto"/>
            </w:tcBorders>
          </w:tcPr>
          <w:p w14:paraId="7FF6C448" w14:textId="77777777" w:rsidR="00416F86" w:rsidRPr="00583F90" w:rsidRDefault="00416F86" w:rsidP="002D3A8D">
            <w:pPr>
              <w:spacing w:line="324" w:lineRule="auto"/>
              <w:jc w:val="center"/>
              <w:rPr>
                <w:rFonts w:ascii="Book Antiqua" w:hAnsi="Book Antiqua"/>
                <w:b/>
                <w:sz w:val="20"/>
                <w:szCs w:val="20"/>
              </w:rPr>
            </w:pPr>
            <w:r w:rsidRPr="00583F90">
              <w:rPr>
                <w:rFonts w:ascii="Book Antiqua" w:hAnsi="Book Antiqua"/>
                <w:b/>
                <w:sz w:val="20"/>
                <w:szCs w:val="20"/>
              </w:rPr>
              <w:t>% Share Source</w:t>
            </w:r>
          </w:p>
        </w:tc>
      </w:tr>
      <w:tr w:rsidR="00416F86" w:rsidRPr="00583F90" w14:paraId="744D94B2" w14:textId="77777777" w:rsidTr="002D3A8D">
        <w:trPr>
          <w:jc w:val="center"/>
        </w:trPr>
        <w:tc>
          <w:tcPr>
            <w:tcW w:w="0" w:type="auto"/>
            <w:tcBorders>
              <w:top w:val="double" w:sz="18" w:space="0" w:color="auto"/>
            </w:tcBorders>
          </w:tcPr>
          <w:p w14:paraId="5D8548B9"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Carbon Dioxide (</w:t>
            </w:r>
            <m:oMath>
              <m:sSub>
                <m:sSubPr>
                  <m:ctrlPr>
                    <w:rPr>
                      <w:rFonts w:ascii="Cambria Math" w:hAnsi="Cambria Math"/>
                      <w:bCs/>
                      <w:i/>
                      <w:sz w:val="20"/>
                      <w:szCs w:val="20"/>
                    </w:rPr>
                  </m:ctrlPr>
                </m:sSubPr>
                <m:e>
                  <m:r>
                    <m:rPr>
                      <m:nor/>
                    </m:rPr>
                    <w:rPr>
                      <w:rFonts w:ascii="Cambria Math" w:hAnsi="Cambria Math"/>
                      <w:bCs/>
                      <w:sz w:val="20"/>
                      <w:szCs w:val="20"/>
                    </w:rPr>
                    <m:t>CO</m:t>
                  </m:r>
                  <m:ctrlPr>
                    <w:rPr>
                      <w:rFonts w:ascii="Cambria Math" w:hAnsi="Cambria Math"/>
                      <w:bCs/>
                      <w:sz w:val="20"/>
                      <w:szCs w:val="20"/>
                    </w:rPr>
                  </m:ctrlPr>
                </m:e>
                <m:sub>
                  <m:r>
                    <w:rPr>
                      <w:rFonts w:ascii="Cambria Math" w:hAnsi="Cambria Math"/>
                      <w:sz w:val="20"/>
                      <w:szCs w:val="20"/>
                    </w:rPr>
                    <m:t>2</m:t>
                  </m:r>
                </m:sub>
              </m:sSub>
              <m:r>
                <w:rPr>
                  <w:rFonts w:ascii="Cambria Math" w:hAnsi="Cambria Math"/>
                  <w:sz w:val="20"/>
                  <w:szCs w:val="20"/>
                </w:rPr>
                <m:t>)</m:t>
              </m:r>
            </m:oMath>
          </w:p>
        </w:tc>
        <w:tc>
          <w:tcPr>
            <w:tcW w:w="0" w:type="auto"/>
            <w:tcBorders>
              <w:top w:val="double" w:sz="18" w:space="0" w:color="auto"/>
            </w:tcBorders>
          </w:tcPr>
          <w:p w14:paraId="5D43C78F"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79.7</w:t>
            </w:r>
          </w:p>
        </w:tc>
        <w:tc>
          <w:tcPr>
            <w:tcW w:w="2457" w:type="dxa"/>
            <w:tcBorders>
              <w:top w:val="double" w:sz="18" w:space="0" w:color="auto"/>
            </w:tcBorders>
          </w:tcPr>
          <w:p w14:paraId="0C4B9770" w14:textId="77777777" w:rsidR="00416F86" w:rsidRPr="00583F90" w:rsidRDefault="00416F86" w:rsidP="002D3A8D">
            <w:pPr>
              <w:spacing w:line="324" w:lineRule="auto"/>
              <w:rPr>
                <w:rFonts w:ascii="Book Antiqua" w:hAnsi="Book Antiqua"/>
                <w:bCs/>
                <w:sz w:val="20"/>
                <w:szCs w:val="20"/>
              </w:rPr>
            </w:pPr>
          </w:p>
        </w:tc>
        <w:tc>
          <w:tcPr>
            <w:tcW w:w="1710" w:type="dxa"/>
            <w:tcBorders>
              <w:top w:val="double" w:sz="18" w:space="0" w:color="auto"/>
            </w:tcBorders>
          </w:tcPr>
          <w:p w14:paraId="4AFD5909" w14:textId="77777777" w:rsidR="00416F86" w:rsidRPr="00583F90" w:rsidRDefault="00416F86" w:rsidP="002D3A8D">
            <w:pPr>
              <w:spacing w:line="324" w:lineRule="auto"/>
              <w:rPr>
                <w:rFonts w:ascii="Book Antiqua" w:hAnsi="Book Antiqua"/>
                <w:bCs/>
                <w:sz w:val="20"/>
                <w:szCs w:val="20"/>
              </w:rPr>
            </w:pPr>
          </w:p>
        </w:tc>
      </w:tr>
      <w:tr w:rsidR="00416F86" w:rsidRPr="00583F90" w14:paraId="21D40F9E" w14:textId="77777777" w:rsidTr="002D3A8D">
        <w:trPr>
          <w:jc w:val="center"/>
        </w:trPr>
        <w:tc>
          <w:tcPr>
            <w:tcW w:w="0" w:type="auto"/>
          </w:tcPr>
          <w:p w14:paraId="5F4E561E" w14:textId="77777777" w:rsidR="00416F86" w:rsidRPr="00583F90" w:rsidRDefault="00416F86" w:rsidP="002D3A8D">
            <w:pPr>
              <w:spacing w:line="324" w:lineRule="auto"/>
              <w:rPr>
                <w:rFonts w:ascii="Book Antiqua" w:hAnsi="Book Antiqua"/>
                <w:bCs/>
                <w:sz w:val="20"/>
                <w:szCs w:val="20"/>
              </w:rPr>
            </w:pPr>
          </w:p>
        </w:tc>
        <w:tc>
          <w:tcPr>
            <w:tcW w:w="0" w:type="auto"/>
          </w:tcPr>
          <w:p w14:paraId="5B4A94A3"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573525F4"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Transportation</w:t>
            </w:r>
          </w:p>
        </w:tc>
        <w:tc>
          <w:tcPr>
            <w:tcW w:w="1710" w:type="dxa"/>
          </w:tcPr>
          <w:p w14:paraId="2CFDDB55"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35</w:t>
            </w:r>
          </w:p>
        </w:tc>
      </w:tr>
      <w:tr w:rsidR="00416F86" w:rsidRPr="00583F90" w14:paraId="67AEE6F2" w14:textId="77777777" w:rsidTr="002D3A8D">
        <w:trPr>
          <w:jc w:val="center"/>
        </w:trPr>
        <w:tc>
          <w:tcPr>
            <w:tcW w:w="0" w:type="auto"/>
          </w:tcPr>
          <w:p w14:paraId="5F67DBAA" w14:textId="77777777" w:rsidR="00416F86" w:rsidRPr="00583F90" w:rsidRDefault="00416F86" w:rsidP="002D3A8D">
            <w:pPr>
              <w:spacing w:line="324" w:lineRule="auto"/>
              <w:rPr>
                <w:rFonts w:ascii="Book Antiqua" w:hAnsi="Book Antiqua"/>
                <w:bCs/>
                <w:sz w:val="20"/>
                <w:szCs w:val="20"/>
              </w:rPr>
            </w:pPr>
          </w:p>
        </w:tc>
        <w:tc>
          <w:tcPr>
            <w:tcW w:w="0" w:type="auto"/>
          </w:tcPr>
          <w:p w14:paraId="2E62FC99"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26814C61"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Electricity</w:t>
            </w:r>
          </w:p>
        </w:tc>
        <w:tc>
          <w:tcPr>
            <w:tcW w:w="1710" w:type="dxa"/>
          </w:tcPr>
          <w:p w14:paraId="495BF410"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30</w:t>
            </w:r>
          </w:p>
        </w:tc>
      </w:tr>
      <w:tr w:rsidR="00416F86" w:rsidRPr="00583F90" w14:paraId="5D88DA7E" w14:textId="77777777" w:rsidTr="002D3A8D">
        <w:trPr>
          <w:jc w:val="center"/>
        </w:trPr>
        <w:tc>
          <w:tcPr>
            <w:tcW w:w="0" w:type="auto"/>
          </w:tcPr>
          <w:p w14:paraId="3BDEC9A6" w14:textId="77777777" w:rsidR="00416F86" w:rsidRPr="00583F90" w:rsidRDefault="00416F86" w:rsidP="002D3A8D">
            <w:pPr>
              <w:spacing w:line="324" w:lineRule="auto"/>
              <w:rPr>
                <w:rFonts w:ascii="Book Antiqua" w:hAnsi="Book Antiqua"/>
                <w:bCs/>
                <w:sz w:val="20"/>
                <w:szCs w:val="20"/>
              </w:rPr>
            </w:pPr>
          </w:p>
        </w:tc>
        <w:tc>
          <w:tcPr>
            <w:tcW w:w="0" w:type="auto"/>
          </w:tcPr>
          <w:p w14:paraId="6CEAC92F"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0634EECA"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Industrial</w:t>
            </w:r>
          </w:p>
        </w:tc>
        <w:tc>
          <w:tcPr>
            <w:tcW w:w="1710" w:type="dxa"/>
          </w:tcPr>
          <w:p w14:paraId="37B95F46"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16</w:t>
            </w:r>
          </w:p>
        </w:tc>
      </w:tr>
      <w:tr w:rsidR="00416F86" w:rsidRPr="00583F90" w14:paraId="2E717B9B" w14:textId="77777777" w:rsidTr="002D3A8D">
        <w:trPr>
          <w:jc w:val="center"/>
        </w:trPr>
        <w:tc>
          <w:tcPr>
            <w:tcW w:w="0" w:type="auto"/>
          </w:tcPr>
          <w:p w14:paraId="6632FA59" w14:textId="77777777" w:rsidR="00416F86" w:rsidRPr="00583F90" w:rsidRDefault="00416F86" w:rsidP="002D3A8D">
            <w:pPr>
              <w:spacing w:line="324" w:lineRule="auto"/>
              <w:rPr>
                <w:rFonts w:ascii="Book Antiqua" w:hAnsi="Book Antiqua"/>
                <w:bCs/>
                <w:sz w:val="20"/>
                <w:szCs w:val="20"/>
              </w:rPr>
            </w:pPr>
          </w:p>
        </w:tc>
        <w:tc>
          <w:tcPr>
            <w:tcW w:w="0" w:type="auto"/>
          </w:tcPr>
          <w:p w14:paraId="4CBB1BB9"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123578E"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Residential and Commercial Buildings</w:t>
            </w:r>
          </w:p>
        </w:tc>
        <w:tc>
          <w:tcPr>
            <w:tcW w:w="1710" w:type="dxa"/>
          </w:tcPr>
          <w:p w14:paraId="03E2CA24"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12</w:t>
            </w:r>
          </w:p>
        </w:tc>
      </w:tr>
      <w:tr w:rsidR="00416F86" w:rsidRPr="00583F90" w14:paraId="02865B29" w14:textId="77777777" w:rsidTr="002D3A8D">
        <w:trPr>
          <w:jc w:val="center"/>
        </w:trPr>
        <w:tc>
          <w:tcPr>
            <w:tcW w:w="0" w:type="auto"/>
          </w:tcPr>
          <w:p w14:paraId="529FA972" w14:textId="77777777" w:rsidR="00416F86" w:rsidRPr="00583F90" w:rsidRDefault="00416F86" w:rsidP="002D3A8D">
            <w:pPr>
              <w:spacing w:line="324" w:lineRule="auto"/>
              <w:rPr>
                <w:rFonts w:ascii="Book Antiqua" w:hAnsi="Book Antiqua"/>
                <w:bCs/>
                <w:sz w:val="20"/>
                <w:szCs w:val="20"/>
              </w:rPr>
            </w:pPr>
          </w:p>
        </w:tc>
        <w:tc>
          <w:tcPr>
            <w:tcW w:w="0" w:type="auto"/>
          </w:tcPr>
          <w:p w14:paraId="523466D6"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3F59F336"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Other</w:t>
            </w:r>
          </w:p>
        </w:tc>
        <w:tc>
          <w:tcPr>
            <w:tcW w:w="1710" w:type="dxa"/>
          </w:tcPr>
          <w:p w14:paraId="78D445CA"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5</w:t>
            </w:r>
          </w:p>
        </w:tc>
      </w:tr>
      <w:tr w:rsidR="00416F86" w:rsidRPr="00583F90" w14:paraId="38599D7D" w14:textId="77777777" w:rsidTr="002D3A8D">
        <w:trPr>
          <w:jc w:val="center"/>
        </w:trPr>
        <w:tc>
          <w:tcPr>
            <w:tcW w:w="0" w:type="auto"/>
            <w:tcBorders>
              <w:bottom w:val="single" w:sz="18" w:space="0" w:color="auto"/>
            </w:tcBorders>
          </w:tcPr>
          <w:p w14:paraId="7763E246" w14:textId="77777777" w:rsidR="00416F86" w:rsidRPr="00583F90" w:rsidRDefault="00416F86" w:rsidP="002D3A8D">
            <w:pPr>
              <w:spacing w:line="324" w:lineRule="auto"/>
              <w:rPr>
                <w:rFonts w:ascii="Book Antiqua" w:hAnsi="Book Antiqua"/>
                <w:bCs/>
                <w:sz w:val="20"/>
                <w:szCs w:val="20"/>
              </w:rPr>
            </w:pPr>
          </w:p>
        </w:tc>
        <w:tc>
          <w:tcPr>
            <w:tcW w:w="0" w:type="auto"/>
            <w:tcBorders>
              <w:bottom w:val="single" w:sz="18" w:space="0" w:color="auto"/>
            </w:tcBorders>
          </w:tcPr>
          <w:p w14:paraId="4DEC81FB" w14:textId="77777777" w:rsidR="00416F86" w:rsidRPr="00583F90" w:rsidRDefault="00416F86" w:rsidP="002D3A8D">
            <w:pPr>
              <w:spacing w:line="324" w:lineRule="auto"/>
              <w:jc w:val="center"/>
              <w:rPr>
                <w:rFonts w:ascii="Book Antiqua" w:hAnsi="Book Antiqua"/>
                <w:bCs/>
                <w:sz w:val="20"/>
                <w:szCs w:val="20"/>
              </w:rPr>
            </w:pPr>
          </w:p>
        </w:tc>
        <w:tc>
          <w:tcPr>
            <w:tcW w:w="2457" w:type="dxa"/>
            <w:tcBorders>
              <w:bottom w:val="single" w:sz="18" w:space="0" w:color="auto"/>
            </w:tcBorders>
          </w:tcPr>
          <w:p w14:paraId="05434FFB"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Non-Energy Use of Fuels</w:t>
            </w:r>
          </w:p>
        </w:tc>
        <w:tc>
          <w:tcPr>
            <w:tcW w:w="1710" w:type="dxa"/>
            <w:tcBorders>
              <w:bottom w:val="single" w:sz="18" w:space="0" w:color="auto"/>
            </w:tcBorders>
          </w:tcPr>
          <w:p w14:paraId="026002D7"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w:t>
            </w:r>
          </w:p>
        </w:tc>
      </w:tr>
      <w:tr w:rsidR="00416F86" w:rsidRPr="00583F90" w14:paraId="2799A04D" w14:textId="77777777" w:rsidTr="002D3A8D">
        <w:trPr>
          <w:jc w:val="center"/>
        </w:trPr>
        <w:tc>
          <w:tcPr>
            <w:tcW w:w="0" w:type="auto"/>
            <w:tcBorders>
              <w:top w:val="single" w:sz="18" w:space="0" w:color="auto"/>
            </w:tcBorders>
          </w:tcPr>
          <w:p w14:paraId="60FBA4C5"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Methane (</w:t>
            </w:r>
            <m:oMath>
              <m:sSub>
                <m:sSubPr>
                  <m:ctrlPr>
                    <w:rPr>
                      <w:rFonts w:ascii="Cambria Math" w:hAnsi="Cambria Math"/>
                      <w:bCs/>
                      <w:i/>
                      <w:sz w:val="20"/>
                      <w:szCs w:val="20"/>
                    </w:rPr>
                  </m:ctrlPr>
                </m:sSubPr>
                <m:e>
                  <m:r>
                    <m:rPr>
                      <m:nor/>
                    </m:rPr>
                    <w:rPr>
                      <w:rFonts w:ascii="Cambria Math" w:hAnsi="Cambria Math"/>
                      <w:bCs/>
                      <w:sz w:val="20"/>
                      <w:szCs w:val="20"/>
                    </w:rPr>
                    <m:t>CH</m:t>
                  </m:r>
                  <m:ctrlPr>
                    <w:rPr>
                      <w:rFonts w:ascii="Cambria Math" w:hAnsi="Cambria Math"/>
                      <w:bCs/>
                      <w:sz w:val="20"/>
                      <w:szCs w:val="20"/>
                    </w:rPr>
                  </m:ctrlPr>
                </m:e>
                <m:sub>
                  <m:r>
                    <w:rPr>
                      <w:rFonts w:ascii="Cambria Math" w:hAnsi="Cambria Math"/>
                      <w:sz w:val="20"/>
                      <w:szCs w:val="20"/>
                    </w:rPr>
                    <m:t>4</m:t>
                  </m:r>
                </m:sub>
              </m:sSub>
            </m:oMath>
            <w:r w:rsidRPr="00583F90">
              <w:rPr>
                <w:rFonts w:ascii="Book Antiqua" w:hAnsi="Book Antiqua"/>
                <w:bCs/>
                <w:sz w:val="20"/>
                <w:szCs w:val="20"/>
              </w:rPr>
              <w:t>)</w:t>
            </w:r>
          </w:p>
        </w:tc>
        <w:tc>
          <w:tcPr>
            <w:tcW w:w="0" w:type="auto"/>
            <w:tcBorders>
              <w:top w:val="single" w:sz="18" w:space="0" w:color="auto"/>
            </w:tcBorders>
          </w:tcPr>
          <w:p w14:paraId="30ECFAAD"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11.1</w:t>
            </w:r>
          </w:p>
        </w:tc>
        <w:tc>
          <w:tcPr>
            <w:tcW w:w="2457" w:type="dxa"/>
            <w:tcBorders>
              <w:top w:val="single" w:sz="18" w:space="0" w:color="auto"/>
            </w:tcBorders>
          </w:tcPr>
          <w:p w14:paraId="0E5981E9" w14:textId="77777777" w:rsidR="00416F86" w:rsidRPr="00583F90" w:rsidRDefault="00416F86" w:rsidP="002D3A8D">
            <w:pPr>
              <w:spacing w:line="324" w:lineRule="auto"/>
              <w:rPr>
                <w:rFonts w:ascii="Book Antiqua" w:hAnsi="Book Antiqua"/>
                <w:bCs/>
                <w:sz w:val="20"/>
                <w:szCs w:val="20"/>
              </w:rPr>
            </w:pPr>
          </w:p>
        </w:tc>
        <w:tc>
          <w:tcPr>
            <w:tcW w:w="1710" w:type="dxa"/>
            <w:tcBorders>
              <w:top w:val="single" w:sz="18" w:space="0" w:color="auto"/>
            </w:tcBorders>
          </w:tcPr>
          <w:p w14:paraId="1AD990ED" w14:textId="77777777" w:rsidR="00416F86" w:rsidRPr="00583F90" w:rsidRDefault="00416F86" w:rsidP="002D3A8D">
            <w:pPr>
              <w:spacing w:line="324" w:lineRule="auto"/>
              <w:jc w:val="center"/>
              <w:rPr>
                <w:rFonts w:ascii="Book Antiqua" w:hAnsi="Book Antiqua"/>
                <w:bCs/>
                <w:sz w:val="20"/>
                <w:szCs w:val="20"/>
              </w:rPr>
            </w:pPr>
          </w:p>
        </w:tc>
      </w:tr>
      <w:tr w:rsidR="00416F86" w:rsidRPr="00583F90" w14:paraId="12D06B0A" w14:textId="77777777" w:rsidTr="002D3A8D">
        <w:trPr>
          <w:jc w:val="center"/>
        </w:trPr>
        <w:tc>
          <w:tcPr>
            <w:tcW w:w="0" w:type="auto"/>
          </w:tcPr>
          <w:p w14:paraId="4BA77965" w14:textId="77777777" w:rsidR="00416F86" w:rsidRPr="00583F90" w:rsidRDefault="00416F86" w:rsidP="002D3A8D">
            <w:pPr>
              <w:spacing w:line="324" w:lineRule="auto"/>
              <w:rPr>
                <w:rFonts w:ascii="Book Antiqua" w:hAnsi="Book Antiqua"/>
                <w:bCs/>
                <w:sz w:val="20"/>
                <w:szCs w:val="20"/>
              </w:rPr>
            </w:pPr>
          </w:p>
        </w:tc>
        <w:tc>
          <w:tcPr>
            <w:tcW w:w="0" w:type="auto"/>
          </w:tcPr>
          <w:p w14:paraId="72E90635"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70A01C62"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Natural Gas and Petroleum Systems</w:t>
            </w:r>
          </w:p>
        </w:tc>
        <w:tc>
          <w:tcPr>
            <w:tcW w:w="1710" w:type="dxa"/>
          </w:tcPr>
          <w:p w14:paraId="496DC2A1"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28</w:t>
            </w:r>
          </w:p>
        </w:tc>
      </w:tr>
      <w:tr w:rsidR="00416F86" w:rsidRPr="00583F90" w14:paraId="3154EE5F" w14:textId="77777777" w:rsidTr="002D3A8D">
        <w:trPr>
          <w:jc w:val="center"/>
        </w:trPr>
        <w:tc>
          <w:tcPr>
            <w:tcW w:w="0" w:type="auto"/>
          </w:tcPr>
          <w:p w14:paraId="60A71C39" w14:textId="77777777" w:rsidR="00416F86" w:rsidRPr="00583F90" w:rsidRDefault="00416F86" w:rsidP="002D3A8D">
            <w:pPr>
              <w:spacing w:line="324" w:lineRule="auto"/>
              <w:rPr>
                <w:rFonts w:ascii="Book Antiqua" w:hAnsi="Book Antiqua"/>
                <w:bCs/>
                <w:sz w:val="20"/>
                <w:szCs w:val="20"/>
              </w:rPr>
            </w:pPr>
          </w:p>
        </w:tc>
        <w:tc>
          <w:tcPr>
            <w:tcW w:w="0" w:type="auto"/>
          </w:tcPr>
          <w:p w14:paraId="05F29C63"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7664819"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Enteric Fermentation</w:t>
            </w:r>
          </w:p>
        </w:tc>
        <w:tc>
          <w:tcPr>
            <w:tcW w:w="1710" w:type="dxa"/>
          </w:tcPr>
          <w:p w14:paraId="39E8C185"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25</w:t>
            </w:r>
          </w:p>
        </w:tc>
      </w:tr>
      <w:tr w:rsidR="00416F86" w:rsidRPr="00583F90" w14:paraId="1392807A" w14:textId="77777777" w:rsidTr="002D3A8D">
        <w:trPr>
          <w:jc w:val="center"/>
        </w:trPr>
        <w:tc>
          <w:tcPr>
            <w:tcW w:w="0" w:type="auto"/>
          </w:tcPr>
          <w:p w14:paraId="2249914C" w14:textId="77777777" w:rsidR="00416F86" w:rsidRPr="00583F90" w:rsidRDefault="00416F86" w:rsidP="002D3A8D">
            <w:pPr>
              <w:spacing w:line="324" w:lineRule="auto"/>
              <w:rPr>
                <w:rFonts w:ascii="Book Antiqua" w:hAnsi="Book Antiqua"/>
                <w:bCs/>
                <w:sz w:val="20"/>
                <w:szCs w:val="20"/>
              </w:rPr>
            </w:pPr>
          </w:p>
        </w:tc>
        <w:tc>
          <w:tcPr>
            <w:tcW w:w="0" w:type="auto"/>
          </w:tcPr>
          <w:p w14:paraId="7B57E1D4"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757F7E52"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Landfills</w:t>
            </w:r>
          </w:p>
        </w:tc>
        <w:tc>
          <w:tcPr>
            <w:tcW w:w="1710" w:type="dxa"/>
          </w:tcPr>
          <w:p w14:paraId="371DF6D1"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16</w:t>
            </w:r>
          </w:p>
        </w:tc>
      </w:tr>
      <w:tr w:rsidR="00416F86" w:rsidRPr="00583F90" w14:paraId="5D2770F3" w14:textId="77777777" w:rsidTr="002D3A8D">
        <w:trPr>
          <w:jc w:val="center"/>
        </w:trPr>
        <w:tc>
          <w:tcPr>
            <w:tcW w:w="0" w:type="auto"/>
          </w:tcPr>
          <w:p w14:paraId="765785E9" w14:textId="77777777" w:rsidR="00416F86" w:rsidRPr="00583F90" w:rsidRDefault="00416F86" w:rsidP="002D3A8D">
            <w:pPr>
              <w:spacing w:line="324" w:lineRule="auto"/>
              <w:rPr>
                <w:rFonts w:ascii="Book Antiqua" w:hAnsi="Book Antiqua"/>
                <w:bCs/>
                <w:sz w:val="20"/>
                <w:szCs w:val="20"/>
              </w:rPr>
            </w:pPr>
          </w:p>
        </w:tc>
        <w:tc>
          <w:tcPr>
            <w:tcW w:w="0" w:type="auto"/>
          </w:tcPr>
          <w:p w14:paraId="16B92153"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5740335C"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Manure Management</w:t>
            </w:r>
          </w:p>
        </w:tc>
        <w:tc>
          <w:tcPr>
            <w:tcW w:w="1710" w:type="dxa"/>
          </w:tcPr>
          <w:p w14:paraId="54FF31D4"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9</w:t>
            </w:r>
          </w:p>
        </w:tc>
      </w:tr>
      <w:tr w:rsidR="00416F86" w:rsidRPr="00583F90" w14:paraId="33136877" w14:textId="77777777" w:rsidTr="002D3A8D">
        <w:trPr>
          <w:jc w:val="center"/>
        </w:trPr>
        <w:tc>
          <w:tcPr>
            <w:tcW w:w="0" w:type="auto"/>
          </w:tcPr>
          <w:p w14:paraId="4D24F970" w14:textId="77777777" w:rsidR="00416F86" w:rsidRPr="00583F90" w:rsidRDefault="00416F86" w:rsidP="002D3A8D">
            <w:pPr>
              <w:spacing w:line="324" w:lineRule="auto"/>
              <w:rPr>
                <w:rFonts w:ascii="Book Antiqua" w:hAnsi="Book Antiqua"/>
                <w:bCs/>
                <w:sz w:val="20"/>
                <w:szCs w:val="20"/>
              </w:rPr>
            </w:pPr>
          </w:p>
        </w:tc>
        <w:tc>
          <w:tcPr>
            <w:tcW w:w="0" w:type="auto"/>
          </w:tcPr>
          <w:p w14:paraId="1E820B64"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7DFBBCAA"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Coal Mining</w:t>
            </w:r>
          </w:p>
        </w:tc>
        <w:tc>
          <w:tcPr>
            <w:tcW w:w="1710" w:type="dxa"/>
          </w:tcPr>
          <w:p w14:paraId="3D81AE95"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6</w:t>
            </w:r>
          </w:p>
        </w:tc>
      </w:tr>
      <w:tr w:rsidR="00416F86" w:rsidRPr="00583F90" w14:paraId="46414FFC" w14:textId="77777777" w:rsidTr="002D3A8D">
        <w:trPr>
          <w:jc w:val="center"/>
        </w:trPr>
        <w:tc>
          <w:tcPr>
            <w:tcW w:w="0" w:type="auto"/>
          </w:tcPr>
          <w:p w14:paraId="0A9B6B02" w14:textId="77777777" w:rsidR="00416F86" w:rsidRPr="00583F90" w:rsidRDefault="00416F86" w:rsidP="002D3A8D">
            <w:pPr>
              <w:spacing w:line="324" w:lineRule="auto"/>
              <w:rPr>
                <w:rFonts w:ascii="Book Antiqua" w:hAnsi="Book Antiqua"/>
                <w:bCs/>
                <w:sz w:val="20"/>
                <w:szCs w:val="20"/>
              </w:rPr>
            </w:pPr>
          </w:p>
        </w:tc>
        <w:tc>
          <w:tcPr>
            <w:tcW w:w="0" w:type="auto"/>
          </w:tcPr>
          <w:p w14:paraId="0764F409"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6F2BB9C"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Flooded Land</w:t>
            </w:r>
          </w:p>
        </w:tc>
        <w:tc>
          <w:tcPr>
            <w:tcW w:w="1710" w:type="dxa"/>
          </w:tcPr>
          <w:p w14:paraId="69142E4E"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6</w:t>
            </w:r>
          </w:p>
        </w:tc>
      </w:tr>
      <w:tr w:rsidR="00416F86" w:rsidRPr="00583F90" w14:paraId="0AC48FED" w14:textId="77777777" w:rsidTr="002D3A8D">
        <w:trPr>
          <w:jc w:val="center"/>
        </w:trPr>
        <w:tc>
          <w:tcPr>
            <w:tcW w:w="0" w:type="auto"/>
          </w:tcPr>
          <w:p w14:paraId="52A654BB" w14:textId="77777777" w:rsidR="00416F86" w:rsidRPr="00583F90" w:rsidRDefault="00416F86" w:rsidP="002D3A8D">
            <w:pPr>
              <w:spacing w:line="324" w:lineRule="auto"/>
              <w:rPr>
                <w:rFonts w:ascii="Book Antiqua" w:hAnsi="Book Antiqua"/>
                <w:bCs/>
                <w:sz w:val="20"/>
                <w:szCs w:val="20"/>
              </w:rPr>
            </w:pPr>
          </w:p>
        </w:tc>
        <w:tc>
          <w:tcPr>
            <w:tcW w:w="0" w:type="auto"/>
          </w:tcPr>
          <w:p w14:paraId="520D7023"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6893BF43"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Other</w:t>
            </w:r>
          </w:p>
        </w:tc>
        <w:tc>
          <w:tcPr>
            <w:tcW w:w="1710" w:type="dxa"/>
          </w:tcPr>
          <w:p w14:paraId="071D514C"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9</w:t>
            </w:r>
          </w:p>
        </w:tc>
      </w:tr>
      <w:tr w:rsidR="00416F86" w:rsidRPr="00583F90" w14:paraId="325BB098" w14:textId="77777777" w:rsidTr="002D3A8D">
        <w:trPr>
          <w:jc w:val="center"/>
        </w:trPr>
        <w:tc>
          <w:tcPr>
            <w:tcW w:w="0" w:type="auto"/>
            <w:tcBorders>
              <w:bottom w:val="single" w:sz="18" w:space="0" w:color="auto"/>
            </w:tcBorders>
          </w:tcPr>
          <w:p w14:paraId="31D23D3B" w14:textId="77777777" w:rsidR="00416F86" w:rsidRPr="00583F90" w:rsidRDefault="00416F86" w:rsidP="002D3A8D">
            <w:pPr>
              <w:spacing w:line="324" w:lineRule="auto"/>
              <w:rPr>
                <w:rFonts w:ascii="Book Antiqua" w:hAnsi="Book Antiqua"/>
                <w:bCs/>
                <w:sz w:val="20"/>
                <w:szCs w:val="20"/>
              </w:rPr>
            </w:pPr>
          </w:p>
        </w:tc>
        <w:tc>
          <w:tcPr>
            <w:tcW w:w="0" w:type="auto"/>
            <w:tcBorders>
              <w:bottom w:val="single" w:sz="18" w:space="0" w:color="auto"/>
            </w:tcBorders>
          </w:tcPr>
          <w:p w14:paraId="6983DADF" w14:textId="77777777" w:rsidR="00416F86" w:rsidRPr="00583F90" w:rsidRDefault="00416F86" w:rsidP="002D3A8D">
            <w:pPr>
              <w:spacing w:line="324" w:lineRule="auto"/>
              <w:jc w:val="center"/>
              <w:rPr>
                <w:rFonts w:ascii="Book Antiqua" w:hAnsi="Book Antiqua"/>
                <w:bCs/>
                <w:sz w:val="20"/>
                <w:szCs w:val="20"/>
              </w:rPr>
            </w:pPr>
          </w:p>
        </w:tc>
        <w:tc>
          <w:tcPr>
            <w:tcW w:w="2457" w:type="dxa"/>
            <w:tcBorders>
              <w:bottom w:val="single" w:sz="18" w:space="0" w:color="auto"/>
            </w:tcBorders>
          </w:tcPr>
          <w:p w14:paraId="02708012"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Land Use, Land Use Change, and Forestry</w:t>
            </w:r>
          </w:p>
        </w:tc>
        <w:tc>
          <w:tcPr>
            <w:tcW w:w="1710" w:type="dxa"/>
            <w:tcBorders>
              <w:bottom w:val="single" w:sz="18" w:space="0" w:color="auto"/>
            </w:tcBorders>
          </w:tcPr>
          <w:p w14:paraId="30EDEAF6"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w:t>
            </w:r>
          </w:p>
        </w:tc>
      </w:tr>
      <w:tr w:rsidR="00416F86" w:rsidRPr="00583F90" w14:paraId="1FB40769" w14:textId="77777777" w:rsidTr="002D3A8D">
        <w:trPr>
          <w:jc w:val="center"/>
        </w:trPr>
        <w:tc>
          <w:tcPr>
            <w:tcW w:w="0" w:type="auto"/>
            <w:tcBorders>
              <w:top w:val="single" w:sz="18" w:space="0" w:color="auto"/>
            </w:tcBorders>
          </w:tcPr>
          <w:p w14:paraId="02927DCE"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Nitrous Oxide (</w:t>
            </w:r>
            <m:oMath>
              <m:sSub>
                <m:sSubPr>
                  <m:ctrlPr>
                    <w:rPr>
                      <w:rFonts w:ascii="Cambria Math" w:hAnsi="Cambria Math"/>
                      <w:bCs/>
                      <w:i/>
                      <w:sz w:val="20"/>
                      <w:szCs w:val="20"/>
                    </w:rPr>
                  </m:ctrlPr>
                </m:sSubPr>
                <m:e>
                  <m:r>
                    <m:rPr>
                      <m:nor/>
                    </m:rPr>
                    <w:rPr>
                      <w:rFonts w:ascii="Cambria Math" w:hAnsi="Cambria Math"/>
                      <w:bCs/>
                      <w:sz w:val="20"/>
                      <w:szCs w:val="20"/>
                    </w:rPr>
                    <m:t>N</m:t>
                  </m:r>
                  <m:ctrlPr>
                    <w:rPr>
                      <w:rFonts w:ascii="Cambria Math" w:hAnsi="Cambria Math"/>
                      <w:bCs/>
                      <w:sz w:val="20"/>
                      <w:szCs w:val="20"/>
                    </w:rPr>
                  </m:ctrlPr>
                </m:e>
                <m:sub>
                  <m:r>
                    <w:rPr>
                      <w:rFonts w:ascii="Cambria Math" w:hAnsi="Cambria Math"/>
                      <w:sz w:val="20"/>
                      <w:szCs w:val="20"/>
                    </w:rPr>
                    <m:t>2</m:t>
                  </m:r>
                </m:sub>
              </m:sSub>
              <m:r>
                <m:rPr>
                  <m:nor/>
                </m:rPr>
                <w:rPr>
                  <w:rFonts w:ascii="Cambria Math" w:hAnsi="Cambria Math"/>
                  <w:bCs/>
                  <w:sz w:val="20"/>
                  <w:szCs w:val="20"/>
                </w:rPr>
                <m:t>O)</m:t>
              </m:r>
            </m:oMath>
          </w:p>
        </w:tc>
        <w:tc>
          <w:tcPr>
            <w:tcW w:w="0" w:type="auto"/>
            <w:tcBorders>
              <w:top w:val="single" w:sz="18" w:space="0" w:color="auto"/>
            </w:tcBorders>
          </w:tcPr>
          <w:p w14:paraId="48F0FF5C"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6.1</w:t>
            </w:r>
          </w:p>
        </w:tc>
        <w:tc>
          <w:tcPr>
            <w:tcW w:w="2457" w:type="dxa"/>
            <w:tcBorders>
              <w:top w:val="single" w:sz="18" w:space="0" w:color="auto"/>
            </w:tcBorders>
          </w:tcPr>
          <w:p w14:paraId="608136C0" w14:textId="77777777" w:rsidR="00416F86" w:rsidRPr="00583F90" w:rsidRDefault="00416F86" w:rsidP="002D3A8D">
            <w:pPr>
              <w:spacing w:line="324" w:lineRule="auto"/>
              <w:rPr>
                <w:rFonts w:ascii="Book Antiqua" w:hAnsi="Book Antiqua"/>
                <w:bCs/>
                <w:sz w:val="20"/>
                <w:szCs w:val="20"/>
              </w:rPr>
            </w:pPr>
          </w:p>
        </w:tc>
        <w:tc>
          <w:tcPr>
            <w:tcW w:w="1710" w:type="dxa"/>
            <w:tcBorders>
              <w:top w:val="single" w:sz="18" w:space="0" w:color="auto"/>
            </w:tcBorders>
          </w:tcPr>
          <w:p w14:paraId="581E5BC9" w14:textId="77777777" w:rsidR="00416F86" w:rsidRPr="00583F90" w:rsidRDefault="00416F86" w:rsidP="002D3A8D">
            <w:pPr>
              <w:spacing w:line="324" w:lineRule="auto"/>
              <w:jc w:val="center"/>
              <w:rPr>
                <w:rFonts w:ascii="Book Antiqua" w:hAnsi="Book Antiqua"/>
                <w:bCs/>
                <w:sz w:val="20"/>
                <w:szCs w:val="20"/>
              </w:rPr>
            </w:pPr>
          </w:p>
        </w:tc>
      </w:tr>
      <w:tr w:rsidR="00416F86" w:rsidRPr="00583F90" w14:paraId="6DEF3A3C" w14:textId="77777777" w:rsidTr="002D3A8D">
        <w:trPr>
          <w:jc w:val="center"/>
        </w:trPr>
        <w:tc>
          <w:tcPr>
            <w:tcW w:w="0" w:type="auto"/>
          </w:tcPr>
          <w:p w14:paraId="588D155E" w14:textId="77777777" w:rsidR="00416F86" w:rsidRPr="00583F90" w:rsidRDefault="00416F86" w:rsidP="002D3A8D">
            <w:pPr>
              <w:spacing w:line="324" w:lineRule="auto"/>
              <w:rPr>
                <w:rFonts w:ascii="Book Antiqua" w:hAnsi="Book Antiqua"/>
                <w:bCs/>
                <w:sz w:val="20"/>
                <w:szCs w:val="20"/>
              </w:rPr>
            </w:pPr>
          </w:p>
        </w:tc>
        <w:tc>
          <w:tcPr>
            <w:tcW w:w="0" w:type="auto"/>
          </w:tcPr>
          <w:p w14:paraId="3779A944"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515F61AE"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Agricultural Soil Management</w:t>
            </w:r>
          </w:p>
        </w:tc>
        <w:tc>
          <w:tcPr>
            <w:tcW w:w="1710" w:type="dxa"/>
          </w:tcPr>
          <w:p w14:paraId="53333118"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75</w:t>
            </w:r>
          </w:p>
        </w:tc>
      </w:tr>
      <w:tr w:rsidR="00416F86" w:rsidRPr="00583F90" w14:paraId="47A8923D" w14:textId="77777777" w:rsidTr="002D3A8D">
        <w:trPr>
          <w:jc w:val="center"/>
        </w:trPr>
        <w:tc>
          <w:tcPr>
            <w:tcW w:w="0" w:type="auto"/>
          </w:tcPr>
          <w:p w14:paraId="0D9A0BCE" w14:textId="77777777" w:rsidR="00416F86" w:rsidRPr="00583F90" w:rsidRDefault="00416F86" w:rsidP="002D3A8D">
            <w:pPr>
              <w:spacing w:line="324" w:lineRule="auto"/>
              <w:rPr>
                <w:rFonts w:ascii="Book Antiqua" w:hAnsi="Book Antiqua"/>
                <w:bCs/>
                <w:sz w:val="20"/>
                <w:szCs w:val="20"/>
              </w:rPr>
            </w:pPr>
          </w:p>
        </w:tc>
        <w:tc>
          <w:tcPr>
            <w:tcW w:w="0" w:type="auto"/>
          </w:tcPr>
          <w:p w14:paraId="69C3A8FD"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1236D2DF"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Stationary Combustion</w:t>
            </w:r>
          </w:p>
        </w:tc>
        <w:tc>
          <w:tcPr>
            <w:tcW w:w="1710" w:type="dxa"/>
          </w:tcPr>
          <w:p w14:paraId="5C446A22"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6</w:t>
            </w:r>
          </w:p>
        </w:tc>
      </w:tr>
      <w:tr w:rsidR="00416F86" w:rsidRPr="00583F90" w14:paraId="3C204FDA" w14:textId="77777777" w:rsidTr="002D3A8D">
        <w:trPr>
          <w:jc w:val="center"/>
        </w:trPr>
        <w:tc>
          <w:tcPr>
            <w:tcW w:w="0" w:type="auto"/>
          </w:tcPr>
          <w:p w14:paraId="28FEF99D" w14:textId="77777777" w:rsidR="00416F86" w:rsidRPr="00583F90" w:rsidRDefault="00416F86" w:rsidP="002D3A8D">
            <w:pPr>
              <w:spacing w:line="324" w:lineRule="auto"/>
              <w:rPr>
                <w:rFonts w:ascii="Book Antiqua" w:hAnsi="Book Antiqua"/>
                <w:bCs/>
                <w:sz w:val="20"/>
                <w:szCs w:val="20"/>
              </w:rPr>
            </w:pPr>
          </w:p>
        </w:tc>
        <w:tc>
          <w:tcPr>
            <w:tcW w:w="0" w:type="auto"/>
          </w:tcPr>
          <w:p w14:paraId="58BAD280"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122A69DF"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Wastewater Treatment</w:t>
            </w:r>
          </w:p>
        </w:tc>
        <w:tc>
          <w:tcPr>
            <w:tcW w:w="1710" w:type="dxa"/>
          </w:tcPr>
          <w:p w14:paraId="002C3CAC"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7</w:t>
            </w:r>
          </w:p>
        </w:tc>
      </w:tr>
      <w:tr w:rsidR="00416F86" w:rsidRPr="00583F90" w14:paraId="0BC80855" w14:textId="77777777" w:rsidTr="002D3A8D">
        <w:trPr>
          <w:jc w:val="center"/>
        </w:trPr>
        <w:tc>
          <w:tcPr>
            <w:tcW w:w="0" w:type="auto"/>
          </w:tcPr>
          <w:p w14:paraId="3EA42EF8" w14:textId="77777777" w:rsidR="00416F86" w:rsidRPr="00583F90" w:rsidRDefault="00416F86" w:rsidP="002D3A8D">
            <w:pPr>
              <w:spacing w:line="324" w:lineRule="auto"/>
              <w:rPr>
                <w:rFonts w:ascii="Book Antiqua" w:hAnsi="Book Antiqua"/>
                <w:bCs/>
                <w:sz w:val="20"/>
                <w:szCs w:val="20"/>
              </w:rPr>
            </w:pPr>
          </w:p>
        </w:tc>
        <w:tc>
          <w:tcPr>
            <w:tcW w:w="0" w:type="auto"/>
          </w:tcPr>
          <w:p w14:paraId="3BAAC0FA"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20BA0B57"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Manure Management</w:t>
            </w:r>
          </w:p>
        </w:tc>
        <w:tc>
          <w:tcPr>
            <w:tcW w:w="1710" w:type="dxa"/>
          </w:tcPr>
          <w:p w14:paraId="1C51DE40"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4</w:t>
            </w:r>
          </w:p>
        </w:tc>
      </w:tr>
      <w:tr w:rsidR="00416F86" w:rsidRPr="00583F90" w14:paraId="087EBCE2" w14:textId="77777777" w:rsidTr="002D3A8D">
        <w:trPr>
          <w:jc w:val="center"/>
        </w:trPr>
        <w:tc>
          <w:tcPr>
            <w:tcW w:w="0" w:type="auto"/>
          </w:tcPr>
          <w:p w14:paraId="13F45882" w14:textId="77777777" w:rsidR="00416F86" w:rsidRPr="00583F90" w:rsidRDefault="00416F86" w:rsidP="002D3A8D">
            <w:pPr>
              <w:spacing w:line="324" w:lineRule="auto"/>
              <w:rPr>
                <w:rFonts w:ascii="Book Antiqua" w:hAnsi="Book Antiqua"/>
                <w:bCs/>
                <w:sz w:val="20"/>
                <w:szCs w:val="20"/>
              </w:rPr>
            </w:pPr>
          </w:p>
        </w:tc>
        <w:tc>
          <w:tcPr>
            <w:tcW w:w="0" w:type="auto"/>
          </w:tcPr>
          <w:p w14:paraId="1FF42C79"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755AEF1A"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Transportation</w:t>
            </w:r>
          </w:p>
        </w:tc>
        <w:tc>
          <w:tcPr>
            <w:tcW w:w="1710" w:type="dxa"/>
          </w:tcPr>
          <w:p w14:paraId="3C93ADC9"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4</w:t>
            </w:r>
          </w:p>
        </w:tc>
      </w:tr>
      <w:tr w:rsidR="00416F86" w:rsidRPr="00583F90" w14:paraId="2E486C16" w14:textId="77777777" w:rsidTr="002D3A8D">
        <w:trPr>
          <w:jc w:val="center"/>
        </w:trPr>
        <w:tc>
          <w:tcPr>
            <w:tcW w:w="0" w:type="auto"/>
          </w:tcPr>
          <w:p w14:paraId="0120DACF" w14:textId="77777777" w:rsidR="00416F86" w:rsidRPr="00583F90" w:rsidRDefault="00416F86" w:rsidP="002D3A8D">
            <w:pPr>
              <w:spacing w:line="324" w:lineRule="auto"/>
              <w:rPr>
                <w:rFonts w:ascii="Book Antiqua" w:hAnsi="Book Antiqua"/>
                <w:bCs/>
                <w:sz w:val="20"/>
                <w:szCs w:val="20"/>
              </w:rPr>
            </w:pPr>
          </w:p>
        </w:tc>
        <w:tc>
          <w:tcPr>
            <w:tcW w:w="0" w:type="auto"/>
          </w:tcPr>
          <w:p w14:paraId="6476ED38"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1777C20"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Land Use, Land Use Change, and Forestry</w:t>
            </w:r>
          </w:p>
        </w:tc>
        <w:tc>
          <w:tcPr>
            <w:tcW w:w="1710" w:type="dxa"/>
          </w:tcPr>
          <w:p w14:paraId="1FE1A374"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w:t>
            </w:r>
          </w:p>
        </w:tc>
      </w:tr>
      <w:tr w:rsidR="00416F86" w:rsidRPr="00583F90" w14:paraId="47B8AFFC" w14:textId="77777777" w:rsidTr="002D3A8D">
        <w:trPr>
          <w:jc w:val="center"/>
        </w:trPr>
        <w:tc>
          <w:tcPr>
            <w:tcW w:w="0" w:type="auto"/>
            <w:tcBorders>
              <w:bottom w:val="single" w:sz="18" w:space="0" w:color="auto"/>
            </w:tcBorders>
          </w:tcPr>
          <w:p w14:paraId="2B6764C1" w14:textId="77777777" w:rsidR="00416F86" w:rsidRPr="00583F90" w:rsidRDefault="00416F86" w:rsidP="002D3A8D">
            <w:pPr>
              <w:spacing w:line="324" w:lineRule="auto"/>
              <w:rPr>
                <w:rFonts w:ascii="Book Antiqua" w:hAnsi="Book Antiqua"/>
                <w:bCs/>
                <w:sz w:val="20"/>
                <w:szCs w:val="20"/>
              </w:rPr>
            </w:pPr>
          </w:p>
        </w:tc>
        <w:tc>
          <w:tcPr>
            <w:tcW w:w="0" w:type="auto"/>
            <w:tcBorders>
              <w:bottom w:val="single" w:sz="18" w:space="0" w:color="auto"/>
            </w:tcBorders>
          </w:tcPr>
          <w:p w14:paraId="38911502" w14:textId="77777777" w:rsidR="00416F86" w:rsidRPr="00583F90" w:rsidRDefault="00416F86" w:rsidP="002D3A8D">
            <w:pPr>
              <w:spacing w:line="324" w:lineRule="auto"/>
              <w:jc w:val="center"/>
              <w:rPr>
                <w:rFonts w:ascii="Book Antiqua" w:hAnsi="Book Antiqua"/>
                <w:bCs/>
                <w:sz w:val="20"/>
                <w:szCs w:val="20"/>
              </w:rPr>
            </w:pPr>
          </w:p>
        </w:tc>
        <w:tc>
          <w:tcPr>
            <w:tcW w:w="2457" w:type="dxa"/>
            <w:tcBorders>
              <w:bottom w:val="single" w:sz="18" w:space="0" w:color="auto"/>
            </w:tcBorders>
          </w:tcPr>
          <w:p w14:paraId="30DFBFD9"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Other</w:t>
            </w:r>
          </w:p>
        </w:tc>
        <w:tc>
          <w:tcPr>
            <w:tcW w:w="1710" w:type="dxa"/>
            <w:tcBorders>
              <w:bottom w:val="single" w:sz="18" w:space="0" w:color="auto"/>
            </w:tcBorders>
          </w:tcPr>
          <w:p w14:paraId="12CFC4AC"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w:t>
            </w:r>
          </w:p>
        </w:tc>
      </w:tr>
      <w:tr w:rsidR="00416F86" w:rsidRPr="00583F90" w14:paraId="3912B839" w14:textId="77777777" w:rsidTr="002D3A8D">
        <w:trPr>
          <w:jc w:val="center"/>
        </w:trPr>
        <w:tc>
          <w:tcPr>
            <w:tcW w:w="0" w:type="auto"/>
            <w:tcBorders>
              <w:top w:val="single" w:sz="18" w:space="0" w:color="auto"/>
            </w:tcBorders>
          </w:tcPr>
          <w:p w14:paraId="1344248D"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Fluorinated Gases</w:t>
            </w:r>
          </w:p>
        </w:tc>
        <w:tc>
          <w:tcPr>
            <w:tcW w:w="0" w:type="auto"/>
            <w:tcBorders>
              <w:top w:val="single" w:sz="18" w:space="0" w:color="auto"/>
            </w:tcBorders>
          </w:tcPr>
          <w:p w14:paraId="383AEC12"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3.1</w:t>
            </w:r>
          </w:p>
        </w:tc>
        <w:tc>
          <w:tcPr>
            <w:tcW w:w="2457" w:type="dxa"/>
            <w:tcBorders>
              <w:top w:val="single" w:sz="18" w:space="0" w:color="auto"/>
            </w:tcBorders>
          </w:tcPr>
          <w:p w14:paraId="477F46E1" w14:textId="77777777" w:rsidR="00416F86" w:rsidRPr="00583F90" w:rsidRDefault="00416F86" w:rsidP="002D3A8D">
            <w:pPr>
              <w:spacing w:line="324" w:lineRule="auto"/>
              <w:rPr>
                <w:rFonts w:ascii="Book Antiqua" w:hAnsi="Book Antiqua"/>
                <w:bCs/>
                <w:sz w:val="20"/>
                <w:szCs w:val="20"/>
              </w:rPr>
            </w:pPr>
          </w:p>
        </w:tc>
        <w:tc>
          <w:tcPr>
            <w:tcW w:w="1710" w:type="dxa"/>
            <w:tcBorders>
              <w:top w:val="single" w:sz="18" w:space="0" w:color="auto"/>
            </w:tcBorders>
          </w:tcPr>
          <w:p w14:paraId="78CF057E" w14:textId="77777777" w:rsidR="00416F86" w:rsidRPr="00583F90" w:rsidRDefault="00416F86" w:rsidP="002D3A8D">
            <w:pPr>
              <w:spacing w:line="324" w:lineRule="auto"/>
              <w:jc w:val="center"/>
              <w:rPr>
                <w:rFonts w:ascii="Book Antiqua" w:hAnsi="Book Antiqua"/>
                <w:bCs/>
                <w:sz w:val="20"/>
                <w:szCs w:val="20"/>
              </w:rPr>
            </w:pPr>
          </w:p>
        </w:tc>
      </w:tr>
      <w:tr w:rsidR="00416F86" w:rsidRPr="00583F90" w14:paraId="619E6145" w14:textId="77777777" w:rsidTr="002D3A8D">
        <w:trPr>
          <w:jc w:val="center"/>
        </w:trPr>
        <w:tc>
          <w:tcPr>
            <w:tcW w:w="0" w:type="auto"/>
          </w:tcPr>
          <w:p w14:paraId="1E322984" w14:textId="77777777" w:rsidR="00416F86" w:rsidRPr="00583F90" w:rsidRDefault="00416F86" w:rsidP="002D3A8D">
            <w:pPr>
              <w:spacing w:line="324" w:lineRule="auto"/>
              <w:rPr>
                <w:rFonts w:ascii="Book Antiqua" w:hAnsi="Book Antiqua"/>
                <w:bCs/>
                <w:sz w:val="20"/>
                <w:szCs w:val="20"/>
              </w:rPr>
            </w:pPr>
          </w:p>
        </w:tc>
        <w:tc>
          <w:tcPr>
            <w:tcW w:w="0" w:type="auto"/>
          </w:tcPr>
          <w:p w14:paraId="056F7962"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20906292"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Substitution of Ozone Depleting Substances</w:t>
            </w:r>
          </w:p>
        </w:tc>
        <w:tc>
          <w:tcPr>
            <w:tcW w:w="1710" w:type="dxa"/>
          </w:tcPr>
          <w:p w14:paraId="5E2236D5"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90</w:t>
            </w:r>
          </w:p>
        </w:tc>
      </w:tr>
      <w:tr w:rsidR="00416F86" w:rsidRPr="00583F90" w14:paraId="5B882448" w14:textId="77777777" w:rsidTr="002D3A8D">
        <w:trPr>
          <w:jc w:val="center"/>
        </w:trPr>
        <w:tc>
          <w:tcPr>
            <w:tcW w:w="0" w:type="auto"/>
          </w:tcPr>
          <w:p w14:paraId="14067062" w14:textId="77777777" w:rsidR="00416F86" w:rsidRPr="00583F90" w:rsidRDefault="00416F86" w:rsidP="002D3A8D">
            <w:pPr>
              <w:spacing w:line="324" w:lineRule="auto"/>
              <w:rPr>
                <w:rFonts w:ascii="Book Antiqua" w:hAnsi="Book Antiqua"/>
                <w:bCs/>
                <w:sz w:val="20"/>
                <w:szCs w:val="20"/>
              </w:rPr>
            </w:pPr>
          </w:p>
        </w:tc>
        <w:tc>
          <w:tcPr>
            <w:tcW w:w="0" w:type="auto"/>
          </w:tcPr>
          <w:p w14:paraId="56120AAF"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0D30C66D"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Fluorochemical Production</w:t>
            </w:r>
          </w:p>
        </w:tc>
        <w:tc>
          <w:tcPr>
            <w:tcW w:w="1710" w:type="dxa"/>
          </w:tcPr>
          <w:p w14:paraId="2338F7D3"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4</w:t>
            </w:r>
          </w:p>
        </w:tc>
      </w:tr>
      <w:tr w:rsidR="00416F86" w:rsidRPr="00583F90" w14:paraId="34D11AA6" w14:textId="77777777" w:rsidTr="002D3A8D">
        <w:trPr>
          <w:jc w:val="center"/>
        </w:trPr>
        <w:tc>
          <w:tcPr>
            <w:tcW w:w="0" w:type="auto"/>
          </w:tcPr>
          <w:p w14:paraId="10E4B4B4" w14:textId="77777777" w:rsidR="00416F86" w:rsidRPr="00583F90" w:rsidRDefault="00416F86" w:rsidP="002D3A8D">
            <w:pPr>
              <w:spacing w:line="324" w:lineRule="auto"/>
              <w:rPr>
                <w:rFonts w:ascii="Book Antiqua" w:hAnsi="Book Antiqua"/>
                <w:bCs/>
                <w:sz w:val="20"/>
                <w:szCs w:val="20"/>
              </w:rPr>
            </w:pPr>
          </w:p>
        </w:tc>
        <w:tc>
          <w:tcPr>
            <w:tcW w:w="0" w:type="auto"/>
          </w:tcPr>
          <w:p w14:paraId="30F50900"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36713E6"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Electrical Equipment</w:t>
            </w:r>
          </w:p>
        </w:tc>
        <w:tc>
          <w:tcPr>
            <w:tcW w:w="1710" w:type="dxa"/>
          </w:tcPr>
          <w:p w14:paraId="647342A8"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3</w:t>
            </w:r>
          </w:p>
        </w:tc>
      </w:tr>
      <w:tr w:rsidR="00416F86" w:rsidRPr="00583F90" w14:paraId="3F796F45" w14:textId="77777777" w:rsidTr="002D3A8D">
        <w:trPr>
          <w:jc w:val="center"/>
        </w:trPr>
        <w:tc>
          <w:tcPr>
            <w:tcW w:w="0" w:type="auto"/>
          </w:tcPr>
          <w:p w14:paraId="54F81032" w14:textId="77777777" w:rsidR="00416F86" w:rsidRPr="00583F90" w:rsidRDefault="00416F86" w:rsidP="002D3A8D">
            <w:pPr>
              <w:spacing w:line="324" w:lineRule="auto"/>
              <w:rPr>
                <w:rFonts w:ascii="Book Antiqua" w:hAnsi="Book Antiqua"/>
                <w:bCs/>
                <w:sz w:val="20"/>
                <w:szCs w:val="20"/>
              </w:rPr>
            </w:pPr>
          </w:p>
        </w:tc>
        <w:tc>
          <w:tcPr>
            <w:tcW w:w="0" w:type="auto"/>
          </w:tcPr>
          <w:p w14:paraId="4B92295A" w14:textId="77777777" w:rsidR="00416F86" w:rsidRPr="00583F90" w:rsidRDefault="00416F86" w:rsidP="002D3A8D">
            <w:pPr>
              <w:spacing w:line="324" w:lineRule="auto"/>
              <w:jc w:val="center"/>
              <w:rPr>
                <w:rFonts w:ascii="Book Antiqua" w:hAnsi="Book Antiqua"/>
                <w:bCs/>
                <w:sz w:val="20"/>
                <w:szCs w:val="20"/>
              </w:rPr>
            </w:pPr>
          </w:p>
        </w:tc>
        <w:tc>
          <w:tcPr>
            <w:tcW w:w="2457" w:type="dxa"/>
          </w:tcPr>
          <w:p w14:paraId="41493DB5"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Electronics Industry</w:t>
            </w:r>
          </w:p>
        </w:tc>
        <w:tc>
          <w:tcPr>
            <w:tcW w:w="1710" w:type="dxa"/>
          </w:tcPr>
          <w:p w14:paraId="31D124B1"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2</w:t>
            </w:r>
          </w:p>
        </w:tc>
      </w:tr>
      <w:tr w:rsidR="00416F86" w:rsidRPr="00583F90" w14:paraId="0497ED6B" w14:textId="77777777" w:rsidTr="002D3A8D">
        <w:trPr>
          <w:jc w:val="center"/>
        </w:trPr>
        <w:tc>
          <w:tcPr>
            <w:tcW w:w="0" w:type="auto"/>
            <w:tcBorders>
              <w:bottom w:val="double" w:sz="18" w:space="0" w:color="auto"/>
            </w:tcBorders>
          </w:tcPr>
          <w:p w14:paraId="30AE8328" w14:textId="77777777" w:rsidR="00416F86" w:rsidRPr="00583F90" w:rsidRDefault="00416F86" w:rsidP="002D3A8D">
            <w:pPr>
              <w:spacing w:line="324" w:lineRule="auto"/>
              <w:rPr>
                <w:rFonts w:ascii="Book Antiqua" w:hAnsi="Book Antiqua"/>
                <w:bCs/>
                <w:sz w:val="20"/>
                <w:szCs w:val="20"/>
              </w:rPr>
            </w:pPr>
          </w:p>
        </w:tc>
        <w:tc>
          <w:tcPr>
            <w:tcW w:w="0" w:type="auto"/>
            <w:tcBorders>
              <w:bottom w:val="double" w:sz="18" w:space="0" w:color="auto"/>
            </w:tcBorders>
          </w:tcPr>
          <w:p w14:paraId="31EA6E3F" w14:textId="77777777" w:rsidR="00416F86" w:rsidRPr="00583F90" w:rsidRDefault="00416F86" w:rsidP="002D3A8D">
            <w:pPr>
              <w:spacing w:line="324" w:lineRule="auto"/>
              <w:jc w:val="center"/>
              <w:rPr>
                <w:rFonts w:ascii="Book Antiqua" w:hAnsi="Book Antiqua"/>
                <w:bCs/>
                <w:sz w:val="20"/>
                <w:szCs w:val="20"/>
              </w:rPr>
            </w:pPr>
          </w:p>
        </w:tc>
        <w:tc>
          <w:tcPr>
            <w:tcW w:w="2457" w:type="dxa"/>
            <w:tcBorders>
              <w:bottom w:val="double" w:sz="18" w:space="0" w:color="auto"/>
            </w:tcBorders>
          </w:tcPr>
          <w:p w14:paraId="09944321" w14:textId="77777777" w:rsidR="00416F86" w:rsidRPr="00583F90" w:rsidRDefault="00416F86" w:rsidP="002D3A8D">
            <w:pPr>
              <w:spacing w:line="324" w:lineRule="auto"/>
              <w:rPr>
                <w:rFonts w:ascii="Book Antiqua" w:hAnsi="Book Antiqua"/>
                <w:bCs/>
                <w:sz w:val="20"/>
                <w:szCs w:val="20"/>
              </w:rPr>
            </w:pPr>
            <w:r w:rsidRPr="00583F90">
              <w:rPr>
                <w:rFonts w:ascii="Book Antiqua" w:hAnsi="Book Antiqua"/>
                <w:bCs/>
                <w:sz w:val="20"/>
                <w:szCs w:val="20"/>
              </w:rPr>
              <w:t>Production and Processing of Aluminum and Magnesium</w:t>
            </w:r>
          </w:p>
        </w:tc>
        <w:tc>
          <w:tcPr>
            <w:tcW w:w="1710" w:type="dxa"/>
            <w:tcBorders>
              <w:bottom w:val="double" w:sz="18" w:space="0" w:color="auto"/>
            </w:tcBorders>
          </w:tcPr>
          <w:p w14:paraId="17DFED1B" w14:textId="77777777" w:rsidR="00416F86" w:rsidRPr="00583F90" w:rsidRDefault="00416F86" w:rsidP="002D3A8D">
            <w:pPr>
              <w:spacing w:line="324" w:lineRule="auto"/>
              <w:jc w:val="center"/>
              <w:rPr>
                <w:rFonts w:ascii="Book Antiqua" w:hAnsi="Book Antiqua"/>
                <w:bCs/>
                <w:sz w:val="20"/>
                <w:szCs w:val="20"/>
              </w:rPr>
            </w:pPr>
            <w:r w:rsidRPr="00583F90">
              <w:rPr>
                <w:rFonts w:ascii="Book Antiqua" w:hAnsi="Book Antiqua"/>
                <w:bCs/>
                <w:sz w:val="20"/>
                <w:szCs w:val="20"/>
              </w:rPr>
              <w:t>1</w:t>
            </w:r>
          </w:p>
        </w:tc>
      </w:tr>
    </w:tbl>
    <w:p w14:paraId="3CD004A3" w14:textId="77777777" w:rsidR="00416F86" w:rsidRPr="00583F90" w:rsidRDefault="00416F86" w:rsidP="00416F86">
      <w:pPr>
        <w:spacing w:line="324" w:lineRule="auto"/>
        <w:jc w:val="center"/>
        <w:rPr>
          <w:rFonts w:ascii="Book Antiqua" w:hAnsi="Book Antiqua"/>
          <w:b/>
          <w:sz w:val="24"/>
          <w:szCs w:val="24"/>
        </w:rPr>
      </w:pPr>
    </w:p>
    <w:p w14:paraId="637B642B" w14:textId="158CC1C4" w:rsidR="0056651D" w:rsidRPr="00583F90" w:rsidRDefault="00167D6F" w:rsidP="005D4BD2">
      <w:pPr>
        <w:spacing w:line="324" w:lineRule="auto"/>
        <w:rPr>
          <w:rFonts w:ascii="Book Antiqua" w:hAnsi="Book Antiqua"/>
          <w:b/>
          <w:sz w:val="24"/>
          <w:szCs w:val="24"/>
        </w:rPr>
      </w:pPr>
      <w:r w:rsidRPr="00583F90">
        <w:rPr>
          <w:rFonts w:ascii="Book Antiqua" w:hAnsi="Book Antiqua"/>
          <w:b/>
          <w:sz w:val="24"/>
          <w:szCs w:val="24"/>
        </w:rPr>
        <w:t>Appendix</w:t>
      </w:r>
      <w:r w:rsidR="00416F86" w:rsidRPr="00583F90">
        <w:rPr>
          <w:rFonts w:ascii="Book Antiqua" w:hAnsi="Book Antiqua"/>
          <w:b/>
          <w:sz w:val="24"/>
          <w:szCs w:val="24"/>
        </w:rPr>
        <w:t xml:space="preserve"> 2</w:t>
      </w:r>
      <w:r w:rsidRPr="00583F90">
        <w:rPr>
          <w:rFonts w:ascii="Book Antiqua" w:hAnsi="Book Antiqua"/>
          <w:b/>
          <w:sz w:val="24"/>
          <w:szCs w:val="24"/>
        </w:rPr>
        <w:t xml:space="preserve"> </w:t>
      </w:r>
      <w:r w:rsidR="0056651D" w:rsidRPr="00583F90">
        <w:rPr>
          <w:rFonts w:ascii="Book Antiqua" w:hAnsi="Book Antiqua"/>
          <w:b/>
          <w:sz w:val="24"/>
          <w:szCs w:val="24"/>
        </w:rPr>
        <w:t>–</w:t>
      </w:r>
      <w:r w:rsidRPr="00583F90">
        <w:rPr>
          <w:rFonts w:ascii="Book Antiqua" w:hAnsi="Book Antiqua"/>
          <w:b/>
          <w:sz w:val="24"/>
          <w:szCs w:val="24"/>
        </w:rPr>
        <w:t xml:space="preserve"> References</w:t>
      </w:r>
    </w:p>
    <w:p w14:paraId="405FDD0B" w14:textId="2668A9B5"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2023 Report on the Social Cost of Greenhouse Gases: Estimates Incorporating Recent Scientific Advances. US EPA.</w:t>
      </w:r>
    </w:p>
    <w:p w14:paraId="38AFB953"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American Institute of Physics. "Global Warming Timeline." Updated April 2025. Available at: https://history.aip.org/climate/timeline.html</w:t>
      </w:r>
    </w:p>
    <w:p w14:paraId="4865862F"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Ansar, Jasmin, and Barry Vesser. “Reforming California’s Cap and Trade Program.” The Climate Center, 25 Apr. 2025. https://theclimatecenter.org/climate-targets/reforming-californias-cap-and-trade-program-policy-brief/</w:t>
      </w:r>
    </w:p>
    <w:p w14:paraId="79D99B87" w14:textId="77777777" w:rsidR="002A0AD2" w:rsidRPr="00583F90" w:rsidRDefault="002A0AD2" w:rsidP="002A0AD2">
      <w:pPr>
        <w:spacing w:line="324" w:lineRule="auto"/>
        <w:ind w:left="720" w:hanging="720"/>
        <w:rPr>
          <w:rFonts w:ascii="Book Antiqua" w:eastAsia="Calibri" w:hAnsi="Book Antiqua"/>
          <w:sz w:val="24"/>
          <w:szCs w:val="24"/>
        </w:rPr>
      </w:pPr>
      <w:proofErr w:type="spellStart"/>
      <w:r w:rsidRPr="00583F90">
        <w:rPr>
          <w:rFonts w:ascii="Book Antiqua" w:eastAsia="Calibri" w:hAnsi="Book Antiqua"/>
          <w:sz w:val="24"/>
          <w:szCs w:val="24"/>
        </w:rPr>
        <w:t>Axsen</w:t>
      </w:r>
      <w:proofErr w:type="spellEnd"/>
      <w:r w:rsidRPr="00583F90">
        <w:rPr>
          <w:rFonts w:ascii="Book Antiqua" w:eastAsia="Calibri" w:hAnsi="Book Antiqua"/>
          <w:sz w:val="24"/>
          <w:szCs w:val="24"/>
        </w:rPr>
        <w:t xml:space="preserve">, J., &amp; </w:t>
      </w:r>
      <w:proofErr w:type="spellStart"/>
      <w:r w:rsidRPr="00583F90">
        <w:rPr>
          <w:rFonts w:ascii="Book Antiqua" w:eastAsia="Calibri" w:hAnsi="Book Antiqua"/>
          <w:sz w:val="24"/>
          <w:szCs w:val="24"/>
        </w:rPr>
        <w:t>Wolinetz</w:t>
      </w:r>
      <w:proofErr w:type="spellEnd"/>
      <w:r w:rsidRPr="00583F90">
        <w:rPr>
          <w:rFonts w:ascii="Book Antiqua" w:eastAsia="Calibri" w:hAnsi="Book Antiqua"/>
          <w:sz w:val="24"/>
          <w:szCs w:val="24"/>
        </w:rPr>
        <w:t>, M. (2023). What does a low-carbon fuel standard contribute to a policy mix? An interdisciplinary review of evidence and research gaps. Transport Policy, 133, 54–63. https://doi.org/10.1016/j.tranpol.2023.01.008</w:t>
      </w:r>
    </w:p>
    <w:p w14:paraId="2C307DCF" w14:textId="77777777" w:rsidR="002A0AD2" w:rsidRPr="00583F90" w:rsidRDefault="002A0AD2" w:rsidP="002A0AD2">
      <w:pPr>
        <w:spacing w:line="324" w:lineRule="auto"/>
        <w:ind w:left="720" w:hanging="720"/>
        <w:rPr>
          <w:rFonts w:ascii="Book Antiqua" w:eastAsia="Calibri" w:hAnsi="Book Antiqua"/>
          <w:sz w:val="24"/>
          <w:szCs w:val="24"/>
        </w:rPr>
      </w:pPr>
      <w:proofErr w:type="spellStart"/>
      <w:r w:rsidRPr="00583F90">
        <w:rPr>
          <w:rFonts w:ascii="Book Antiqua" w:eastAsia="Calibri" w:hAnsi="Book Antiqua"/>
          <w:sz w:val="24"/>
          <w:szCs w:val="24"/>
        </w:rPr>
        <w:t>Bracmort</w:t>
      </w:r>
      <w:proofErr w:type="spellEnd"/>
      <w:r w:rsidRPr="00583F90">
        <w:rPr>
          <w:rFonts w:ascii="Book Antiqua" w:eastAsia="Calibri" w:hAnsi="Book Antiqua"/>
          <w:sz w:val="24"/>
          <w:szCs w:val="24"/>
        </w:rPr>
        <w:t>, K. (2021). A Low Carbon Fuel Standard: In Brief. Congressional Research Service.</w:t>
      </w:r>
    </w:p>
    <w:p w14:paraId="5B573A1A"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California Air Resources Board. “CARB Updates the Low Carbon Fuel Standard to Increase Access to Cleaner Fuels and Zero-Emission Transportation Options.” https://ww2.arb.ca.gov/news/carb-updates-low-carbon-fuel-standard-increase-access-cleaner-fuels-and-zero-emission. Accessed 15 July 2025.</w:t>
      </w:r>
    </w:p>
    <w:p w14:paraId="3C5CD15C"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California Climate Policy Fact Sheet: Renewables Portfolio Standard. Center for Climate and Energy Solutions, n.d.</w:t>
      </w:r>
    </w:p>
    <w:p w14:paraId="4FD88F10"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CLG-P2-ES3-Greenhouse Effect Diagram. (2024). NOAA Climate.gov. https://www.climate.gov/media/16408</w:t>
      </w:r>
    </w:p>
    <w:p w14:paraId="41F52E15"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EPA Energy and Environment Guide to Action Renewable Portfolio Standards Policy Description and Objective Summary. (n.d.).</w:t>
      </w:r>
    </w:p>
    <w:p w14:paraId="75F5AA3A"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EPA. (2025, January 16). Overview of Greenhouse Gases. US Environmental Protection Agency. https://www.epa.gov/ghgemissions/overview-greenhouse-gases</w:t>
      </w:r>
    </w:p>
    <w:p w14:paraId="6C9061A9"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lastRenderedPageBreak/>
        <w:t>Fischer, C., &amp; Newell, R. G. (2008). Environmental and technology policies for climate mitigation. Journal of Environmental Economics and Management, 55(2), 142–162.</w:t>
      </w:r>
    </w:p>
    <w:p w14:paraId="79FF947D"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Greenstone, M., &amp; Nath, I. (2019). Do Renewable Portfolio Standards Deliver? SSRN Electronic Journal. https://doi.org/10.2139/ssrn.3374942</w:t>
      </w:r>
    </w:p>
    <w:p w14:paraId="5CF0889A"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Hathaway, Madison. (2018). Exploring Cap-and-Trade: A California Case Study. Portland State University, 9-12.</w:t>
      </w:r>
    </w:p>
    <w:p w14:paraId="12B56C44"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Holland, S. P., Hughes, J. E., &amp; Knittel, C. R. (2009). Greenhouse Gas Reductions under Low Carbon Fuel Standards? American Economic Journal: Economic Policy, 1(1), 106–146.</w:t>
      </w:r>
    </w:p>
    <w:p w14:paraId="55072AE5"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Holland, S. P., Knittel, C. R., &amp; Hughes, J. E. (2007). Greenhouse Gas Reductions Under Low Carbon Fuel Standards? SSRN Electronic Journal. https://doi.org/10.2139/ssrn.987759</w:t>
      </w:r>
    </w:p>
    <w:p w14:paraId="0F0563E4"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Holland, S., Hughes, J., Knittel, C., &amp; Parker, N. (2015). Unintended Consequences of Carbon Policies: Transportation Fuels, Land-Use, Emissions, and Innovation. The Energy Journal, 36(3), 35–74. https://doi.org/10.5547/01956574.36.3.sho!</w:t>
      </w:r>
    </w:p>
    <w:p w14:paraId="5CD5ED5B"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Huseynov, S., &amp; Palma, M. (2017). Does California’s Low Carbon Fuel Standards reduce carbon dioxide emissions?</w:t>
      </w:r>
    </w:p>
    <w:p w14:paraId="15FF997F"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International Chamber of Commerce (ICC). (2022). Critical Design Features for Effective Carbon Pricing: A Business Perspective. ICC Global Environment and Energy Commission &amp; ICC Global Taxation Commission.</w:t>
      </w:r>
    </w:p>
    <w:p w14:paraId="09B06406"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Johnson, E. P. (2014). The cost of carbon dioxide abatement from state renewable portfolio standards. Resource and Energy Economics, 36, 332–350.</w:t>
      </w:r>
    </w:p>
    <w:p w14:paraId="4EF9E736"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Kikuchi, R. (2008). Reconsideration of climate change from the viewpoints of greenhouse gas types and time scale. Energy &amp; Environment, 19(5), 691–705.</w:t>
      </w:r>
    </w:p>
    <w:p w14:paraId="6427E2D3"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Lee, H. (2023). CLIMATE CHANGE 2023 Synthesis Report A Report of the Intergovernmental Panel on Climate Change.</w:t>
      </w:r>
    </w:p>
    <w:p w14:paraId="69359B2E"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Logan, Tracy, and Elizabeth Stuart. (2011). California Energy Incentive Programs: An Annual Update on Key Energy Issues and Financial Opportunities for Federal Sites in California. U.S. Department of Energy, Federal Energy Management Program, Dec.</w:t>
      </w:r>
    </w:p>
    <w:p w14:paraId="488F2E71"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lastRenderedPageBreak/>
        <w:t>Lopez, Briana, et al. (2021). NRDC California Cap-and-Trade 2021 Senior Practicum Report. Natural Resources Defense Council and UCLA Institute of the Environment and Sustainability.</w:t>
      </w:r>
    </w:p>
    <w:p w14:paraId="37F5931F"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Lyon, T. P. (2016). Drivers and Impacts of Renewable Portfolio Standards. Annual Review of Resource Economics, 8(1), 141–155. https://doi.org/10.1146/annurev-resource-100815-095432</w:t>
      </w:r>
    </w:p>
    <w:p w14:paraId="6319DF95" w14:textId="77777777" w:rsidR="002A0AD2" w:rsidRPr="00583F90" w:rsidRDefault="002A0AD2" w:rsidP="002A0AD2">
      <w:pPr>
        <w:spacing w:line="324" w:lineRule="auto"/>
        <w:ind w:left="720" w:hanging="720"/>
        <w:rPr>
          <w:rFonts w:ascii="Book Antiqua" w:eastAsia="Calibri" w:hAnsi="Book Antiqua"/>
          <w:sz w:val="24"/>
          <w:szCs w:val="24"/>
        </w:rPr>
      </w:pPr>
      <w:proofErr w:type="spellStart"/>
      <w:r w:rsidRPr="00583F90">
        <w:rPr>
          <w:rFonts w:ascii="Book Antiqua" w:eastAsia="Calibri" w:hAnsi="Book Antiqua"/>
          <w:sz w:val="24"/>
          <w:szCs w:val="24"/>
        </w:rPr>
        <w:t>Mandegari</w:t>
      </w:r>
      <w:proofErr w:type="spellEnd"/>
      <w:r w:rsidRPr="00583F90">
        <w:rPr>
          <w:rFonts w:ascii="Book Antiqua" w:eastAsia="Calibri" w:hAnsi="Book Antiqua"/>
          <w:sz w:val="24"/>
          <w:szCs w:val="24"/>
        </w:rPr>
        <w:t xml:space="preserve">, M., </w:t>
      </w:r>
      <w:proofErr w:type="spellStart"/>
      <w:r w:rsidRPr="00583F90">
        <w:rPr>
          <w:rFonts w:ascii="Book Antiqua" w:eastAsia="Calibri" w:hAnsi="Book Antiqua"/>
          <w:sz w:val="24"/>
          <w:szCs w:val="24"/>
        </w:rPr>
        <w:t>Ebadian</w:t>
      </w:r>
      <w:proofErr w:type="spellEnd"/>
      <w:r w:rsidRPr="00583F90">
        <w:rPr>
          <w:rFonts w:ascii="Book Antiqua" w:eastAsia="Calibri" w:hAnsi="Book Antiqua"/>
          <w:sz w:val="24"/>
          <w:szCs w:val="24"/>
        </w:rPr>
        <w:t>, M., &amp; Saddler, J. (John). (2023). The need for effective life cycle assessment (LCA) to enhance the effectiveness of policies such as low carbon fuel standards (LCFS’s). Energy Policy, 181, 113723. https://doi.org/10.1016/j.enpol.2023.113723</w:t>
      </w:r>
    </w:p>
    <w:p w14:paraId="72A3305E"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Manning, M., &amp; Reisinger, A. (2011). Broader perspectives for comparing different greenhouse gases. Philosophical Transactions of the Royal Society A: Mathematical, Physical and Engineering Sciences, 369(1943), 1891–1905.</w:t>
      </w:r>
    </w:p>
    <w:p w14:paraId="79836CCC"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Murphy, Colin. (2023). Making Policy in the Absence of Certainty: Biofuels and Land Use Change. ITS, 25 Oct. https://its.ucdavis.edu/blog-post/making-policy-in-the-absence-of-certainty-biofuels-and-land-use-change/</w:t>
      </w:r>
    </w:p>
    <w:p w14:paraId="41F1C89E"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Nyberg, Michael. (2024). 2023 Total System Electric Generation. California Energy Commission. https://www.energy.ca.gov/data-reports/energy-almanac/california-electricity-data/2023-total-system-electric-generation</w:t>
      </w:r>
    </w:p>
    <w:p w14:paraId="73AA2EA3"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 xml:space="preserve">Palmer, K., &amp; </w:t>
      </w:r>
      <w:proofErr w:type="spellStart"/>
      <w:r w:rsidRPr="00583F90">
        <w:rPr>
          <w:rFonts w:ascii="Book Antiqua" w:eastAsia="Calibri" w:hAnsi="Book Antiqua"/>
          <w:sz w:val="24"/>
          <w:szCs w:val="24"/>
        </w:rPr>
        <w:t>Burtraw</w:t>
      </w:r>
      <w:proofErr w:type="spellEnd"/>
      <w:r w:rsidRPr="00583F90">
        <w:rPr>
          <w:rFonts w:ascii="Book Antiqua" w:eastAsia="Calibri" w:hAnsi="Book Antiqua"/>
          <w:sz w:val="24"/>
          <w:szCs w:val="24"/>
        </w:rPr>
        <w:t>, D. (2005). Cost-effectiveness of renewable electricity policies. Energy Economics, 27(5), 873–894.</w:t>
      </w:r>
    </w:p>
    <w:p w14:paraId="62CC09DD"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Peace, J., &amp; Juliani, T. (2009). The coming carbon market and its impact on the American economy. Policy and Society, 27(4), 305–316. https://doi.org/10.1016/j.polsoc.2009.01.002</w:t>
      </w:r>
    </w:p>
    <w:p w14:paraId="48A35DCB"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Petek, Gabriel. (2025). Assessing California’s Climate Policies—Residential Electricity Rates in California. Legislative Analyst’s Office, Jan.</w:t>
      </w:r>
    </w:p>
    <w:p w14:paraId="3E520DE9"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Re-Radiation of Heat. (2020). Understanding Global Change, UC Berkeley, 5 Oct. https://ugc.berkeley.edu/background-content/re-radiation-of-heat/</w:t>
      </w:r>
    </w:p>
    <w:p w14:paraId="6CEC8353"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Schmalensee, R., &amp; Stavins, R. N. (2015). Lessons Learned from Three Decades of Experience with Cap-and-Trade. SSRN Electronic Journal. https://doi.org/10.2139/ssrn.2690441</w:t>
      </w:r>
    </w:p>
    <w:p w14:paraId="487705A2"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lastRenderedPageBreak/>
        <w:t>Schmalensee, R., &amp; Stavins, R. N. (2015). Lessons learned from three decades of experience with cap-and-trade. Fondazione Eni Enrico Mattei (FEEM) Nota di Lavoro 107.2015.</w:t>
      </w:r>
    </w:p>
    <w:p w14:paraId="191FE2B5"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Schopp, Anne, and Karsten Neuhoff. (2012). Can banking CO</w:t>
      </w:r>
      <w:r w:rsidRPr="00583F90">
        <w:rPr>
          <w:rFonts w:ascii="Cambria Math" w:eastAsia="Calibri" w:hAnsi="Cambria Math" w:cs="Cambria Math"/>
          <w:sz w:val="24"/>
          <w:szCs w:val="24"/>
        </w:rPr>
        <w:t>₂</w:t>
      </w:r>
      <w:r w:rsidRPr="00583F90">
        <w:rPr>
          <w:rFonts w:ascii="Book Antiqua" w:eastAsia="Calibri" w:hAnsi="Book Antiqua"/>
          <w:sz w:val="24"/>
          <w:szCs w:val="24"/>
        </w:rPr>
        <w:t xml:space="preserve"> allowances ensure inter-temporal efficiency? German Institute for Economic Research (DIW Berlin), Discussion Paper 1196.</w:t>
      </w:r>
    </w:p>
    <w:p w14:paraId="7748FED6"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 xml:space="preserve">Shea, Daniel. (2023). Nuclear Power and </w:t>
      </w:r>
      <w:proofErr w:type="gramStart"/>
      <w:r w:rsidRPr="00583F90">
        <w:rPr>
          <w:rFonts w:ascii="Book Antiqua" w:eastAsia="Calibri" w:hAnsi="Book Antiqua"/>
          <w:sz w:val="24"/>
          <w:szCs w:val="24"/>
        </w:rPr>
        <w:t>the Clean</w:t>
      </w:r>
      <w:proofErr w:type="gramEnd"/>
      <w:r w:rsidRPr="00583F90">
        <w:rPr>
          <w:rFonts w:ascii="Book Antiqua" w:eastAsia="Calibri" w:hAnsi="Book Antiqua"/>
          <w:sz w:val="24"/>
          <w:szCs w:val="24"/>
        </w:rPr>
        <w:t xml:space="preserve"> Energy Transition. National Conference of State Legislatures. Updated June 22, 2025.</w:t>
      </w:r>
    </w:p>
    <w:p w14:paraId="466543B7"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Supplementary Material for the Regulatory Impact Analysis for the Final Rulemaking… (2023). EPA Report on the Social Cost of Greenhouse Gases. https://www.epa.gov/system/files/documents/2023-12/epa_scghg_2023_report_final.pdf</w:t>
      </w:r>
    </w:p>
    <w:p w14:paraId="35E39394"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Thombs, R. P., &amp; Jorgenson, A. K. (2020). The political economy of renewable portfolio standards in the United States. Energy Research &amp; Social Science, 62, 101379.</w:t>
      </w:r>
    </w:p>
    <w:p w14:paraId="76A17545"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United States Environmental Protection Agency. (2024). U.S. Emissions and Energy System Baselines. Retrieved July 11, 2025. https://www.epa.gov/system/files/documents/2025-01/2024-btr-summary.pdf</w:t>
      </w:r>
    </w:p>
    <w:p w14:paraId="2B1CD679"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Wiser, R., et al. (2017). Assessing the costs and benefits of US renewable portfolio standards. Environmental Research Letters, 12, 94023. https://doi.org/10.1088/1748-9326/aa87bd</w:t>
      </w:r>
    </w:p>
    <w:p w14:paraId="52B141F9" w14:textId="77777777" w:rsidR="002A0AD2" w:rsidRPr="00583F90" w:rsidRDefault="002A0AD2" w:rsidP="002A0AD2">
      <w:pPr>
        <w:spacing w:line="324" w:lineRule="auto"/>
        <w:ind w:left="720" w:hanging="720"/>
        <w:rPr>
          <w:rFonts w:ascii="Book Antiqua" w:eastAsia="Calibri" w:hAnsi="Book Antiqua"/>
          <w:sz w:val="24"/>
          <w:szCs w:val="24"/>
        </w:rPr>
      </w:pPr>
      <w:r w:rsidRPr="00583F90">
        <w:rPr>
          <w:rFonts w:ascii="Book Antiqua" w:eastAsia="Calibri" w:hAnsi="Book Antiqua"/>
          <w:sz w:val="24"/>
          <w:szCs w:val="24"/>
        </w:rPr>
        <w:t xml:space="preserve">Yoon, Beomseok; Filipski, Mateusz; Landry, Craig E.; Yoo, Seung Jick. (2024). Endowment effects, expectations, and trading behavior in carbon </w:t>
      </w:r>
      <w:proofErr w:type="gramStart"/>
      <w:r w:rsidRPr="00583F90">
        <w:rPr>
          <w:rFonts w:ascii="Book Antiqua" w:eastAsia="Calibri" w:hAnsi="Book Antiqua"/>
          <w:sz w:val="24"/>
          <w:szCs w:val="24"/>
        </w:rPr>
        <w:t>cap</w:t>
      </w:r>
      <w:proofErr w:type="gramEnd"/>
      <w:r w:rsidRPr="00583F90">
        <w:rPr>
          <w:rFonts w:ascii="Book Antiqua" w:eastAsia="Calibri" w:hAnsi="Book Antiqua"/>
          <w:sz w:val="24"/>
          <w:szCs w:val="24"/>
        </w:rPr>
        <w:t xml:space="preserve"> and trade. Energy Economics, 139, 107927.</w:t>
      </w:r>
    </w:p>
    <w:p w14:paraId="18B02F30" w14:textId="77777777" w:rsidR="0005509D" w:rsidRPr="00583F90" w:rsidRDefault="0005509D" w:rsidP="00167D6F">
      <w:pPr>
        <w:spacing w:line="324" w:lineRule="auto"/>
        <w:rPr>
          <w:rFonts w:ascii="Book Antiqua" w:hAnsi="Book Antiqua"/>
          <w:b/>
          <w:sz w:val="24"/>
          <w:szCs w:val="24"/>
        </w:rPr>
      </w:pPr>
    </w:p>
    <w:sectPr w:rsidR="0005509D" w:rsidRPr="00583F90" w:rsidSect="00AC72C9">
      <w:headerReference w:type="default" r:id="rId18"/>
      <w:footerReference w:type="default" r:id="rId1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EF497" w14:textId="77777777" w:rsidR="00083073" w:rsidRDefault="00083073" w:rsidP="004B46AB">
      <w:r>
        <w:separator/>
      </w:r>
    </w:p>
  </w:endnote>
  <w:endnote w:type="continuationSeparator" w:id="0">
    <w:p w14:paraId="7566309A" w14:textId="77777777" w:rsidR="00083073" w:rsidRDefault="00083073" w:rsidP="004B4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88CCE" w14:textId="68604060" w:rsidR="00304884" w:rsidRPr="00AC72C9" w:rsidRDefault="009B4379" w:rsidP="0001783D">
    <w:pPr>
      <w:pStyle w:val="Header"/>
      <w:tabs>
        <w:tab w:val="clear" w:pos="9360"/>
        <w:tab w:val="right" w:pos="9270"/>
      </w:tabs>
      <w:rPr>
        <w:rFonts w:ascii="Georgia" w:hAnsi="Georgia"/>
        <w:sz w:val="18"/>
        <w:szCs w:val="18"/>
      </w:rPr>
    </w:pPr>
    <w:r>
      <w:rPr>
        <w:rFonts w:ascii="Georgia" w:hAnsi="Georgia"/>
        <w:sz w:val="18"/>
        <w:szCs w:val="18"/>
      </w:rPr>
      <w:t>Summer</w:t>
    </w:r>
    <w:r w:rsidR="00AC72C9" w:rsidRPr="00AC72C9">
      <w:rPr>
        <w:rFonts w:ascii="Georgia" w:hAnsi="Georgia"/>
        <w:sz w:val="18"/>
        <w:szCs w:val="18"/>
      </w:rPr>
      <w:t xml:space="preserve"> 202</w:t>
    </w:r>
    <w:r w:rsidR="00D62099">
      <w:rPr>
        <w:rFonts w:ascii="Georgia" w:hAnsi="Georgia"/>
        <w:sz w:val="18"/>
        <w:szCs w:val="18"/>
      </w:rPr>
      <w:t>5</w:t>
    </w:r>
    <w:r w:rsidR="00304884" w:rsidRPr="00AC72C9">
      <w:rPr>
        <w:rFonts w:ascii="Georgia" w:hAnsi="Georgia"/>
        <w:sz w:val="18"/>
        <w:szCs w:val="18"/>
      </w:rPr>
      <w:tab/>
    </w:r>
    <w:r w:rsidR="00304884" w:rsidRPr="00AC72C9">
      <w:rPr>
        <w:rFonts w:ascii="Georgia" w:hAnsi="Georgia"/>
        <w:sz w:val="18"/>
        <w:szCs w:val="18"/>
      </w:rPr>
      <w:tab/>
      <w:t xml:space="preserve">Page </w:t>
    </w:r>
    <w:r w:rsidR="00304884" w:rsidRPr="00AC72C9">
      <w:rPr>
        <w:rFonts w:ascii="Georgia" w:hAnsi="Georgia"/>
        <w:sz w:val="18"/>
        <w:szCs w:val="18"/>
      </w:rPr>
      <w:fldChar w:fldCharType="begin"/>
    </w:r>
    <w:r w:rsidR="00304884" w:rsidRPr="00AC72C9">
      <w:rPr>
        <w:rFonts w:ascii="Georgia" w:hAnsi="Georgia"/>
        <w:sz w:val="18"/>
        <w:szCs w:val="18"/>
      </w:rPr>
      <w:instrText xml:space="preserve"> PAGE </w:instrText>
    </w:r>
    <w:r w:rsidR="00304884" w:rsidRPr="00AC72C9">
      <w:rPr>
        <w:rFonts w:ascii="Georgia" w:hAnsi="Georgia"/>
        <w:sz w:val="18"/>
        <w:szCs w:val="18"/>
      </w:rPr>
      <w:fldChar w:fldCharType="separate"/>
    </w:r>
    <w:r w:rsidR="00AC72C9">
      <w:rPr>
        <w:rFonts w:ascii="Georgia" w:hAnsi="Georgia"/>
        <w:noProof/>
        <w:sz w:val="18"/>
        <w:szCs w:val="18"/>
      </w:rPr>
      <w:t>1</w:t>
    </w:r>
    <w:r w:rsidR="00304884" w:rsidRPr="00AC72C9">
      <w:rPr>
        <w:rFonts w:ascii="Georgia" w:hAnsi="Georgia"/>
        <w:sz w:val="18"/>
        <w:szCs w:val="18"/>
      </w:rPr>
      <w:fldChar w:fldCharType="end"/>
    </w:r>
    <w:r w:rsidR="00304884" w:rsidRPr="00AC72C9">
      <w:rPr>
        <w:rFonts w:ascii="Georgia" w:hAnsi="Georgia"/>
        <w:sz w:val="18"/>
        <w:szCs w:val="18"/>
      </w:rPr>
      <w:t xml:space="preserve"> of </w:t>
    </w:r>
    <w:r w:rsidR="00304884" w:rsidRPr="00AC72C9">
      <w:rPr>
        <w:rFonts w:ascii="Georgia" w:hAnsi="Georgia"/>
        <w:sz w:val="18"/>
        <w:szCs w:val="18"/>
      </w:rPr>
      <w:fldChar w:fldCharType="begin"/>
    </w:r>
    <w:r w:rsidR="00304884" w:rsidRPr="00AC72C9">
      <w:rPr>
        <w:rFonts w:ascii="Georgia" w:hAnsi="Georgia"/>
        <w:sz w:val="18"/>
        <w:szCs w:val="18"/>
      </w:rPr>
      <w:instrText xml:space="preserve"> NUMPAGES  </w:instrText>
    </w:r>
    <w:r w:rsidR="00304884" w:rsidRPr="00AC72C9">
      <w:rPr>
        <w:rFonts w:ascii="Georgia" w:hAnsi="Georgia"/>
        <w:sz w:val="18"/>
        <w:szCs w:val="18"/>
      </w:rPr>
      <w:fldChar w:fldCharType="separate"/>
    </w:r>
    <w:r w:rsidR="00AC72C9">
      <w:rPr>
        <w:rFonts w:ascii="Georgia" w:hAnsi="Georgia"/>
        <w:noProof/>
        <w:sz w:val="18"/>
        <w:szCs w:val="18"/>
      </w:rPr>
      <w:t>1</w:t>
    </w:r>
    <w:r w:rsidR="00304884" w:rsidRPr="00AC72C9">
      <w:rPr>
        <w:rFonts w:ascii="Georgia" w:hAnsi="Georgia"/>
        <w:sz w:val="18"/>
        <w:szCs w:val="18"/>
      </w:rPr>
      <w:fldChar w:fldCharType="end"/>
    </w:r>
  </w:p>
  <w:p w14:paraId="135EA28A" w14:textId="77777777" w:rsidR="00304884" w:rsidRDefault="00304884">
    <w:pPr>
      <w:pStyle w:val="Footer"/>
    </w:pPr>
  </w:p>
  <w:p w14:paraId="308E4A98" w14:textId="77777777" w:rsidR="00304884" w:rsidRDefault="00304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B2EE8" w14:textId="77777777" w:rsidR="00083073" w:rsidRDefault="00083073" w:rsidP="004B46AB">
      <w:r>
        <w:separator/>
      </w:r>
    </w:p>
  </w:footnote>
  <w:footnote w:type="continuationSeparator" w:id="0">
    <w:p w14:paraId="248168D4" w14:textId="77777777" w:rsidR="00083073" w:rsidRDefault="00083073" w:rsidP="004B4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5C083" w14:textId="77777777" w:rsidR="00304884" w:rsidRPr="00AC72C9" w:rsidRDefault="00304884" w:rsidP="0001783D">
    <w:pPr>
      <w:pStyle w:val="Header"/>
      <w:tabs>
        <w:tab w:val="clear" w:pos="9360"/>
        <w:tab w:val="right" w:pos="9270"/>
      </w:tabs>
      <w:rPr>
        <w:rFonts w:ascii="Georgia" w:hAnsi="Georgia"/>
        <w:sz w:val="18"/>
        <w:szCs w:val="18"/>
      </w:rPr>
    </w:pPr>
    <w:r w:rsidRPr="00AC72C9">
      <w:rPr>
        <w:rFonts w:ascii="Georgia" w:hAnsi="Georgia"/>
        <w:sz w:val="18"/>
        <w:szCs w:val="18"/>
      </w:rPr>
      <w:t>California Luthe</w:t>
    </w:r>
    <w:r w:rsidR="00CC545E" w:rsidRPr="00AC72C9">
      <w:rPr>
        <w:rFonts w:ascii="Georgia" w:hAnsi="Georgia"/>
        <w:sz w:val="18"/>
        <w:szCs w:val="18"/>
      </w:rPr>
      <w:t>ran Uni</w:t>
    </w:r>
    <w:r w:rsidR="00AC72C9">
      <w:rPr>
        <w:rFonts w:ascii="Georgia" w:hAnsi="Georgia"/>
        <w:sz w:val="18"/>
        <w:szCs w:val="18"/>
      </w:rPr>
      <w:t>versity</w:t>
    </w:r>
    <w:r w:rsidR="00AC72C9">
      <w:rPr>
        <w:rFonts w:ascii="Georgia" w:hAnsi="Georgia"/>
        <w:sz w:val="18"/>
        <w:szCs w:val="18"/>
      </w:rPr>
      <w:tab/>
    </w:r>
    <w:r w:rsidR="00AC72C9">
      <w:rPr>
        <w:rFonts w:ascii="Georgia" w:hAnsi="Georgia"/>
        <w:sz w:val="18"/>
        <w:szCs w:val="18"/>
      </w:rPr>
      <w:tab/>
      <w:t>M.S. in Quantitative Economics</w:t>
    </w:r>
  </w:p>
  <w:p w14:paraId="36F74086" w14:textId="77777777" w:rsidR="00304884" w:rsidRPr="004B46AB" w:rsidRDefault="00304884" w:rsidP="004B46AB">
    <w:pPr>
      <w:pStyle w:val="Header"/>
      <w:tabs>
        <w:tab w:val="clear" w:pos="9360"/>
        <w:tab w:val="right" w:pos="9630"/>
      </w:tabs>
      <w:ind w:left="-360"/>
      <w:rPr>
        <w:rFonts w:ascii="Book Antiqua" w:hAnsi="Book Antiqua"/>
        <w:sz w:val="18"/>
        <w:szCs w:val="18"/>
      </w:rPr>
    </w:pPr>
    <w:r w:rsidRPr="006A5C4E">
      <w:rPr>
        <w:rFonts w:ascii="Book Antiqua" w:hAnsi="Book Antiqua"/>
        <w:sz w:val="18"/>
        <w:szCs w:val="18"/>
      </w:rPr>
      <w:tab/>
    </w:r>
    <w:r w:rsidRPr="006A5C4E">
      <w:rPr>
        <w:rFonts w:ascii="Book Antiqua" w:hAnsi="Book Antiqua"/>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5780"/>
    <w:multiLevelType w:val="multilevel"/>
    <w:tmpl w:val="1622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B08CD"/>
    <w:multiLevelType w:val="hybridMultilevel"/>
    <w:tmpl w:val="76647070"/>
    <w:lvl w:ilvl="0" w:tplc="A5F8943E">
      <w:start w:val="1"/>
      <w:numFmt w:val="bullet"/>
      <w:lvlText w:val="-"/>
      <w:lvlJc w:val="left"/>
      <w:pPr>
        <w:ind w:left="720" w:hanging="360"/>
      </w:pPr>
      <w:rPr>
        <w:rFonts w:ascii="Book Antiqua" w:eastAsia="Times New Roman" w:hAnsi="Book Antiq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C5F1F"/>
    <w:multiLevelType w:val="multilevel"/>
    <w:tmpl w:val="C2A6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24523"/>
    <w:multiLevelType w:val="multilevel"/>
    <w:tmpl w:val="42EE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E21FD"/>
    <w:multiLevelType w:val="multilevel"/>
    <w:tmpl w:val="2E12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C04F5"/>
    <w:multiLevelType w:val="hybridMultilevel"/>
    <w:tmpl w:val="A0AA14A2"/>
    <w:lvl w:ilvl="0" w:tplc="16E0D478">
      <w:numFmt w:val="bullet"/>
      <w:lvlText w:val="-"/>
      <w:lvlJc w:val="left"/>
      <w:pPr>
        <w:ind w:left="720" w:hanging="360"/>
      </w:pPr>
      <w:rPr>
        <w:rFonts w:ascii="Book Antiqua" w:eastAsia="Times New Roman" w:hAnsi="Book Antiqu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EA3409"/>
    <w:multiLevelType w:val="hybridMultilevel"/>
    <w:tmpl w:val="0A1E7932"/>
    <w:lvl w:ilvl="0" w:tplc="D11814D6">
      <w:start w:val="1"/>
      <w:numFmt w:val="bullet"/>
      <w:lvlText w:val="•"/>
      <w:lvlJc w:val="left"/>
      <w:pPr>
        <w:tabs>
          <w:tab w:val="num" w:pos="720"/>
        </w:tabs>
        <w:ind w:left="720" w:hanging="360"/>
      </w:pPr>
      <w:rPr>
        <w:rFonts w:ascii="Arial" w:hAnsi="Arial" w:hint="default"/>
      </w:rPr>
    </w:lvl>
    <w:lvl w:ilvl="1" w:tplc="C4521200" w:tentative="1">
      <w:start w:val="1"/>
      <w:numFmt w:val="bullet"/>
      <w:lvlText w:val="•"/>
      <w:lvlJc w:val="left"/>
      <w:pPr>
        <w:tabs>
          <w:tab w:val="num" w:pos="1440"/>
        </w:tabs>
        <w:ind w:left="1440" w:hanging="360"/>
      </w:pPr>
      <w:rPr>
        <w:rFonts w:ascii="Arial" w:hAnsi="Arial" w:hint="default"/>
      </w:rPr>
    </w:lvl>
    <w:lvl w:ilvl="2" w:tplc="D53E4EC4" w:tentative="1">
      <w:start w:val="1"/>
      <w:numFmt w:val="bullet"/>
      <w:lvlText w:val="•"/>
      <w:lvlJc w:val="left"/>
      <w:pPr>
        <w:tabs>
          <w:tab w:val="num" w:pos="2160"/>
        </w:tabs>
        <w:ind w:left="2160" w:hanging="360"/>
      </w:pPr>
      <w:rPr>
        <w:rFonts w:ascii="Arial" w:hAnsi="Arial" w:hint="default"/>
      </w:rPr>
    </w:lvl>
    <w:lvl w:ilvl="3" w:tplc="0742B4C2" w:tentative="1">
      <w:start w:val="1"/>
      <w:numFmt w:val="bullet"/>
      <w:lvlText w:val="•"/>
      <w:lvlJc w:val="left"/>
      <w:pPr>
        <w:tabs>
          <w:tab w:val="num" w:pos="2880"/>
        </w:tabs>
        <w:ind w:left="2880" w:hanging="360"/>
      </w:pPr>
      <w:rPr>
        <w:rFonts w:ascii="Arial" w:hAnsi="Arial" w:hint="default"/>
      </w:rPr>
    </w:lvl>
    <w:lvl w:ilvl="4" w:tplc="04B62496" w:tentative="1">
      <w:start w:val="1"/>
      <w:numFmt w:val="bullet"/>
      <w:lvlText w:val="•"/>
      <w:lvlJc w:val="left"/>
      <w:pPr>
        <w:tabs>
          <w:tab w:val="num" w:pos="3600"/>
        </w:tabs>
        <w:ind w:left="3600" w:hanging="360"/>
      </w:pPr>
      <w:rPr>
        <w:rFonts w:ascii="Arial" w:hAnsi="Arial" w:hint="default"/>
      </w:rPr>
    </w:lvl>
    <w:lvl w:ilvl="5" w:tplc="FCB6985A" w:tentative="1">
      <w:start w:val="1"/>
      <w:numFmt w:val="bullet"/>
      <w:lvlText w:val="•"/>
      <w:lvlJc w:val="left"/>
      <w:pPr>
        <w:tabs>
          <w:tab w:val="num" w:pos="4320"/>
        </w:tabs>
        <w:ind w:left="4320" w:hanging="360"/>
      </w:pPr>
      <w:rPr>
        <w:rFonts w:ascii="Arial" w:hAnsi="Arial" w:hint="default"/>
      </w:rPr>
    </w:lvl>
    <w:lvl w:ilvl="6" w:tplc="1B96C2F2" w:tentative="1">
      <w:start w:val="1"/>
      <w:numFmt w:val="bullet"/>
      <w:lvlText w:val="•"/>
      <w:lvlJc w:val="left"/>
      <w:pPr>
        <w:tabs>
          <w:tab w:val="num" w:pos="5040"/>
        </w:tabs>
        <w:ind w:left="5040" w:hanging="360"/>
      </w:pPr>
      <w:rPr>
        <w:rFonts w:ascii="Arial" w:hAnsi="Arial" w:hint="default"/>
      </w:rPr>
    </w:lvl>
    <w:lvl w:ilvl="7" w:tplc="414425E6" w:tentative="1">
      <w:start w:val="1"/>
      <w:numFmt w:val="bullet"/>
      <w:lvlText w:val="•"/>
      <w:lvlJc w:val="left"/>
      <w:pPr>
        <w:tabs>
          <w:tab w:val="num" w:pos="5760"/>
        </w:tabs>
        <w:ind w:left="5760" w:hanging="360"/>
      </w:pPr>
      <w:rPr>
        <w:rFonts w:ascii="Arial" w:hAnsi="Arial" w:hint="default"/>
      </w:rPr>
    </w:lvl>
    <w:lvl w:ilvl="8" w:tplc="54ACE2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A0425A"/>
    <w:multiLevelType w:val="hybridMultilevel"/>
    <w:tmpl w:val="610098DE"/>
    <w:lvl w:ilvl="0" w:tplc="12CEE158">
      <w:start w:val="1"/>
      <w:numFmt w:val="bullet"/>
      <w:lvlText w:val="•"/>
      <w:lvlJc w:val="left"/>
      <w:pPr>
        <w:tabs>
          <w:tab w:val="num" w:pos="720"/>
        </w:tabs>
        <w:ind w:left="720" w:hanging="360"/>
      </w:pPr>
      <w:rPr>
        <w:rFonts w:ascii="Arial" w:hAnsi="Arial" w:hint="default"/>
      </w:rPr>
    </w:lvl>
    <w:lvl w:ilvl="1" w:tplc="704A2674" w:tentative="1">
      <w:start w:val="1"/>
      <w:numFmt w:val="bullet"/>
      <w:lvlText w:val="•"/>
      <w:lvlJc w:val="left"/>
      <w:pPr>
        <w:tabs>
          <w:tab w:val="num" w:pos="1440"/>
        </w:tabs>
        <w:ind w:left="1440" w:hanging="360"/>
      </w:pPr>
      <w:rPr>
        <w:rFonts w:ascii="Arial" w:hAnsi="Arial" w:hint="default"/>
      </w:rPr>
    </w:lvl>
    <w:lvl w:ilvl="2" w:tplc="9B5EEE72" w:tentative="1">
      <w:start w:val="1"/>
      <w:numFmt w:val="bullet"/>
      <w:lvlText w:val="•"/>
      <w:lvlJc w:val="left"/>
      <w:pPr>
        <w:tabs>
          <w:tab w:val="num" w:pos="2160"/>
        </w:tabs>
        <w:ind w:left="2160" w:hanging="360"/>
      </w:pPr>
      <w:rPr>
        <w:rFonts w:ascii="Arial" w:hAnsi="Arial" w:hint="default"/>
      </w:rPr>
    </w:lvl>
    <w:lvl w:ilvl="3" w:tplc="4F4A63AA" w:tentative="1">
      <w:start w:val="1"/>
      <w:numFmt w:val="bullet"/>
      <w:lvlText w:val="•"/>
      <w:lvlJc w:val="left"/>
      <w:pPr>
        <w:tabs>
          <w:tab w:val="num" w:pos="2880"/>
        </w:tabs>
        <w:ind w:left="2880" w:hanging="360"/>
      </w:pPr>
      <w:rPr>
        <w:rFonts w:ascii="Arial" w:hAnsi="Arial" w:hint="default"/>
      </w:rPr>
    </w:lvl>
    <w:lvl w:ilvl="4" w:tplc="0F1E64DA" w:tentative="1">
      <w:start w:val="1"/>
      <w:numFmt w:val="bullet"/>
      <w:lvlText w:val="•"/>
      <w:lvlJc w:val="left"/>
      <w:pPr>
        <w:tabs>
          <w:tab w:val="num" w:pos="3600"/>
        </w:tabs>
        <w:ind w:left="3600" w:hanging="360"/>
      </w:pPr>
      <w:rPr>
        <w:rFonts w:ascii="Arial" w:hAnsi="Arial" w:hint="default"/>
      </w:rPr>
    </w:lvl>
    <w:lvl w:ilvl="5" w:tplc="7F0C92E0" w:tentative="1">
      <w:start w:val="1"/>
      <w:numFmt w:val="bullet"/>
      <w:lvlText w:val="•"/>
      <w:lvlJc w:val="left"/>
      <w:pPr>
        <w:tabs>
          <w:tab w:val="num" w:pos="4320"/>
        </w:tabs>
        <w:ind w:left="4320" w:hanging="360"/>
      </w:pPr>
      <w:rPr>
        <w:rFonts w:ascii="Arial" w:hAnsi="Arial" w:hint="default"/>
      </w:rPr>
    </w:lvl>
    <w:lvl w:ilvl="6" w:tplc="01DCD4AA" w:tentative="1">
      <w:start w:val="1"/>
      <w:numFmt w:val="bullet"/>
      <w:lvlText w:val="•"/>
      <w:lvlJc w:val="left"/>
      <w:pPr>
        <w:tabs>
          <w:tab w:val="num" w:pos="5040"/>
        </w:tabs>
        <w:ind w:left="5040" w:hanging="360"/>
      </w:pPr>
      <w:rPr>
        <w:rFonts w:ascii="Arial" w:hAnsi="Arial" w:hint="default"/>
      </w:rPr>
    </w:lvl>
    <w:lvl w:ilvl="7" w:tplc="265611FA" w:tentative="1">
      <w:start w:val="1"/>
      <w:numFmt w:val="bullet"/>
      <w:lvlText w:val="•"/>
      <w:lvlJc w:val="left"/>
      <w:pPr>
        <w:tabs>
          <w:tab w:val="num" w:pos="5760"/>
        </w:tabs>
        <w:ind w:left="5760" w:hanging="360"/>
      </w:pPr>
      <w:rPr>
        <w:rFonts w:ascii="Arial" w:hAnsi="Arial" w:hint="default"/>
      </w:rPr>
    </w:lvl>
    <w:lvl w:ilvl="8" w:tplc="2B9087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0747AA6"/>
    <w:multiLevelType w:val="multilevel"/>
    <w:tmpl w:val="1AD6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421169"/>
    <w:multiLevelType w:val="multilevel"/>
    <w:tmpl w:val="283E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340339">
    <w:abstractNumId w:val="6"/>
  </w:num>
  <w:num w:numId="2" w16cid:durableId="992872932">
    <w:abstractNumId w:val="7"/>
  </w:num>
  <w:num w:numId="3" w16cid:durableId="763308254">
    <w:abstractNumId w:val="5"/>
  </w:num>
  <w:num w:numId="4" w16cid:durableId="1725978963">
    <w:abstractNumId w:val="0"/>
  </w:num>
  <w:num w:numId="5" w16cid:durableId="234819597">
    <w:abstractNumId w:val="2"/>
  </w:num>
  <w:num w:numId="6" w16cid:durableId="821237331">
    <w:abstractNumId w:val="9"/>
  </w:num>
  <w:num w:numId="7" w16cid:durableId="937639610">
    <w:abstractNumId w:val="4"/>
  </w:num>
  <w:num w:numId="8" w16cid:durableId="1029912109">
    <w:abstractNumId w:val="3"/>
  </w:num>
  <w:num w:numId="9" w16cid:durableId="351735126">
    <w:abstractNumId w:val="1"/>
  </w:num>
  <w:num w:numId="10" w16cid:durableId="10805610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E24"/>
    <w:rsid w:val="00000AD9"/>
    <w:rsid w:val="00000C21"/>
    <w:rsid w:val="00000D13"/>
    <w:rsid w:val="00000FDC"/>
    <w:rsid w:val="000013FA"/>
    <w:rsid w:val="00001796"/>
    <w:rsid w:val="0000201A"/>
    <w:rsid w:val="00002224"/>
    <w:rsid w:val="00002E05"/>
    <w:rsid w:val="000038A1"/>
    <w:rsid w:val="0000416E"/>
    <w:rsid w:val="00004299"/>
    <w:rsid w:val="000042FB"/>
    <w:rsid w:val="00004346"/>
    <w:rsid w:val="000044D2"/>
    <w:rsid w:val="000045A8"/>
    <w:rsid w:val="00004854"/>
    <w:rsid w:val="000050D2"/>
    <w:rsid w:val="0000555A"/>
    <w:rsid w:val="000056C2"/>
    <w:rsid w:val="00005E00"/>
    <w:rsid w:val="000060E8"/>
    <w:rsid w:val="00006D9B"/>
    <w:rsid w:val="00006E4C"/>
    <w:rsid w:val="000076B6"/>
    <w:rsid w:val="0000772C"/>
    <w:rsid w:val="00010C93"/>
    <w:rsid w:val="0001155A"/>
    <w:rsid w:val="00011798"/>
    <w:rsid w:val="0001212A"/>
    <w:rsid w:val="00012541"/>
    <w:rsid w:val="00012B9F"/>
    <w:rsid w:val="00012E78"/>
    <w:rsid w:val="0001306E"/>
    <w:rsid w:val="000142F3"/>
    <w:rsid w:val="0001468C"/>
    <w:rsid w:val="00014871"/>
    <w:rsid w:val="00015355"/>
    <w:rsid w:val="00015751"/>
    <w:rsid w:val="00015798"/>
    <w:rsid w:val="000166C9"/>
    <w:rsid w:val="00016DC3"/>
    <w:rsid w:val="00017187"/>
    <w:rsid w:val="0001722B"/>
    <w:rsid w:val="0001783D"/>
    <w:rsid w:val="0001784A"/>
    <w:rsid w:val="00017F20"/>
    <w:rsid w:val="0002024B"/>
    <w:rsid w:val="00020291"/>
    <w:rsid w:val="0002048B"/>
    <w:rsid w:val="000209A0"/>
    <w:rsid w:val="000214E5"/>
    <w:rsid w:val="00021727"/>
    <w:rsid w:val="00021B46"/>
    <w:rsid w:val="00021D13"/>
    <w:rsid w:val="00022AE5"/>
    <w:rsid w:val="00023178"/>
    <w:rsid w:val="000236FE"/>
    <w:rsid w:val="00023AE6"/>
    <w:rsid w:val="000242ED"/>
    <w:rsid w:val="00024C8B"/>
    <w:rsid w:val="00024FF6"/>
    <w:rsid w:val="00025A51"/>
    <w:rsid w:val="00025D2B"/>
    <w:rsid w:val="00025E8B"/>
    <w:rsid w:val="00025FA6"/>
    <w:rsid w:val="00026243"/>
    <w:rsid w:val="0002689B"/>
    <w:rsid w:val="00026AF0"/>
    <w:rsid w:val="000306EA"/>
    <w:rsid w:val="00030D8F"/>
    <w:rsid w:val="00031180"/>
    <w:rsid w:val="00031A4D"/>
    <w:rsid w:val="000320DC"/>
    <w:rsid w:val="0003229D"/>
    <w:rsid w:val="000323B6"/>
    <w:rsid w:val="00032687"/>
    <w:rsid w:val="000326FC"/>
    <w:rsid w:val="000327A6"/>
    <w:rsid w:val="00033567"/>
    <w:rsid w:val="00035184"/>
    <w:rsid w:val="000351D0"/>
    <w:rsid w:val="000354D9"/>
    <w:rsid w:val="000356FE"/>
    <w:rsid w:val="00035B56"/>
    <w:rsid w:val="000360C3"/>
    <w:rsid w:val="00037250"/>
    <w:rsid w:val="0003748D"/>
    <w:rsid w:val="00037724"/>
    <w:rsid w:val="000400BD"/>
    <w:rsid w:val="000401C9"/>
    <w:rsid w:val="00040784"/>
    <w:rsid w:val="00040875"/>
    <w:rsid w:val="0004101A"/>
    <w:rsid w:val="000417C2"/>
    <w:rsid w:val="0004183D"/>
    <w:rsid w:val="000427C6"/>
    <w:rsid w:val="00042B6A"/>
    <w:rsid w:val="0004313F"/>
    <w:rsid w:val="000435E1"/>
    <w:rsid w:val="00043BD5"/>
    <w:rsid w:val="00043F1A"/>
    <w:rsid w:val="00044295"/>
    <w:rsid w:val="00046275"/>
    <w:rsid w:val="000471A8"/>
    <w:rsid w:val="0004729E"/>
    <w:rsid w:val="000509DE"/>
    <w:rsid w:val="00051A29"/>
    <w:rsid w:val="00051C4D"/>
    <w:rsid w:val="00052783"/>
    <w:rsid w:val="00052DEA"/>
    <w:rsid w:val="00053055"/>
    <w:rsid w:val="00053640"/>
    <w:rsid w:val="0005424B"/>
    <w:rsid w:val="000549E9"/>
    <w:rsid w:val="0005509D"/>
    <w:rsid w:val="00055167"/>
    <w:rsid w:val="00055CD3"/>
    <w:rsid w:val="0005612A"/>
    <w:rsid w:val="000563A4"/>
    <w:rsid w:val="000566C5"/>
    <w:rsid w:val="00057350"/>
    <w:rsid w:val="00057592"/>
    <w:rsid w:val="000577EC"/>
    <w:rsid w:val="00057FEC"/>
    <w:rsid w:val="000616D5"/>
    <w:rsid w:val="00061834"/>
    <w:rsid w:val="00061A12"/>
    <w:rsid w:val="00061C42"/>
    <w:rsid w:val="0006255F"/>
    <w:rsid w:val="0006277B"/>
    <w:rsid w:val="0006294D"/>
    <w:rsid w:val="000636F3"/>
    <w:rsid w:val="00063A48"/>
    <w:rsid w:val="000641F1"/>
    <w:rsid w:val="00064245"/>
    <w:rsid w:val="00064DB0"/>
    <w:rsid w:val="0006581D"/>
    <w:rsid w:val="00065B26"/>
    <w:rsid w:val="00066F1C"/>
    <w:rsid w:val="00067086"/>
    <w:rsid w:val="0006772F"/>
    <w:rsid w:val="00067A2F"/>
    <w:rsid w:val="00067FF3"/>
    <w:rsid w:val="00070020"/>
    <w:rsid w:val="00070E65"/>
    <w:rsid w:val="0007107F"/>
    <w:rsid w:val="00071E84"/>
    <w:rsid w:val="000720BF"/>
    <w:rsid w:val="00072B9E"/>
    <w:rsid w:val="00072C5B"/>
    <w:rsid w:val="00073C08"/>
    <w:rsid w:val="00074362"/>
    <w:rsid w:val="00074709"/>
    <w:rsid w:val="000747C4"/>
    <w:rsid w:val="00074BE4"/>
    <w:rsid w:val="00075100"/>
    <w:rsid w:val="000757EB"/>
    <w:rsid w:val="00075AB2"/>
    <w:rsid w:val="0007693B"/>
    <w:rsid w:val="000773FE"/>
    <w:rsid w:val="000776DB"/>
    <w:rsid w:val="00077993"/>
    <w:rsid w:val="00077F6F"/>
    <w:rsid w:val="0008028A"/>
    <w:rsid w:val="00080881"/>
    <w:rsid w:val="00080AB4"/>
    <w:rsid w:val="00080CD8"/>
    <w:rsid w:val="000823D8"/>
    <w:rsid w:val="00082B73"/>
    <w:rsid w:val="00083073"/>
    <w:rsid w:val="000831CE"/>
    <w:rsid w:val="00083A0A"/>
    <w:rsid w:val="00084512"/>
    <w:rsid w:val="000847E8"/>
    <w:rsid w:val="00084F96"/>
    <w:rsid w:val="00085307"/>
    <w:rsid w:val="00085494"/>
    <w:rsid w:val="00085805"/>
    <w:rsid w:val="000862A2"/>
    <w:rsid w:val="000862AA"/>
    <w:rsid w:val="00086A64"/>
    <w:rsid w:val="00086A93"/>
    <w:rsid w:val="00086CA9"/>
    <w:rsid w:val="00087065"/>
    <w:rsid w:val="00087224"/>
    <w:rsid w:val="00087D25"/>
    <w:rsid w:val="00090835"/>
    <w:rsid w:val="00091E96"/>
    <w:rsid w:val="00091FB0"/>
    <w:rsid w:val="00092858"/>
    <w:rsid w:val="000936FA"/>
    <w:rsid w:val="00093815"/>
    <w:rsid w:val="00093B9E"/>
    <w:rsid w:val="0009524E"/>
    <w:rsid w:val="0009559E"/>
    <w:rsid w:val="000955CE"/>
    <w:rsid w:val="00096628"/>
    <w:rsid w:val="00096B73"/>
    <w:rsid w:val="00096BDD"/>
    <w:rsid w:val="00096E39"/>
    <w:rsid w:val="00096F69"/>
    <w:rsid w:val="00097627"/>
    <w:rsid w:val="000A0006"/>
    <w:rsid w:val="000A01E3"/>
    <w:rsid w:val="000A0931"/>
    <w:rsid w:val="000A098C"/>
    <w:rsid w:val="000A0FE6"/>
    <w:rsid w:val="000A177B"/>
    <w:rsid w:val="000A1BA7"/>
    <w:rsid w:val="000A1F19"/>
    <w:rsid w:val="000A215C"/>
    <w:rsid w:val="000A3892"/>
    <w:rsid w:val="000A47F5"/>
    <w:rsid w:val="000A4B54"/>
    <w:rsid w:val="000A4B8A"/>
    <w:rsid w:val="000A4E11"/>
    <w:rsid w:val="000A4E31"/>
    <w:rsid w:val="000A5B31"/>
    <w:rsid w:val="000A6BF3"/>
    <w:rsid w:val="000B068A"/>
    <w:rsid w:val="000B1583"/>
    <w:rsid w:val="000B169E"/>
    <w:rsid w:val="000B20C7"/>
    <w:rsid w:val="000B24C7"/>
    <w:rsid w:val="000B2657"/>
    <w:rsid w:val="000B305B"/>
    <w:rsid w:val="000B3137"/>
    <w:rsid w:val="000B35CB"/>
    <w:rsid w:val="000B3712"/>
    <w:rsid w:val="000B38AE"/>
    <w:rsid w:val="000B42CD"/>
    <w:rsid w:val="000B46F2"/>
    <w:rsid w:val="000B4E7C"/>
    <w:rsid w:val="000B592A"/>
    <w:rsid w:val="000B5AD0"/>
    <w:rsid w:val="000B6E39"/>
    <w:rsid w:val="000B7117"/>
    <w:rsid w:val="000B7C22"/>
    <w:rsid w:val="000C03B4"/>
    <w:rsid w:val="000C0851"/>
    <w:rsid w:val="000C1514"/>
    <w:rsid w:val="000C1F2C"/>
    <w:rsid w:val="000C2082"/>
    <w:rsid w:val="000C2762"/>
    <w:rsid w:val="000C39D2"/>
    <w:rsid w:val="000C3BDD"/>
    <w:rsid w:val="000C5A96"/>
    <w:rsid w:val="000C73F7"/>
    <w:rsid w:val="000C7CB4"/>
    <w:rsid w:val="000D02C6"/>
    <w:rsid w:val="000D0B5C"/>
    <w:rsid w:val="000D0FEC"/>
    <w:rsid w:val="000D10FE"/>
    <w:rsid w:val="000D116B"/>
    <w:rsid w:val="000D1BFC"/>
    <w:rsid w:val="000D244E"/>
    <w:rsid w:val="000D279A"/>
    <w:rsid w:val="000D3212"/>
    <w:rsid w:val="000D3306"/>
    <w:rsid w:val="000D337D"/>
    <w:rsid w:val="000D372D"/>
    <w:rsid w:val="000D39ED"/>
    <w:rsid w:val="000D3CBC"/>
    <w:rsid w:val="000D4417"/>
    <w:rsid w:val="000D4904"/>
    <w:rsid w:val="000D50B0"/>
    <w:rsid w:val="000D514F"/>
    <w:rsid w:val="000D667C"/>
    <w:rsid w:val="000D6A69"/>
    <w:rsid w:val="000D6E6E"/>
    <w:rsid w:val="000D6EFE"/>
    <w:rsid w:val="000E04DE"/>
    <w:rsid w:val="000E05E5"/>
    <w:rsid w:val="000E0801"/>
    <w:rsid w:val="000E08D6"/>
    <w:rsid w:val="000E14D0"/>
    <w:rsid w:val="000E16B9"/>
    <w:rsid w:val="000E1E41"/>
    <w:rsid w:val="000E306E"/>
    <w:rsid w:val="000E3740"/>
    <w:rsid w:val="000E3C29"/>
    <w:rsid w:val="000E3F27"/>
    <w:rsid w:val="000E423E"/>
    <w:rsid w:val="000E46FB"/>
    <w:rsid w:val="000E4A41"/>
    <w:rsid w:val="000E4C3C"/>
    <w:rsid w:val="000E59C1"/>
    <w:rsid w:val="000E6887"/>
    <w:rsid w:val="000E697D"/>
    <w:rsid w:val="000E70DA"/>
    <w:rsid w:val="000E7878"/>
    <w:rsid w:val="000E7D30"/>
    <w:rsid w:val="000F06D1"/>
    <w:rsid w:val="000F08FC"/>
    <w:rsid w:val="000F0AAC"/>
    <w:rsid w:val="000F1D58"/>
    <w:rsid w:val="000F29E6"/>
    <w:rsid w:val="000F2E9D"/>
    <w:rsid w:val="000F319B"/>
    <w:rsid w:val="000F394A"/>
    <w:rsid w:val="000F3B58"/>
    <w:rsid w:val="000F3C96"/>
    <w:rsid w:val="000F4599"/>
    <w:rsid w:val="000F4801"/>
    <w:rsid w:val="000F49CC"/>
    <w:rsid w:val="000F4A75"/>
    <w:rsid w:val="000F5CAC"/>
    <w:rsid w:val="000F5FAF"/>
    <w:rsid w:val="000F7FE1"/>
    <w:rsid w:val="001000FC"/>
    <w:rsid w:val="00100634"/>
    <w:rsid w:val="00100DE7"/>
    <w:rsid w:val="00101289"/>
    <w:rsid w:val="00101AEE"/>
    <w:rsid w:val="001024FD"/>
    <w:rsid w:val="00102B57"/>
    <w:rsid w:val="00102DC8"/>
    <w:rsid w:val="00103224"/>
    <w:rsid w:val="00103AAE"/>
    <w:rsid w:val="00103E43"/>
    <w:rsid w:val="00103FE4"/>
    <w:rsid w:val="0010403D"/>
    <w:rsid w:val="00104869"/>
    <w:rsid w:val="00104B10"/>
    <w:rsid w:val="00104F24"/>
    <w:rsid w:val="001058C2"/>
    <w:rsid w:val="00105A4F"/>
    <w:rsid w:val="00105E0E"/>
    <w:rsid w:val="001064C9"/>
    <w:rsid w:val="00106BB1"/>
    <w:rsid w:val="00106BB4"/>
    <w:rsid w:val="00106EBA"/>
    <w:rsid w:val="0010732D"/>
    <w:rsid w:val="00107F7F"/>
    <w:rsid w:val="00107FFC"/>
    <w:rsid w:val="00110131"/>
    <w:rsid w:val="00110E53"/>
    <w:rsid w:val="00110F2E"/>
    <w:rsid w:val="001112BA"/>
    <w:rsid w:val="001116ED"/>
    <w:rsid w:val="0011196C"/>
    <w:rsid w:val="00112538"/>
    <w:rsid w:val="00112842"/>
    <w:rsid w:val="00113862"/>
    <w:rsid w:val="00114038"/>
    <w:rsid w:val="00114498"/>
    <w:rsid w:val="00114755"/>
    <w:rsid w:val="00114DB5"/>
    <w:rsid w:val="001153BE"/>
    <w:rsid w:val="001157C5"/>
    <w:rsid w:val="00115957"/>
    <w:rsid w:val="0011598F"/>
    <w:rsid w:val="00116140"/>
    <w:rsid w:val="001161EC"/>
    <w:rsid w:val="0011639B"/>
    <w:rsid w:val="0012101B"/>
    <w:rsid w:val="00121098"/>
    <w:rsid w:val="00121281"/>
    <w:rsid w:val="00121320"/>
    <w:rsid w:val="00122F79"/>
    <w:rsid w:val="00123022"/>
    <w:rsid w:val="00123126"/>
    <w:rsid w:val="00123E1B"/>
    <w:rsid w:val="0012498A"/>
    <w:rsid w:val="0012533C"/>
    <w:rsid w:val="0012560F"/>
    <w:rsid w:val="0012575A"/>
    <w:rsid w:val="001265B7"/>
    <w:rsid w:val="00127BFC"/>
    <w:rsid w:val="001300C9"/>
    <w:rsid w:val="0013031D"/>
    <w:rsid w:val="001308B8"/>
    <w:rsid w:val="00130AB1"/>
    <w:rsid w:val="00131220"/>
    <w:rsid w:val="001317E4"/>
    <w:rsid w:val="0013186A"/>
    <w:rsid w:val="0013187F"/>
    <w:rsid w:val="001319B0"/>
    <w:rsid w:val="00131D22"/>
    <w:rsid w:val="001323AA"/>
    <w:rsid w:val="0013314E"/>
    <w:rsid w:val="001336F9"/>
    <w:rsid w:val="00133A16"/>
    <w:rsid w:val="00133A76"/>
    <w:rsid w:val="0013442E"/>
    <w:rsid w:val="00134445"/>
    <w:rsid w:val="0013474D"/>
    <w:rsid w:val="00134A9F"/>
    <w:rsid w:val="00134B39"/>
    <w:rsid w:val="00134BB6"/>
    <w:rsid w:val="00135805"/>
    <w:rsid w:val="0013581B"/>
    <w:rsid w:val="001359F9"/>
    <w:rsid w:val="00136513"/>
    <w:rsid w:val="00136723"/>
    <w:rsid w:val="0013706F"/>
    <w:rsid w:val="0013723B"/>
    <w:rsid w:val="00137675"/>
    <w:rsid w:val="00137CBF"/>
    <w:rsid w:val="00140763"/>
    <w:rsid w:val="001415E8"/>
    <w:rsid w:val="00141918"/>
    <w:rsid w:val="00142BA4"/>
    <w:rsid w:val="00142F58"/>
    <w:rsid w:val="0014371A"/>
    <w:rsid w:val="00143A31"/>
    <w:rsid w:val="00143C45"/>
    <w:rsid w:val="00144107"/>
    <w:rsid w:val="00146543"/>
    <w:rsid w:val="001466F1"/>
    <w:rsid w:val="00146DA1"/>
    <w:rsid w:val="00146FBC"/>
    <w:rsid w:val="001472D9"/>
    <w:rsid w:val="00150240"/>
    <w:rsid w:val="001502DA"/>
    <w:rsid w:val="0015066F"/>
    <w:rsid w:val="0015103E"/>
    <w:rsid w:val="001510B4"/>
    <w:rsid w:val="001510E9"/>
    <w:rsid w:val="00151255"/>
    <w:rsid w:val="001519A9"/>
    <w:rsid w:val="00151EEA"/>
    <w:rsid w:val="0015212E"/>
    <w:rsid w:val="0015379D"/>
    <w:rsid w:val="00153C35"/>
    <w:rsid w:val="00153CAA"/>
    <w:rsid w:val="0015442D"/>
    <w:rsid w:val="0015479D"/>
    <w:rsid w:val="00155837"/>
    <w:rsid w:val="00155C17"/>
    <w:rsid w:val="00155EB0"/>
    <w:rsid w:val="00156892"/>
    <w:rsid w:val="00157ABE"/>
    <w:rsid w:val="001601C8"/>
    <w:rsid w:val="001607D5"/>
    <w:rsid w:val="0016135B"/>
    <w:rsid w:val="0016147C"/>
    <w:rsid w:val="00161B30"/>
    <w:rsid w:val="001621D3"/>
    <w:rsid w:val="0016232B"/>
    <w:rsid w:val="00162CDF"/>
    <w:rsid w:val="00163923"/>
    <w:rsid w:val="00163E05"/>
    <w:rsid w:val="001642C7"/>
    <w:rsid w:val="00165C75"/>
    <w:rsid w:val="001660A4"/>
    <w:rsid w:val="001669D9"/>
    <w:rsid w:val="001670BD"/>
    <w:rsid w:val="00167D6F"/>
    <w:rsid w:val="00167EDC"/>
    <w:rsid w:val="00170980"/>
    <w:rsid w:val="0017188F"/>
    <w:rsid w:val="00171A17"/>
    <w:rsid w:val="001723B6"/>
    <w:rsid w:val="00173264"/>
    <w:rsid w:val="00173BDF"/>
    <w:rsid w:val="00174046"/>
    <w:rsid w:val="00174209"/>
    <w:rsid w:val="0017444C"/>
    <w:rsid w:val="0017486E"/>
    <w:rsid w:val="001767BD"/>
    <w:rsid w:val="00176B27"/>
    <w:rsid w:val="001771C6"/>
    <w:rsid w:val="001773A8"/>
    <w:rsid w:val="00180A63"/>
    <w:rsid w:val="00181AAD"/>
    <w:rsid w:val="00181CF3"/>
    <w:rsid w:val="00181D7E"/>
    <w:rsid w:val="00182095"/>
    <w:rsid w:val="00182257"/>
    <w:rsid w:val="0018269A"/>
    <w:rsid w:val="00182C67"/>
    <w:rsid w:val="00183237"/>
    <w:rsid w:val="0018326D"/>
    <w:rsid w:val="001843F6"/>
    <w:rsid w:val="001848D4"/>
    <w:rsid w:val="0018558B"/>
    <w:rsid w:val="00185C5E"/>
    <w:rsid w:val="00186717"/>
    <w:rsid w:val="00187D89"/>
    <w:rsid w:val="00190758"/>
    <w:rsid w:val="001913AB"/>
    <w:rsid w:val="001921E2"/>
    <w:rsid w:val="001925B4"/>
    <w:rsid w:val="0019282E"/>
    <w:rsid w:val="00192957"/>
    <w:rsid w:val="00192A4A"/>
    <w:rsid w:val="00192BD6"/>
    <w:rsid w:val="001932B4"/>
    <w:rsid w:val="00193850"/>
    <w:rsid w:val="00193AB5"/>
    <w:rsid w:val="001956DB"/>
    <w:rsid w:val="00195C0F"/>
    <w:rsid w:val="00195CA1"/>
    <w:rsid w:val="00196490"/>
    <w:rsid w:val="00196F58"/>
    <w:rsid w:val="00197319"/>
    <w:rsid w:val="00197E6F"/>
    <w:rsid w:val="00197F51"/>
    <w:rsid w:val="001A0266"/>
    <w:rsid w:val="001A0269"/>
    <w:rsid w:val="001A0678"/>
    <w:rsid w:val="001A0956"/>
    <w:rsid w:val="001A1630"/>
    <w:rsid w:val="001A1655"/>
    <w:rsid w:val="001A1A64"/>
    <w:rsid w:val="001A1FE4"/>
    <w:rsid w:val="001A22E7"/>
    <w:rsid w:val="001A2933"/>
    <w:rsid w:val="001A31BF"/>
    <w:rsid w:val="001A3D8F"/>
    <w:rsid w:val="001A454F"/>
    <w:rsid w:val="001A45E7"/>
    <w:rsid w:val="001A4878"/>
    <w:rsid w:val="001A4B41"/>
    <w:rsid w:val="001A51FB"/>
    <w:rsid w:val="001A5259"/>
    <w:rsid w:val="001A5C1F"/>
    <w:rsid w:val="001A6AD2"/>
    <w:rsid w:val="001A6E92"/>
    <w:rsid w:val="001A756A"/>
    <w:rsid w:val="001B02F2"/>
    <w:rsid w:val="001B1643"/>
    <w:rsid w:val="001B1A6A"/>
    <w:rsid w:val="001B2601"/>
    <w:rsid w:val="001B30E1"/>
    <w:rsid w:val="001B3524"/>
    <w:rsid w:val="001B3A95"/>
    <w:rsid w:val="001B3D45"/>
    <w:rsid w:val="001B5100"/>
    <w:rsid w:val="001B5B37"/>
    <w:rsid w:val="001B5D64"/>
    <w:rsid w:val="001B5DD4"/>
    <w:rsid w:val="001B7845"/>
    <w:rsid w:val="001B7CB1"/>
    <w:rsid w:val="001C0128"/>
    <w:rsid w:val="001C09FF"/>
    <w:rsid w:val="001C1147"/>
    <w:rsid w:val="001C1579"/>
    <w:rsid w:val="001C1671"/>
    <w:rsid w:val="001C168E"/>
    <w:rsid w:val="001C19AB"/>
    <w:rsid w:val="001C1A98"/>
    <w:rsid w:val="001C1EA0"/>
    <w:rsid w:val="001C22AF"/>
    <w:rsid w:val="001C2E68"/>
    <w:rsid w:val="001C391C"/>
    <w:rsid w:val="001C3CB0"/>
    <w:rsid w:val="001C403A"/>
    <w:rsid w:val="001C4042"/>
    <w:rsid w:val="001C471B"/>
    <w:rsid w:val="001C4F02"/>
    <w:rsid w:val="001C545D"/>
    <w:rsid w:val="001C555E"/>
    <w:rsid w:val="001C5716"/>
    <w:rsid w:val="001C5739"/>
    <w:rsid w:val="001C5C8B"/>
    <w:rsid w:val="001C5EBA"/>
    <w:rsid w:val="001C677A"/>
    <w:rsid w:val="001C6BC5"/>
    <w:rsid w:val="001C6D4D"/>
    <w:rsid w:val="001C74A8"/>
    <w:rsid w:val="001C7574"/>
    <w:rsid w:val="001C7D92"/>
    <w:rsid w:val="001D044A"/>
    <w:rsid w:val="001D0BC2"/>
    <w:rsid w:val="001D13DA"/>
    <w:rsid w:val="001D24E7"/>
    <w:rsid w:val="001D2FF5"/>
    <w:rsid w:val="001D317A"/>
    <w:rsid w:val="001D365C"/>
    <w:rsid w:val="001D37C4"/>
    <w:rsid w:val="001D3D99"/>
    <w:rsid w:val="001D48E5"/>
    <w:rsid w:val="001D4934"/>
    <w:rsid w:val="001D4F74"/>
    <w:rsid w:val="001D5861"/>
    <w:rsid w:val="001D609A"/>
    <w:rsid w:val="001D6BFE"/>
    <w:rsid w:val="001D6CDF"/>
    <w:rsid w:val="001D6F3A"/>
    <w:rsid w:val="001D74DD"/>
    <w:rsid w:val="001E03F6"/>
    <w:rsid w:val="001E043F"/>
    <w:rsid w:val="001E08CB"/>
    <w:rsid w:val="001E106A"/>
    <w:rsid w:val="001E1D31"/>
    <w:rsid w:val="001E1E93"/>
    <w:rsid w:val="001E22C0"/>
    <w:rsid w:val="001E2555"/>
    <w:rsid w:val="001E27BE"/>
    <w:rsid w:val="001E2823"/>
    <w:rsid w:val="001E29CF"/>
    <w:rsid w:val="001E2EF1"/>
    <w:rsid w:val="001E378A"/>
    <w:rsid w:val="001E3797"/>
    <w:rsid w:val="001E3995"/>
    <w:rsid w:val="001E3DAB"/>
    <w:rsid w:val="001E4267"/>
    <w:rsid w:val="001E55B0"/>
    <w:rsid w:val="001E595A"/>
    <w:rsid w:val="001E6055"/>
    <w:rsid w:val="001E64D1"/>
    <w:rsid w:val="001E694F"/>
    <w:rsid w:val="001E77C8"/>
    <w:rsid w:val="001F07C5"/>
    <w:rsid w:val="001F10DF"/>
    <w:rsid w:val="001F12F8"/>
    <w:rsid w:val="001F211E"/>
    <w:rsid w:val="001F21C9"/>
    <w:rsid w:val="001F3A7C"/>
    <w:rsid w:val="001F3C72"/>
    <w:rsid w:val="001F4B70"/>
    <w:rsid w:val="001F5C83"/>
    <w:rsid w:val="001F6020"/>
    <w:rsid w:val="001F6077"/>
    <w:rsid w:val="001F6151"/>
    <w:rsid w:val="001F620E"/>
    <w:rsid w:val="001F655B"/>
    <w:rsid w:val="001F6AB1"/>
    <w:rsid w:val="001F734A"/>
    <w:rsid w:val="00200446"/>
    <w:rsid w:val="00200A3A"/>
    <w:rsid w:val="00201529"/>
    <w:rsid w:val="002018D2"/>
    <w:rsid w:val="00201DE3"/>
    <w:rsid w:val="002026BA"/>
    <w:rsid w:val="0020286D"/>
    <w:rsid w:val="00202A60"/>
    <w:rsid w:val="00202A95"/>
    <w:rsid w:val="00202AF4"/>
    <w:rsid w:val="00202F5F"/>
    <w:rsid w:val="002031D3"/>
    <w:rsid w:val="002038A1"/>
    <w:rsid w:val="00204220"/>
    <w:rsid w:val="002045C5"/>
    <w:rsid w:val="00205F7F"/>
    <w:rsid w:val="00206ABD"/>
    <w:rsid w:val="00207024"/>
    <w:rsid w:val="00207973"/>
    <w:rsid w:val="00207C73"/>
    <w:rsid w:val="002103F7"/>
    <w:rsid w:val="002109C9"/>
    <w:rsid w:val="00211A26"/>
    <w:rsid w:val="00212C46"/>
    <w:rsid w:val="00212F70"/>
    <w:rsid w:val="002133A1"/>
    <w:rsid w:val="00213BCF"/>
    <w:rsid w:val="0021414D"/>
    <w:rsid w:val="00214E7E"/>
    <w:rsid w:val="0021599A"/>
    <w:rsid w:val="0021636C"/>
    <w:rsid w:val="00217E89"/>
    <w:rsid w:val="00220A56"/>
    <w:rsid w:val="00220BC0"/>
    <w:rsid w:val="002213A8"/>
    <w:rsid w:val="0022291F"/>
    <w:rsid w:val="002229C5"/>
    <w:rsid w:val="00222BC7"/>
    <w:rsid w:val="00222DD2"/>
    <w:rsid w:val="002230B0"/>
    <w:rsid w:val="002232A4"/>
    <w:rsid w:val="0022344A"/>
    <w:rsid w:val="002235CE"/>
    <w:rsid w:val="00223889"/>
    <w:rsid w:val="00223D30"/>
    <w:rsid w:val="00223EC4"/>
    <w:rsid w:val="00223F20"/>
    <w:rsid w:val="002256F4"/>
    <w:rsid w:val="00225DDD"/>
    <w:rsid w:val="00226400"/>
    <w:rsid w:val="00226486"/>
    <w:rsid w:val="00226BBD"/>
    <w:rsid w:val="00226FF2"/>
    <w:rsid w:val="00227995"/>
    <w:rsid w:val="00227B92"/>
    <w:rsid w:val="00230C57"/>
    <w:rsid w:val="00230E10"/>
    <w:rsid w:val="002316A9"/>
    <w:rsid w:val="0023176F"/>
    <w:rsid w:val="00231E81"/>
    <w:rsid w:val="0023248A"/>
    <w:rsid w:val="00232D1E"/>
    <w:rsid w:val="002354CB"/>
    <w:rsid w:val="002361A6"/>
    <w:rsid w:val="0023676F"/>
    <w:rsid w:val="00236FD0"/>
    <w:rsid w:val="0023767F"/>
    <w:rsid w:val="00237916"/>
    <w:rsid w:val="00237C63"/>
    <w:rsid w:val="002401FB"/>
    <w:rsid w:val="002409FE"/>
    <w:rsid w:val="002410F1"/>
    <w:rsid w:val="0024146B"/>
    <w:rsid w:val="0024197C"/>
    <w:rsid w:val="00241E84"/>
    <w:rsid w:val="0024237E"/>
    <w:rsid w:val="00242920"/>
    <w:rsid w:val="00242C3E"/>
    <w:rsid w:val="00242FFB"/>
    <w:rsid w:val="002430AE"/>
    <w:rsid w:val="00243C53"/>
    <w:rsid w:val="00243E51"/>
    <w:rsid w:val="00243E5B"/>
    <w:rsid w:val="00244071"/>
    <w:rsid w:val="002451F6"/>
    <w:rsid w:val="002463E6"/>
    <w:rsid w:val="002464BB"/>
    <w:rsid w:val="002464BE"/>
    <w:rsid w:val="00247253"/>
    <w:rsid w:val="002474C9"/>
    <w:rsid w:val="0024766F"/>
    <w:rsid w:val="00247F69"/>
    <w:rsid w:val="002506C0"/>
    <w:rsid w:val="002509F8"/>
    <w:rsid w:val="00250B6F"/>
    <w:rsid w:val="00250DD9"/>
    <w:rsid w:val="00252333"/>
    <w:rsid w:val="0025242B"/>
    <w:rsid w:val="002537C2"/>
    <w:rsid w:val="002541F3"/>
    <w:rsid w:val="002545CC"/>
    <w:rsid w:val="002545F5"/>
    <w:rsid w:val="0025460A"/>
    <w:rsid w:val="00254B54"/>
    <w:rsid w:val="002554BF"/>
    <w:rsid w:val="00255577"/>
    <w:rsid w:val="002560E6"/>
    <w:rsid w:val="002576B1"/>
    <w:rsid w:val="0026034E"/>
    <w:rsid w:val="002606DD"/>
    <w:rsid w:val="00261013"/>
    <w:rsid w:val="002610FD"/>
    <w:rsid w:val="00261A5F"/>
    <w:rsid w:val="00261CC1"/>
    <w:rsid w:val="00262D0E"/>
    <w:rsid w:val="002636EF"/>
    <w:rsid w:val="002642CA"/>
    <w:rsid w:val="0026442A"/>
    <w:rsid w:val="00264590"/>
    <w:rsid w:val="00264C6F"/>
    <w:rsid w:val="0026524F"/>
    <w:rsid w:val="00265301"/>
    <w:rsid w:val="00265B75"/>
    <w:rsid w:val="00265BFE"/>
    <w:rsid w:val="00266365"/>
    <w:rsid w:val="00266C55"/>
    <w:rsid w:val="00266C92"/>
    <w:rsid w:val="00266E37"/>
    <w:rsid w:val="0026701A"/>
    <w:rsid w:val="002670B7"/>
    <w:rsid w:val="00267295"/>
    <w:rsid w:val="00267479"/>
    <w:rsid w:val="00267888"/>
    <w:rsid w:val="00267F06"/>
    <w:rsid w:val="002700BF"/>
    <w:rsid w:val="00270CCA"/>
    <w:rsid w:val="00271005"/>
    <w:rsid w:val="002719AF"/>
    <w:rsid w:val="00271EFE"/>
    <w:rsid w:val="00272ADE"/>
    <w:rsid w:val="0027309F"/>
    <w:rsid w:val="002740C4"/>
    <w:rsid w:val="0027427E"/>
    <w:rsid w:val="0027442C"/>
    <w:rsid w:val="00274C8C"/>
    <w:rsid w:val="00274EF7"/>
    <w:rsid w:val="00274FD1"/>
    <w:rsid w:val="0027633F"/>
    <w:rsid w:val="002765AC"/>
    <w:rsid w:val="00276700"/>
    <w:rsid w:val="00276F55"/>
    <w:rsid w:val="00277066"/>
    <w:rsid w:val="0027721F"/>
    <w:rsid w:val="00280872"/>
    <w:rsid w:val="00281737"/>
    <w:rsid w:val="0028175A"/>
    <w:rsid w:val="00281B13"/>
    <w:rsid w:val="00281C5F"/>
    <w:rsid w:val="00281F8D"/>
    <w:rsid w:val="002821E4"/>
    <w:rsid w:val="002826AD"/>
    <w:rsid w:val="00283876"/>
    <w:rsid w:val="00284FBA"/>
    <w:rsid w:val="002858D8"/>
    <w:rsid w:val="0028648F"/>
    <w:rsid w:val="00286662"/>
    <w:rsid w:val="00286776"/>
    <w:rsid w:val="00286A29"/>
    <w:rsid w:val="00286D94"/>
    <w:rsid w:val="0028717A"/>
    <w:rsid w:val="00287222"/>
    <w:rsid w:val="00287908"/>
    <w:rsid w:val="00287D98"/>
    <w:rsid w:val="00287FAA"/>
    <w:rsid w:val="00290964"/>
    <w:rsid w:val="002915E9"/>
    <w:rsid w:val="002919F4"/>
    <w:rsid w:val="00291B4F"/>
    <w:rsid w:val="00292433"/>
    <w:rsid w:val="002924C3"/>
    <w:rsid w:val="00292BE9"/>
    <w:rsid w:val="00292DE2"/>
    <w:rsid w:val="00292E95"/>
    <w:rsid w:val="002939AE"/>
    <w:rsid w:val="002944F4"/>
    <w:rsid w:val="0029459C"/>
    <w:rsid w:val="00294777"/>
    <w:rsid w:val="00294C09"/>
    <w:rsid w:val="00294D24"/>
    <w:rsid w:val="00294E32"/>
    <w:rsid w:val="00295020"/>
    <w:rsid w:val="0029526B"/>
    <w:rsid w:val="0029535A"/>
    <w:rsid w:val="002955EE"/>
    <w:rsid w:val="0029566E"/>
    <w:rsid w:val="002957D6"/>
    <w:rsid w:val="00295851"/>
    <w:rsid w:val="002958CB"/>
    <w:rsid w:val="0029683F"/>
    <w:rsid w:val="00296D85"/>
    <w:rsid w:val="00296E0A"/>
    <w:rsid w:val="00297D1F"/>
    <w:rsid w:val="00297D7A"/>
    <w:rsid w:val="002A02A8"/>
    <w:rsid w:val="002A0AD2"/>
    <w:rsid w:val="002A0B1E"/>
    <w:rsid w:val="002A0BFE"/>
    <w:rsid w:val="002A14B7"/>
    <w:rsid w:val="002A1E3C"/>
    <w:rsid w:val="002A2BF0"/>
    <w:rsid w:val="002A33BD"/>
    <w:rsid w:val="002A3A52"/>
    <w:rsid w:val="002A4731"/>
    <w:rsid w:val="002A5221"/>
    <w:rsid w:val="002A5583"/>
    <w:rsid w:val="002A56C5"/>
    <w:rsid w:val="002A5947"/>
    <w:rsid w:val="002A59CE"/>
    <w:rsid w:val="002A5F0D"/>
    <w:rsid w:val="002A5F38"/>
    <w:rsid w:val="002A627B"/>
    <w:rsid w:val="002A665D"/>
    <w:rsid w:val="002A6807"/>
    <w:rsid w:val="002A6CCF"/>
    <w:rsid w:val="002A6CE5"/>
    <w:rsid w:val="002A6F52"/>
    <w:rsid w:val="002A70AF"/>
    <w:rsid w:val="002A7387"/>
    <w:rsid w:val="002A7A06"/>
    <w:rsid w:val="002A7DEF"/>
    <w:rsid w:val="002B0675"/>
    <w:rsid w:val="002B0756"/>
    <w:rsid w:val="002B0A91"/>
    <w:rsid w:val="002B0D79"/>
    <w:rsid w:val="002B1AA4"/>
    <w:rsid w:val="002B1AB2"/>
    <w:rsid w:val="002B2280"/>
    <w:rsid w:val="002B253D"/>
    <w:rsid w:val="002B2595"/>
    <w:rsid w:val="002B4FBB"/>
    <w:rsid w:val="002B50BF"/>
    <w:rsid w:val="002B5304"/>
    <w:rsid w:val="002C096F"/>
    <w:rsid w:val="002C0B8B"/>
    <w:rsid w:val="002C1AFE"/>
    <w:rsid w:val="002C21A4"/>
    <w:rsid w:val="002C2286"/>
    <w:rsid w:val="002C23E1"/>
    <w:rsid w:val="002C2FD8"/>
    <w:rsid w:val="002C3067"/>
    <w:rsid w:val="002C46A8"/>
    <w:rsid w:val="002C4C2A"/>
    <w:rsid w:val="002C60BA"/>
    <w:rsid w:val="002C6D67"/>
    <w:rsid w:val="002C7A90"/>
    <w:rsid w:val="002C7CC2"/>
    <w:rsid w:val="002D03F6"/>
    <w:rsid w:val="002D0A46"/>
    <w:rsid w:val="002D24C6"/>
    <w:rsid w:val="002D24D1"/>
    <w:rsid w:val="002D436F"/>
    <w:rsid w:val="002D487A"/>
    <w:rsid w:val="002D5A2C"/>
    <w:rsid w:val="002D6131"/>
    <w:rsid w:val="002D64A9"/>
    <w:rsid w:val="002D6CF2"/>
    <w:rsid w:val="002D6EE2"/>
    <w:rsid w:val="002D74B5"/>
    <w:rsid w:val="002D7574"/>
    <w:rsid w:val="002D78C3"/>
    <w:rsid w:val="002D7F0E"/>
    <w:rsid w:val="002E0449"/>
    <w:rsid w:val="002E12FA"/>
    <w:rsid w:val="002E23AE"/>
    <w:rsid w:val="002E2996"/>
    <w:rsid w:val="002E3650"/>
    <w:rsid w:val="002E4758"/>
    <w:rsid w:val="002E5158"/>
    <w:rsid w:val="002E54D5"/>
    <w:rsid w:val="002E572A"/>
    <w:rsid w:val="002E5E5A"/>
    <w:rsid w:val="002E6A9B"/>
    <w:rsid w:val="002E6AC7"/>
    <w:rsid w:val="002E7D05"/>
    <w:rsid w:val="002F01A7"/>
    <w:rsid w:val="002F0865"/>
    <w:rsid w:val="002F0C3E"/>
    <w:rsid w:val="002F0C99"/>
    <w:rsid w:val="002F163C"/>
    <w:rsid w:val="002F1C11"/>
    <w:rsid w:val="002F252B"/>
    <w:rsid w:val="002F2C46"/>
    <w:rsid w:val="002F2D5C"/>
    <w:rsid w:val="002F36FB"/>
    <w:rsid w:val="002F39A9"/>
    <w:rsid w:val="002F4171"/>
    <w:rsid w:val="002F41D2"/>
    <w:rsid w:val="002F465F"/>
    <w:rsid w:val="002F4AD0"/>
    <w:rsid w:val="002F5CE8"/>
    <w:rsid w:val="002F5DE4"/>
    <w:rsid w:val="002F6457"/>
    <w:rsid w:val="002F64F1"/>
    <w:rsid w:val="002F67B3"/>
    <w:rsid w:val="002F6816"/>
    <w:rsid w:val="002F7A07"/>
    <w:rsid w:val="003010A7"/>
    <w:rsid w:val="003016CC"/>
    <w:rsid w:val="00301BBD"/>
    <w:rsid w:val="00301F5B"/>
    <w:rsid w:val="00302F0D"/>
    <w:rsid w:val="0030314D"/>
    <w:rsid w:val="00303153"/>
    <w:rsid w:val="00303C0C"/>
    <w:rsid w:val="003046B4"/>
    <w:rsid w:val="0030487A"/>
    <w:rsid w:val="00304884"/>
    <w:rsid w:val="00305C2B"/>
    <w:rsid w:val="00306886"/>
    <w:rsid w:val="003071AD"/>
    <w:rsid w:val="00307A87"/>
    <w:rsid w:val="00307BBB"/>
    <w:rsid w:val="003106BC"/>
    <w:rsid w:val="00311069"/>
    <w:rsid w:val="0031156D"/>
    <w:rsid w:val="003122C3"/>
    <w:rsid w:val="003123AB"/>
    <w:rsid w:val="00312C41"/>
    <w:rsid w:val="00313191"/>
    <w:rsid w:val="00313A5E"/>
    <w:rsid w:val="00313CB9"/>
    <w:rsid w:val="00314442"/>
    <w:rsid w:val="003145DE"/>
    <w:rsid w:val="003146C2"/>
    <w:rsid w:val="00314F59"/>
    <w:rsid w:val="0031520B"/>
    <w:rsid w:val="003154EF"/>
    <w:rsid w:val="003155A2"/>
    <w:rsid w:val="00315D6C"/>
    <w:rsid w:val="00315D97"/>
    <w:rsid w:val="00316220"/>
    <w:rsid w:val="00316369"/>
    <w:rsid w:val="0031667D"/>
    <w:rsid w:val="00316947"/>
    <w:rsid w:val="00317694"/>
    <w:rsid w:val="003203EA"/>
    <w:rsid w:val="003205D4"/>
    <w:rsid w:val="003205E7"/>
    <w:rsid w:val="003208C2"/>
    <w:rsid w:val="0032141F"/>
    <w:rsid w:val="00321CF8"/>
    <w:rsid w:val="00321D5B"/>
    <w:rsid w:val="003220F2"/>
    <w:rsid w:val="00322781"/>
    <w:rsid w:val="00322B44"/>
    <w:rsid w:val="00322B95"/>
    <w:rsid w:val="00322F3D"/>
    <w:rsid w:val="0032405F"/>
    <w:rsid w:val="003242F6"/>
    <w:rsid w:val="00324B6A"/>
    <w:rsid w:val="003250C2"/>
    <w:rsid w:val="00325502"/>
    <w:rsid w:val="00325517"/>
    <w:rsid w:val="00325B06"/>
    <w:rsid w:val="00326A28"/>
    <w:rsid w:val="00326EFA"/>
    <w:rsid w:val="0032715D"/>
    <w:rsid w:val="00330369"/>
    <w:rsid w:val="00330736"/>
    <w:rsid w:val="00330AC5"/>
    <w:rsid w:val="00331230"/>
    <w:rsid w:val="00331748"/>
    <w:rsid w:val="00331AB8"/>
    <w:rsid w:val="00331C96"/>
    <w:rsid w:val="00331C9C"/>
    <w:rsid w:val="00331CA4"/>
    <w:rsid w:val="00331FA8"/>
    <w:rsid w:val="00332DAA"/>
    <w:rsid w:val="00333630"/>
    <w:rsid w:val="003337BF"/>
    <w:rsid w:val="00333A6D"/>
    <w:rsid w:val="00333E63"/>
    <w:rsid w:val="003344FB"/>
    <w:rsid w:val="003345F7"/>
    <w:rsid w:val="00334767"/>
    <w:rsid w:val="00334B79"/>
    <w:rsid w:val="00334DB9"/>
    <w:rsid w:val="00335227"/>
    <w:rsid w:val="00335E90"/>
    <w:rsid w:val="00336397"/>
    <w:rsid w:val="00336A50"/>
    <w:rsid w:val="003373DC"/>
    <w:rsid w:val="0034029A"/>
    <w:rsid w:val="0034076A"/>
    <w:rsid w:val="00340926"/>
    <w:rsid w:val="00340F8C"/>
    <w:rsid w:val="003413CB"/>
    <w:rsid w:val="00341BBB"/>
    <w:rsid w:val="0034338E"/>
    <w:rsid w:val="00343929"/>
    <w:rsid w:val="00343A93"/>
    <w:rsid w:val="00343C4E"/>
    <w:rsid w:val="00343FE4"/>
    <w:rsid w:val="00344179"/>
    <w:rsid w:val="0034421F"/>
    <w:rsid w:val="003449BC"/>
    <w:rsid w:val="00345015"/>
    <w:rsid w:val="00345201"/>
    <w:rsid w:val="003458B2"/>
    <w:rsid w:val="00346716"/>
    <w:rsid w:val="003471D1"/>
    <w:rsid w:val="00347E82"/>
    <w:rsid w:val="003501C7"/>
    <w:rsid w:val="003504B3"/>
    <w:rsid w:val="003504BF"/>
    <w:rsid w:val="00351030"/>
    <w:rsid w:val="003510A5"/>
    <w:rsid w:val="00351B13"/>
    <w:rsid w:val="00353228"/>
    <w:rsid w:val="00354044"/>
    <w:rsid w:val="00355162"/>
    <w:rsid w:val="00355B71"/>
    <w:rsid w:val="00355FB4"/>
    <w:rsid w:val="003561FC"/>
    <w:rsid w:val="0035660A"/>
    <w:rsid w:val="00356C42"/>
    <w:rsid w:val="003575EF"/>
    <w:rsid w:val="00357712"/>
    <w:rsid w:val="00357D14"/>
    <w:rsid w:val="00360928"/>
    <w:rsid w:val="00360CC3"/>
    <w:rsid w:val="003611C5"/>
    <w:rsid w:val="00361771"/>
    <w:rsid w:val="00361DCA"/>
    <w:rsid w:val="00361FDF"/>
    <w:rsid w:val="0036226F"/>
    <w:rsid w:val="00362B6C"/>
    <w:rsid w:val="00363555"/>
    <w:rsid w:val="00363726"/>
    <w:rsid w:val="00363940"/>
    <w:rsid w:val="0036443C"/>
    <w:rsid w:val="00364A2A"/>
    <w:rsid w:val="00365524"/>
    <w:rsid w:val="0036565E"/>
    <w:rsid w:val="0036594D"/>
    <w:rsid w:val="003667E2"/>
    <w:rsid w:val="00366974"/>
    <w:rsid w:val="0036786B"/>
    <w:rsid w:val="003679E7"/>
    <w:rsid w:val="00367E3F"/>
    <w:rsid w:val="003702A5"/>
    <w:rsid w:val="00370E47"/>
    <w:rsid w:val="00370F16"/>
    <w:rsid w:val="0037117B"/>
    <w:rsid w:val="00371339"/>
    <w:rsid w:val="003715A9"/>
    <w:rsid w:val="0037187E"/>
    <w:rsid w:val="00371D4C"/>
    <w:rsid w:val="003726C8"/>
    <w:rsid w:val="00373EE3"/>
    <w:rsid w:val="003743E1"/>
    <w:rsid w:val="003757AE"/>
    <w:rsid w:val="00376141"/>
    <w:rsid w:val="0037633D"/>
    <w:rsid w:val="00376F48"/>
    <w:rsid w:val="00376FBD"/>
    <w:rsid w:val="0037703D"/>
    <w:rsid w:val="0037717B"/>
    <w:rsid w:val="0037731F"/>
    <w:rsid w:val="0037743F"/>
    <w:rsid w:val="00377898"/>
    <w:rsid w:val="0037792C"/>
    <w:rsid w:val="003811F8"/>
    <w:rsid w:val="00381292"/>
    <w:rsid w:val="00381330"/>
    <w:rsid w:val="0038183F"/>
    <w:rsid w:val="00381AEA"/>
    <w:rsid w:val="00382040"/>
    <w:rsid w:val="00382486"/>
    <w:rsid w:val="00382F3C"/>
    <w:rsid w:val="00383351"/>
    <w:rsid w:val="00384260"/>
    <w:rsid w:val="00385800"/>
    <w:rsid w:val="003858BD"/>
    <w:rsid w:val="00390866"/>
    <w:rsid w:val="00391367"/>
    <w:rsid w:val="003913AE"/>
    <w:rsid w:val="003913E6"/>
    <w:rsid w:val="0039283C"/>
    <w:rsid w:val="00392A82"/>
    <w:rsid w:val="00392D34"/>
    <w:rsid w:val="0039318C"/>
    <w:rsid w:val="00393B4E"/>
    <w:rsid w:val="00393DBF"/>
    <w:rsid w:val="00393FF6"/>
    <w:rsid w:val="003941D8"/>
    <w:rsid w:val="00395F67"/>
    <w:rsid w:val="0039637D"/>
    <w:rsid w:val="00396456"/>
    <w:rsid w:val="00396782"/>
    <w:rsid w:val="00396B2C"/>
    <w:rsid w:val="0039739C"/>
    <w:rsid w:val="00397FEF"/>
    <w:rsid w:val="003A0455"/>
    <w:rsid w:val="003A1414"/>
    <w:rsid w:val="003A1BC9"/>
    <w:rsid w:val="003A29E8"/>
    <w:rsid w:val="003A2C2B"/>
    <w:rsid w:val="003A2DC0"/>
    <w:rsid w:val="003A2EAD"/>
    <w:rsid w:val="003A3CC6"/>
    <w:rsid w:val="003A4ABA"/>
    <w:rsid w:val="003A5132"/>
    <w:rsid w:val="003A5ABD"/>
    <w:rsid w:val="003A5B15"/>
    <w:rsid w:val="003A5C83"/>
    <w:rsid w:val="003A5E26"/>
    <w:rsid w:val="003A67E8"/>
    <w:rsid w:val="003A6BBB"/>
    <w:rsid w:val="003A6CC7"/>
    <w:rsid w:val="003A7312"/>
    <w:rsid w:val="003A7470"/>
    <w:rsid w:val="003A7787"/>
    <w:rsid w:val="003A7B28"/>
    <w:rsid w:val="003A7B39"/>
    <w:rsid w:val="003B0585"/>
    <w:rsid w:val="003B0628"/>
    <w:rsid w:val="003B0AC8"/>
    <w:rsid w:val="003B1278"/>
    <w:rsid w:val="003B1491"/>
    <w:rsid w:val="003B1E2E"/>
    <w:rsid w:val="003B237D"/>
    <w:rsid w:val="003B2A21"/>
    <w:rsid w:val="003B2A8E"/>
    <w:rsid w:val="003B3182"/>
    <w:rsid w:val="003B3C80"/>
    <w:rsid w:val="003B4084"/>
    <w:rsid w:val="003B4612"/>
    <w:rsid w:val="003B5634"/>
    <w:rsid w:val="003B5D55"/>
    <w:rsid w:val="003B6290"/>
    <w:rsid w:val="003B69E9"/>
    <w:rsid w:val="003B6CB7"/>
    <w:rsid w:val="003B6D48"/>
    <w:rsid w:val="003C04F0"/>
    <w:rsid w:val="003C05D2"/>
    <w:rsid w:val="003C0DBE"/>
    <w:rsid w:val="003C158E"/>
    <w:rsid w:val="003C1BB7"/>
    <w:rsid w:val="003C23ED"/>
    <w:rsid w:val="003C45E0"/>
    <w:rsid w:val="003C4ACC"/>
    <w:rsid w:val="003C4B1D"/>
    <w:rsid w:val="003C57A8"/>
    <w:rsid w:val="003C5990"/>
    <w:rsid w:val="003C5CF7"/>
    <w:rsid w:val="003C5E33"/>
    <w:rsid w:val="003C6B54"/>
    <w:rsid w:val="003C6D87"/>
    <w:rsid w:val="003C78F5"/>
    <w:rsid w:val="003C7EDE"/>
    <w:rsid w:val="003D0117"/>
    <w:rsid w:val="003D03EE"/>
    <w:rsid w:val="003D057C"/>
    <w:rsid w:val="003D07A0"/>
    <w:rsid w:val="003D0FAC"/>
    <w:rsid w:val="003D15E9"/>
    <w:rsid w:val="003D193E"/>
    <w:rsid w:val="003D1CB6"/>
    <w:rsid w:val="003D1D64"/>
    <w:rsid w:val="003D2FB2"/>
    <w:rsid w:val="003D3034"/>
    <w:rsid w:val="003D325F"/>
    <w:rsid w:val="003D35C7"/>
    <w:rsid w:val="003D3ED3"/>
    <w:rsid w:val="003D51FE"/>
    <w:rsid w:val="003D5684"/>
    <w:rsid w:val="003D638C"/>
    <w:rsid w:val="003D680C"/>
    <w:rsid w:val="003D7227"/>
    <w:rsid w:val="003D7369"/>
    <w:rsid w:val="003D75FF"/>
    <w:rsid w:val="003D7BFB"/>
    <w:rsid w:val="003E042A"/>
    <w:rsid w:val="003E0BAC"/>
    <w:rsid w:val="003E1317"/>
    <w:rsid w:val="003E4252"/>
    <w:rsid w:val="003E43E0"/>
    <w:rsid w:val="003E43E6"/>
    <w:rsid w:val="003E47DE"/>
    <w:rsid w:val="003E4EA2"/>
    <w:rsid w:val="003E520B"/>
    <w:rsid w:val="003E5B38"/>
    <w:rsid w:val="003E5B8E"/>
    <w:rsid w:val="003E5D6C"/>
    <w:rsid w:val="003E67F6"/>
    <w:rsid w:val="003E698A"/>
    <w:rsid w:val="003E6CC4"/>
    <w:rsid w:val="003E73E3"/>
    <w:rsid w:val="003E762E"/>
    <w:rsid w:val="003F0051"/>
    <w:rsid w:val="003F1C82"/>
    <w:rsid w:val="003F2332"/>
    <w:rsid w:val="003F2398"/>
    <w:rsid w:val="003F250E"/>
    <w:rsid w:val="003F2AA9"/>
    <w:rsid w:val="003F3AE8"/>
    <w:rsid w:val="003F43C5"/>
    <w:rsid w:val="003F4685"/>
    <w:rsid w:val="003F4C8A"/>
    <w:rsid w:val="003F4C99"/>
    <w:rsid w:val="003F50CE"/>
    <w:rsid w:val="003F52EC"/>
    <w:rsid w:val="003F59D3"/>
    <w:rsid w:val="003F5A3C"/>
    <w:rsid w:val="003F5B94"/>
    <w:rsid w:val="003F61E3"/>
    <w:rsid w:val="003F6872"/>
    <w:rsid w:val="00400E94"/>
    <w:rsid w:val="0040112E"/>
    <w:rsid w:val="004017F4"/>
    <w:rsid w:val="00401818"/>
    <w:rsid w:val="00401EA7"/>
    <w:rsid w:val="00402F0E"/>
    <w:rsid w:val="00403425"/>
    <w:rsid w:val="004038FD"/>
    <w:rsid w:val="00404130"/>
    <w:rsid w:val="0040454E"/>
    <w:rsid w:val="00404D43"/>
    <w:rsid w:val="004054CB"/>
    <w:rsid w:val="00405B5C"/>
    <w:rsid w:val="00405DDA"/>
    <w:rsid w:val="0040628D"/>
    <w:rsid w:val="004072F5"/>
    <w:rsid w:val="004075CA"/>
    <w:rsid w:val="004078CF"/>
    <w:rsid w:val="00407E42"/>
    <w:rsid w:val="00407EF9"/>
    <w:rsid w:val="00407F8E"/>
    <w:rsid w:val="00407FD8"/>
    <w:rsid w:val="0041001F"/>
    <w:rsid w:val="004106F1"/>
    <w:rsid w:val="00410860"/>
    <w:rsid w:val="00410DB0"/>
    <w:rsid w:val="00411918"/>
    <w:rsid w:val="00411FB3"/>
    <w:rsid w:val="004120CC"/>
    <w:rsid w:val="00412440"/>
    <w:rsid w:val="00412A9D"/>
    <w:rsid w:val="00412F75"/>
    <w:rsid w:val="0041345C"/>
    <w:rsid w:val="00413D08"/>
    <w:rsid w:val="004147CE"/>
    <w:rsid w:val="00414AC1"/>
    <w:rsid w:val="00414BF8"/>
    <w:rsid w:val="00414D22"/>
    <w:rsid w:val="00414D47"/>
    <w:rsid w:val="00415257"/>
    <w:rsid w:val="00415B40"/>
    <w:rsid w:val="00415C87"/>
    <w:rsid w:val="004167E5"/>
    <w:rsid w:val="00416951"/>
    <w:rsid w:val="00416F86"/>
    <w:rsid w:val="004170A0"/>
    <w:rsid w:val="004177AC"/>
    <w:rsid w:val="00420BD4"/>
    <w:rsid w:val="00421181"/>
    <w:rsid w:val="00421352"/>
    <w:rsid w:val="00421E0C"/>
    <w:rsid w:val="00422ABA"/>
    <w:rsid w:val="00423175"/>
    <w:rsid w:val="004238B7"/>
    <w:rsid w:val="00423C3E"/>
    <w:rsid w:val="00424894"/>
    <w:rsid w:val="00424D42"/>
    <w:rsid w:val="00424ED4"/>
    <w:rsid w:val="004256CA"/>
    <w:rsid w:val="00425DC1"/>
    <w:rsid w:val="0042631B"/>
    <w:rsid w:val="00426E3E"/>
    <w:rsid w:val="00426E66"/>
    <w:rsid w:val="00431C26"/>
    <w:rsid w:val="00432151"/>
    <w:rsid w:val="00432308"/>
    <w:rsid w:val="004325CD"/>
    <w:rsid w:val="00432794"/>
    <w:rsid w:val="004332D1"/>
    <w:rsid w:val="00433CB2"/>
    <w:rsid w:val="00434046"/>
    <w:rsid w:val="00434DF7"/>
    <w:rsid w:val="00435679"/>
    <w:rsid w:val="00435D35"/>
    <w:rsid w:val="004367DB"/>
    <w:rsid w:val="00436A2B"/>
    <w:rsid w:val="00436D35"/>
    <w:rsid w:val="00437305"/>
    <w:rsid w:val="00437328"/>
    <w:rsid w:val="0043751C"/>
    <w:rsid w:val="004379E2"/>
    <w:rsid w:val="00437F17"/>
    <w:rsid w:val="00440675"/>
    <w:rsid w:val="00440E0C"/>
    <w:rsid w:val="00441603"/>
    <w:rsid w:val="00441739"/>
    <w:rsid w:val="00442901"/>
    <w:rsid w:val="004429E6"/>
    <w:rsid w:val="00442AD9"/>
    <w:rsid w:val="00442E6A"/>
    <w:rsid w:val="0044396E"/>
    <w:rsid w:val="00443A74"/>
    <w:rsid w:val="00444A2A"/>
    <w:rsid w:val="0044501F"/>
    <w:rsid w:val="00445424"/>
    <w:rsid w:val="00446236"/>
    <w:rsid w:val="00446412"/>
    <w:rsid w:val="004464B9"/>
    <w:rsid w:val="00447570"/>
    <w:rsid w:val="00447C73"/>
    <w:rsid w:val="00447E09"/>
    <w:rsid w:val="00450075"/>
    <w:rsid w:val="00450267"/>
    <w:rsid w:val="00450766"/>
    <w:rsid w:val="00451115"/>
    <w:rsid w:val="004512CC"/>
    <w:rsid w:val="004517EE"/>
    <w:rsid w:val="00451BD3"/>
    <w:rsid w:val="00451E69"/>
    <w:rsid w:val="004524B4"/>
    <w:rsid w:val="00453530"/>
    <w:rsid w:val="00453BFC"/>
    <w:rsid w:val="00453EBC"/>
    <w:rsid w:val="00454220"/>
    <w:rsid w:val="00454793"/>
    <w:rsid w:val="00454C9B"/>
    <w:rsid w:val="00455262"/>
    <w:rsid w:val="00455276"/>
    <w:rsid w:val="004553CE"/>
    <w:rsid w:val="004558BF"/>
    <w:rsid w:val="00455B0C"/>
    <w:rsid w:val="00456474"/>
    <w:rsid w:val="00456E04"/>
    <w:rsid w:val="00457752"/>
    <w:rsid w:val="00457BD6"/>
    <w:rsid w:val="00457DAE"/>
    <w:rsid w:val="00457E96"/>
    <w:rsid w:val="00457F4D"/>
    <w:rsid w:val="004609C8"/>
    <w:rsid w:val="004610CF"/>
    <w:rsid w:val="0046121D"/>
    <w:rsid w:val="004612CC"/>
    <w:rsid w:val="00461C02"/>
    <w:rsid w:val="00461D4C"/>
    <w:rsid w:val="00462241"/>
    <w:rsid w:val="0046422E"/>
    <w:rsid w:val="004646F0"/>
    <w:rsid w:val="00465A82"/>
    <w:rsid w:val="00465B17"/>
    <w:rsid w:val="0046608D"/>
    <w:rsid w:val="00466B85"/>
    <w:rsid w:val="00467326"/>
    <w:rsid w:val="004677C7"/>
    <w:rsid w:val="00467D66"/>
    <w:rsid w:val="00467DC8"/>
    <w:rsid w:val="004703A6"/>
    <w:rsid w:val="0047042B"/>
    <w:rsid w:val="00470B06"/>
    <w:rsid w:val="00470B21"/>
    <w:rsid w:val="004710CA"/>
    <w:rsid w:val="00471542"/>
    <w:rsid w:val="004716DA"/>
    <w:rsid w:val="00471709"/>
    <w:rsid w:val="00471F06"/>
    <w:rsid w:val="0047325F"/>
    <w:rsid w:val="00473582"/>
    <w:rsid w:val="00473AC1"/>
    <w:rsid w:val="004741A9"/>
    <w:rsid w:val="00474F87"/>
    <w:rsid w:val="0047513C"/>
    <w:rsid w:val="00475170"/>
    <w:rsid w:val="00475F79"/>
    <w:rsid w:val="00475FA8"/>
    <w:rsid w:val="00476831"/>
    <w:rsid w:val="004769DD"/>
    <w:rsid w:val="00477008"/>
    <w:rsid w:val="00477DCB"/>
    <w:rsid w:val="00480572"/>
    <w:rsid w:val="0048058A"/>
    <w:rsid w:val="0048067C"/>
    <w:rsid w:val="0048076A"/>
    <w:rsid w:val="00480965"/>
    <w:rsid w:val="00480C68"/>
    <w:rsid w:val="0048119A"/>
    <w:rsid w:val="00482862"/>
    <w:rsid w:val="0048296F"/>
    <w:rsid w:val="00482B4F"/>
    <w:rsid w:val="00482DD6"/>
    <w:rsid w:val="00484902"/>
    <w:rsid w:val="00486241"/>
    <w:rsid w:val="00486A1F"/>
    <w:rsid w:val="004871C7"/>
    <w:rsid w:val="00487318"/>
    <w:rsid w:val="0048761E"/>
    <w:rsid w:val="00487A03"/>
    <w:rsid w:val="004908FE"/>
    <w:rsid w:val="00490D80"/>
    <w:rsid w:val="0049108C"/>
    <w:rsid w:val="00492033"/>
    <w:rsid w:val="0049216C"/>
    <w:rsid w:val="0049239F"/>
    <w:rsid w:val="0049256B"/>
    <w:rsid w:val="00493B6B"/>
    <w:rsid w:val="004945CB"/>
    <w:rsid w:val="00494B3C"/>
    <w:rsid w:val="004955C1"/>
    <w:rsid w:val="004955F8"/>
    <w:rsid w:val="004960FB"/>
    <w:rsid w:val="0049644F"/>
    <w:rsid w:val="0049671F"/>
    <w:rsid w:val="00497351"/>
    <w:rsid w:val="00497CBB"/>
    <w:rsid w:val="004A01A4"/>
    <w:rsid w:val="004A07A5"/>
    <w:rsid w:val="004A0B25"/>
    <w:rsid w:val="004A0BA6"/>
    <w:rsid w:val="004A0E98"/>
    <w:rsid w:val="004A1319"/>
    <w:rsid w:val="004A1805"/>
    <w:rsid w:val="004A194A"/>
    <w:rsid w:val="004A22BB"/>
    <w:rsid w:val="004A2919"/>
    <w:rsid w:val="004A3A89"/>
    <w:rsid w:val="004A4625"/>
    <w:rsid w:val="004A4848"/>
    <w:rsid w:val="004A4BC2"/>
    <w:rsid w:val="004A59AD"/>
    <w:rsid w:val="004A5B90"/>
    <w:rsid w:val="004A6295"/>
    <w:rsid w:val="004A65A9"/>
    <w:rsid w:val="004A6905"/>
    <w:rsid w:val="004A691E"/>
    <w:rsid w:val="004A7592"/>
    <w:rsid w:val="004B15A6"/>
    <w:rsid w:val="004B17DB"/>
    <w:rsid w:val="004B1F0A"/>
    <w:rsid w:val="004B2139"/>
    <w:rsid w:val="004B2207"/>
    <w:rsid w:val="004B2F76"/>
    <w:rsid w:val="004B3035"/>
    <w:rsid w:val="004B33A4"/>
    <w:rsid w:val="004B45DA"/>
    <w:rsid w:val="004B46AB"/>
    <w:rsid w:val="004B47E7"/>
    <w:rsid w:val="004B4D2E"/>
    <w:rsid w:val="004B5348"/>
    <w:rsid w:val="004B6223"/>
    <w:rsid w:val="004B65EF"/>
    <w:rsid w:val="004B71DA"/>
    <w:rsid w:val="004C0DC3"/>
    <w:rsid w:val="004C2564"/>
    <w:rsid w:val="004C3001"/>
    <w:rsid w:val="004C307D"/>
    <w:rsid w:val="004C3AFF"/>
    <w:rsid w:val="004C4DA3"/>
    <w:rsid w:val="004C5309"/>
    <w:rsid w:val="004C601F"/>
    <w:rsid w:val="004C633D"/>
    <w:rsid w:val="004C683B"/>
    <w:rsid w:val="004C6B5D"/>
    <w:rsid w:val="004C6F45"/>
    <w:rsid w:val="004D0BC9"/>
    <w:rsid w:val="004D1977"/>
    <w:rsid w:val="004D1BD4"/>
    <w:rsid w:val="004D1C88"/>
    <w:rsid w:val="004D21F9"/>
    <w:rsid w:val="004D27A9"/>
    <w:rsid w:val="004D2912"/>
    <w:rsid w:val="004D35D6"/>
    <w:rsid w:val="004D364E"/>
    <w:rsid w:val="004D379F"/>
    <w:rsid w:val="004D39AD"/>
    <w:rsid w:val="004D3BA0"/>
    <w:rsid w:val="004D3D0E"/>
    <w:rsid w:val="004D4238"/>
    <w:rsid w:val="004D44EA"/>
    <w:rsid w:val="004D4539"/>
    <w:rsid w:val="004D493D"/>
    <w:rsid w:val="004D5E53"/>
    <w:rsid w:val="004D6774"/>
    <w:rsid w:val="004D6915"/>
    <w:rsid w:val="004D6B31"/>
    <w:rsid w:val="004D708E"/>
    <w:rsid w:val="004D78D7"/>
    <w:rsid w:val="004E0484"/>
    <w:rsid w:val="004E0530"/>
    <w:rsid w:val="004E0A44"/>
    <w:rsid w:val="004E0D10"/>
    <w:rsid w:val="004E1A71"/>
    <w:rsid w:val="004E1B9E"/>
    <w:rsid w:val="004E2936"/>
    <w:rsid w:val="004E2F8D"/>
    <w:rsid w:val="004E3764"/>
    <w:rsid w:val="004E40B0"/>
    <w:rsid w:val="004E428C"/>
    <w:rsid w:val="004E4541"/>
    <w:rsid w:val="004E5A81"/>
    <w:rsid w:val="004E5BC5"/>
    <w:rsid w:val="004E65CC"/>
    <w:rsid w:val="004E6D11"/>
    <w:rsid w:val="004E7160"/>
    <w:rsid w:val="004E7AC4"/>
    <w:rsid w:val="004E7E74"/>
    <w:rsid w:val="004E7ED0"/>
    <w:rsid w:val="004F0320"/>
    <w:rsid w:val="004F0B8C"/>
    <w:rsid w:val="004F1160"/>
    <w:rsid w:val="004F11CB"/>
    <w:rsid w:val="004F16D8"/>
    <w:rsid w:val="004F2BEA"/>
    <w:rsid w:val="004F3D20"/>
    <w:rsid w:val="004F4124"/>
    <w:rsid w:val="004F47DB"/>
    <w:rsid w:val="004F64DE"/>
    <w:rsid w:val="004F68A1"/>
    <w:rsid w:val="004F6F01"/>
    <w:rsid w:val="004F74D1"/>
    <w:rsid w:val="004F7AB9"/>
    <w:rsid w:val="00500020"/>
    <w:rsid w:val="00500A82"/>
    <w:rsid w:val="00500EB6"/>
    <w:rsid w:val="005013E8"/>
    <w:rsid w:val="005013EE"/>
    <w:rsid w:val="00501731"/>
    <w:rsid w:val="005017CF"/>
    <w:rsid w:val="00501DCA"/>
    <w:rsid w:val="00502046"/>
    <w:rsid w:val="00502C25"/>
    <w:rsid w:val="00503CDC"/>
    <w:rsid w:val="00503F89"/>
    <w:rsid w:val="0050442C"/>
    <w:rsid w:val="00504572"/>
    <w:rsid w:val="00504688"/>
    <w:rsid w:val="0050548C"/>
    <w:rsid w:val="00505D29"/>
    <w:rsid w:val="0050607C"/>
    <w:rsid w:val="005062AE"/>
    <w:rsid w:val="0050652D"/>
    <w:rsid w:val="00506E3B"/>
    <w:rsid w:val="00507775"/>
    <w:rsid w:val="00507944"/>
    <w:rsid w:val="00507AB2"/>
    <w:rsid w:val="00507E22"/>
    <w:rsid w:val="00507E5F"/>
    <w:rsid w:val="00507FCB"/>
    <w:rsid w:val="00510198"/>
    <w:rsid w:val="00510C94"/>
    <w:rsid w:val="00512485"/>
    <w:rsid w:val="00513096"/>
    <w:rsid w:val="005134D0"/>
    <w:rsid w:val="00514472"/>
    <w:rsid w:val="00514B6D"/>
    <w:rsid w:val="00514B96"/>
    <w:rsid w:val="00514BB7"/>
    <w:rsid w:val="00514CF6"/>
    <w:rsid w:val="005153A4"/>
    <w:rsid w:val="0051573A"/>
    <w:rsid w:val="00515945"/>
    <w:rsid w:val="00515B58"/>
    <w:rsid w:val="0051786E"/>
    <w:rsid w:val="0052062B"/>
    <w:rsid w:val="00520BFF"/>
    <w:rsid w:val="00520CE4"/>
    <w:rsid w:val="00520ECE"/>
    <w:rsid w:val="005211CB"/>
    <w:rsid w:val="00521330"/>
    <w:rsid w:val="005213A7"/>
    <w:rsid w:val="00521490"/>
    <w:rsid w:val="00521993"/>
    <w:rsid w:val="0052306A"/>
    <w:rsid w:val="005230A1"/>
    <w:rsid w:val="005241BF"/>
    <w:rsid w:val="0052451C"/>
    <w:rsid w:val="005245B8"/>
    <w:rsid w:val="005246C8"/>
    <w:rsid w:val="00524A63"/>
    <w:rsid w:val="005251B4"/>
    <w:rsid w:val="005252A2"/>
    <w:rsid w:val="00525DE0"/>
    <w:rsid w:val="005261C7"/>
    <w:rsid w:val="0052635C"/>
    <w:rsid w:val="005269E6"/>
    <w:rsid w:val="00526C53"/>
    <w:rsid w:val="00526F25"/>
    <w:rsid w:val="005271DC"/>
    <w:rsid w:val="0052791A"/>
    <w:rsid w:val="00527ACD"/>
    <w:rsid w:val="0053035B"/>
    <w:rsid w:val="005303D4"/>
    <w:rsid w:val="00530E8F"/>
    <w:rsid w:val="00531C64"/>
    <w:rsid w:val="00531FE3"/>
    <w:rsid w:val="00532198"/>
    <w:rsid w:val="00532C44"/>
    <w:rsid w:val="0053321F"/>
    <w:rsid w:val="005332CC"/>
    <w:rsid w:val="00533845"/>
    <w:rsid w:val="005339F2"/>
    <w:rsid w:val="005343FE"/>
    <w:rsid w:val="005346A2"/>
    <w:rsid w:val="00534D9F"/>
    <w:rsid w:val="00534E1B"/>
    <w:rsid w:val="00535E0E"/>
    <w:rsid w:val="00535EE1"/>
    <w:rsid w:val="00536591"/>
    <w:rsid w:val="00536746"/>
    <w:rsid w:val="0053692D"/>
    <w:rsid w:val="00537286"/>
    <w:rsid w:val="005378E5"/>
    <w:rsid w:val="005378FC"/>
    <w:rsid w:val="00537E44"/>
    <w:rsid w:val="005403DD"/>
    <w:rsid w:val="00540C15"/>
    <w:rsid w:val="00540DAF"/>
    <w:rsid w:val="00540FA3"/>
    <w:rsid w:val="0054157B"/>
    <w:rsid w:val="005417D2"/>
    <w:rsid w:val="00541A65"/>
    <w:rsid w:val="00541C5F"/>
    <w:rsid w:val="0054246A"/>
    <w:rsid w:val="0054283E"/>
    <w:rsid w:val="00542C71"/>
    <w:rsid w:val="00542DC1"/>
    <w:rsid w:val="00543858"/>
    <w:rsid w:val="00544E68"/>
    <w:rsid w:val="00545BD3"/>
    <w:rsid w:val="00545CA6"/>
    <w:rsid w:val="00546400"/>
    <w:rsid w:val="00547AB9"/>
    <w:rsid w:val="005504A2"/>
    <w:rsid w:val="00550838"/>
    <w:rsid w:val="00550E12"/>
    <w:rsid w:val="00551F64"/>
    <w:rsid w:val="00552006"/>
    <w:rsid w:val="00552816"/>
    <w:rsid w:val="0055317F"/>
    <w:rsid w:val="005532AA"/>
    <w:rsid w:val="00553482"/>
    <w:rsid w:val="00553690"/>
    <w:rsid w:val="0055380D"/>
    <w:rsid w:val="0055444A"/>
    <w:rsid w:val="00554748"/>
    <w:rsid w:val="00554CD1"/>
    <w:rsid w:val="0055512A"/>
    <w:rsid w:val="005555A5"/>
    <w:rsid w:val="00555972"/>
    <w:rsid w:val="00555CBA"/>
    <w:rsid w:val="00555D3F"/>
    <w:rsid w:val="00556B0F"/>
    <w:rsid w:val="00557368"/>
    <w:rsid w:val="00557394"/>
    <w:rsid w:val="005578A2"/>
    <w:rsid w:val="005601A5"/>
    <w:rsid w:val="00560565"/>
    <w:rsid w:val="00560CF6"/>
    <w:rsid w:val="00560E7D"/>
    <w:rsid w:val="005611B4"/>
    <w:rsid w:val="005616FD"/>
    <w:rsid w:val="005618B8"/>
    <w:rsid w:val="00561EA0"/>
    <w:rsid w:val="00562096"/>
    <w:rsid w:val="005630F6"/>
    <w:rsid w:val="00563573"/>
    <w:rsid w:val="00563F93"/>
    <w:rsid w:val="005643AA"/>
    <w:rsid w:val="00564676"/>
    <w:rsid w:val="00564E5E"/>
    <w:rsid w:val="005651B5"/>
    <w:rsid w:val="005655BF"/>
    <w:rsid w:val="0056651D"/>
    <w:rsid w:val="0056663A"/>
    <w:rsid w:val="00566FAD"/>
    <w:rsid w:val="00567961"/>
    <w:rsid w:val="00567A1C"/>
    <w:rsid w:val="005701AE"/>
    <w:rsid w:val="005703C8"/>
    <w:rsid w:val="0057054D"/>
    <w:rsid w:val="00570892"/>
    <w:rsid w:val="005709FC"/>
    <w:rsid w:val="00570C37"/>
    <w:rsid w:val="00570D93"/>
    <w:rsid w:val="0057140F"/>
    <w:rsid w:val="00572E4C"/>
    <w:rsid w:val="00572FF4"/>
    <w:rsid w:val="005731D6"/>
    <w:rsid w:val="00573482"/>
    <w:rsid w:val="005739A0"/>
    <w:rsid w:val="005743CB"/>
    <w:rsid w:val="005745E0"/>
    <w:rsid w:val="00574C8A"/>
    <w:rsid w:val="00574E48"/>
    <w:rsid w:val="005757C9"/>
    <w:rsid w:val="00575BCF"/>
    <w:rsid w:val="00575DF8"/>
    <w:rsid w:val="00576009"/>
    <w:rsid w:val="005760FC"/>
    <w:rsid w:val="005761B3"/>
    <w:rsid w:val="0057652C"/>
    <w:rsid w:val="00577B6A"/>
    <w:rsid w:val="00577EAE"/>
    <w:rsid w:val="00580A2B"/>
    <w:rsid w:val="00580C53"/>
    <w:rsid w:val="005812C9"/>
    <w:rsid w:val="005814C9"/>
    <w:rsid w:val="005823DE"/>
    <w:rsid w:val="00583591"/>
    <w:rsid w:val="005836E2"/>
    <w:rsid w:val="005838D6"/>
    <w:rsid w:val="00583C89"/>
    <w:rsid w:val="00583ECC"/>
    <w:rsid w:val="00583F90"/>
    <w:rsid w:val="005844AC"/>
    <w:rsid w:val="00584753"/>
    <w:rsid w:val="005857D9"/>
    <w:rsid w:val="00585861"/>
    <w:rsid w:val="00586113"/>
    <w:rsid w:val="005865F3"/>
    <w:rsid w:val="00586832"/>
    <w:rsid w:val="00586BA4"/>
    <w:rsid w:val="005905F6"/>
    <w:rsid w:val="00590720"/>
    <w:rsid w:val="00591990"/>
    <w:rsid w:val="00591F0A"/>
    <w:rsid w:val="00591F71"/>
    <w:rsid w:val="00592A74"/>
    <w:rsid w:val="00592FBF"/>
    <w:rsid w:val="005933B5"/>
    <w:rsid w:val="005936A1"/>
    <w:rsid w:val="00594352"/>
    <w:rsid w:val="005961D4"/>
    <w:rsid w:val="00596AB3"/>
    <w:rsid w:val="00596B59"/>
    <w:rsid w:val="00596D34"/>
    <w:rsid w:val="005970DF"/>
    <w:rsid w:val="005978C6"/>
    <w:rsid w:val="00597AAB"/>
    <w:rsid w:val="00597CBF"/>
    <w:rsid w:val="005A0D49"/>
    <w:rsid w:val="005A0E9A"/>
    <w:rsid w:val="005A0F3C"/>
    <w:rsid w:val="005A150A"/>
    <w:rsid w:val="005A16EA"/>
    <w:rsid w:val="005A1A17"/>
    <w:rsid w:val="005A1FC8"/>
    <w:rsid w:val="005A209F"/>
    <w:rsid w:val="005A2406"/>
    <w:rsid w:val="005A2DAD"/>
    <w:rsid w:val="005A35F2"/>
    <w:rsid w:val="005A3B95"/>
    <w:rsid w:val="005A3D2C"/>
    <w:rsid w:val="005A3DCE"/>
    <w:rsid w:val="005A3EE8"/>
    <w:rsid w:val="005A4744"/>
    <w:rsid w:val="005A47C8"/>
    <w:rsid w:val="005A5090"/>
    <w:rsid w:val="005A695F"/>
    <w:rsid w:val="005A6BB5"/>
    <w:rsid w:val="005A779A"/>
    <w:rsid w:val="005B05EC"/>
    <w:rsid w:val="005B10B6"/>
    <w:rsid w:val="005B1707"/>
    <w:rsid w:val="005B18D7"/>
    <w:rsid w:val="005B1BC5"/>
    <w:rsid w:val="005B1E1B"/>
    <w:rsid w:val="005B1FD5"/>
    <w:rsid w:val="005B21D7"/>
    <w:rsid w:val="005B2257"/>
    <w:rsid w:val="005B29AA"/>
    <w:rsid w:val="005B2EAD"/>
    <w:rsid w:val="005B3188"/>
    <w:rsid w:val="005B360C"/>
    <w:rsid w:val="005B3F9A"/>
    <w:rsid w:val="005B435F"/>
    <w:rsid w:val="005B442F"/>
    <w:rsid w:val="005B4CF8"/>
    <w:rsid w:val="005B575F"/>
    <w:rsid w:val="005B57B8"/>
    <w:rsid w:val="005B667C"/>
    <w:rsid w:val="005B6807"/>
    <w:rsid w:val="005B7117"/>
    <w:rsid w:val="005B7490"/>
    <w:rsid w:val="005C029A"/>
    <w:rsid w:val="005C0A5C"/>
    <w:rsid w:val="005C0CB1"/>
    <w:rsid w:val="005C117C"/>
    <w:rsid w:val="005C11B7"/>
    <w:rsid w:val="005C1459"/>
    <w:rsid w:val="005C16B1"/>
    <w:rsid w:val="005C1818"/>
    <w:rsid w:val="005C1E75"/>
    <w:rsid w:val="005C1F27"/>
    <w:rsid w:val="005C20A6"/>
    <w:rsid w:val="005C29BC"/>
    <w:rsid w:val="005C2EC0"/>
    <w:rsid w:val="005C3054"/>
    <w:rsid w:val="005C3638"/>
    <w:rsid w:val="005C3A82"/>
    <w:rsid w:val="005C3D43"/>
    <w:rsid w:val="005C4809"/>
    <w:rsid w:val="005C4F04"/>
    <w:rsid w:val="005C542A"/>
    <w:rsid w:val="005C5B7D"/>
    <w:rsid w:val="005C711C"/>
    <w:rsid w:val="005C727E"/>
    <w:rsid w:val="005C75D6"/>
    <w:rsid w:val="005C7D4B"/>
    <w:rsid w:val="005D0203"/>
    <w:rsid w:val="005D05FB"/>
    <w:rsid w:val="005D06C4"/>
    <w:rsid w:val="005D08D6"/>
    <w:rsid w:val="005D0A16"/>
    <w:rsid w:val="005D0A9D"/>
    <w:rsid w:val="005D0CBD"/>
    <w:rsid w:val="005D0FD1"/>
    <w:rsid w:val="005D132E"/>
    <w:rsid w:val="005D211D"/>
    <w:rsid w:val="005D2A20"/>
    <w:rsid w:val="005D2AE4"/>
    <w:rsid w:val="005D3067"/>
    <w:rsid w:val="005D346A"/>
    <w:rsid w:val="005D4655"/>
    <w:rsid w:val="005D4BD2"/>
    <w:rsid w:val="005D5400"/>
    <w:rsid w:val="005D6372"/>
    <w:rsid w:val="005D6424"/>
    <w:rsid w:val="005D6467"/>
    <w:rsid w:val="005D69F0"/>
    <w:rsid w:val="005D6BDE"/>
    <w:rsid w:val="005D6E64"/>
    <w:rsid w:val="005D6EDD"/>
    <w:rsid w:val="005D7518"/>
    <w:rsid w:val="005D7741"/>
    <w:rsid w:val="005E04E0"/>
    <w:rsid w:val="005E0D54"/>
    <w:rsid w:val="005E12A5"/>
    <w:rsid w:val="005E1CDE"/>
    <w:rsid w:val="005E1D2B"/>
    <w:rsid w:val="005E1D36"/>
    <w:rsid w:val="005E2F65"/>
    <w:rsid w:val="005E31A6"/>
    <w:rsid w:val="005E37ED"/>
    <w:rsid w:val="005E3971"/>
    <w:rsid w:val="005E3BD8"/>
    <w:rsid w:val="005E3D93"/>
    <w:rsid w:val="005E3DE2"/>
    <w:rsid w:val="005E3FB1"/>
    <w:rsid w:val="005E4509"/>
    <w:rsid w:val="005E4512"/>
    <w:rsid w:val="005E50AE"/>
    <w:rsid w:val="005E5419"/>
    <w:rsid w:val="005E5780"/>
    <w:rsid w:val="005E62D3"/>
    <w:rsid w:val="005E631E"/>
    <w:rsid w:val="005E6E53"/>
    <w:rsid w:val="005E726B"/>
    <w:rsid w:val="005F0DB5"/>
    <w:rsid w:val="005F1369"/>
    <w:rsid w:val="005F1AEB"/>
    <w:rsid w:val="005F1B33"/>
    <w:rsid w:val="005F1BA0"/>
    <w:rsid w:val="005F2848"/>
    <w:rsid w:val="005F2D4B"/>
    <w:rsid w:val="005F2E2E"/>
    <w:rsid w:val="005F2E8C"/>
    <w:rsid w:val="005F3121"/>
    <w:rsid w:val="005F33BB"/>
    <w:rsid w:val="005F3466"/>
    <w:rsid w:val="005F35B1"/>
    <w:rsid w:val="005F3868"/>
    <w:rsid w:val="005F3CF0"/>
    <w:rsid w:val="005F438A"/>
    <w:rsid w:val="005F43F8"/>
    <w:rsid w:val="005F45A4"/>
    <w:rsid w:val="005F4815"/>
    <w:rsid w:val="005F5F1B"/>
    <w:rsid w:val="005F6279"/>
    <w:rsid w:val="005F6CB1"/>
    <w:rsid w:val="00600591"/>
    <w:rsid w:val="00601138"/>
    <w:rsid w:val="00601467"/>
    <w:rsid w:val="006018E3"/>
    <w:rsid w:val="00601CD3"/>
    <w:rsid w:val="00602243"/>
    <w:rsid w:val="006022FD"/>
    <w:rsid w:val="00602B7E"/>
    <w:rsid w:val="00603039"/>
    <w:rsid w:val="00603171"/>
    <w:rsid w:val="006035B1"/>
    <w:rsid w:val="00604819"/>
    <w:rsid w:val="006051F9"/>
    <w:rsid w:val="00606072"/>
    <w:rsid w:val="00606350"/>
    <w:rsid w:val="00606502"/>
    <w:rsid w:val="00606E72"/>
    <w:rsid w:val="006073D9"/>
    <w:rsid w:val="0060752E"/>
    <w:rsid w:val="00607C0E"/>
    <w:rsid w:val="0061017D"/>
    <w:rsid w:val="00610BA1"/>
    <w:rsid w:val="00612954"/>
    <w:rsid w:val="00612A4F"/>
    <w:rsid w:val="00612E1B"/>
    <w:rsid w:val="00612F03"/>
    <w:rsid w:val="006130DC"/>
    <w:rsid w:val="006138BB"/>
    <w:rsid w:val="0061391B"/>
    <w:rsid w:val="00613BCA"/>
    <w:rsid w:val="00613F47"/>
    <w:rsid w:val="006146A5"/>
    <w:rsid w:val="00614777"/>
    <w:rsid w:val="0061487D"/>
    <w:rsid w:val="00614AB6"/>
    <w:rsid w:val="00615565"/>
    <w:rsid w:val="006158F1"/>
    <w:rsid w:val="00615A4F"/>
    <w:rsid w:val="00615FD2"/>
    <w:rsid w:val="00616D08"/>
    <w:rsid w:val="00616EA8"/>
    <w:rsid w:val="0061796E"/>
    <w:rsid w:val="00617D48"/>
    <w:rsid w:val="00620FE0"/>
    <w:rsid w:val="00621B9D"/>
    <w:rsid w:val="00623765"/>
    <w:rsid w:val="006237F3"/>
    <w:rsid w:val="0062404A"/>
    <w:rsid w:val="00624D54"/>
    <w:rsid w:val="0062578B"/>
    <w:rsid w:val="00625D19"/>
    <w:rsid w:val="00625F3E"/>
    <w:rsid w:val="006261AB"/>
    <w:rsid w:val="0062673E"/>
    <w:rsid w:val="006268A5"/>
    <w:rsid w:val="00626CD2"/>
    <w:rsid w:val="00626F52"/>
    <w:rsid w:val="00626FDA"/>
    <w:rsid w:val="0063004E"/>
    <w:rsid w:val="00631EA2"/>
    <w:rsid w:val="006323EA"/>
    <w:rsid w:val="00632646"/>
    <w:rsid w:val="00632EB4"/>
    <w:rsid w:val="00633497"/>
    <w:rsid w:val="0063354C"/>
    <w:rsid w:val="00633601"/>
    <w:rsid w:val="006336BB"/>
    <w:rsid w:val="0063370B"/>
    <w:rsid w:val="00634249"/>
    <w:rsid w:val="006343D0"/>
    <w:rsid w:val="0063457E"/>
    <w:rsid w:val="00634FE6"/>
    <w:rsid w:val="006350E1"/>
    <w:rsid w:val="00635492"/>
    <w:rsid w:val="00636136"/>
    <w:rsid w:val="00636568"/>
    <w:rsid w:val="00637855"/>
    <w:rsid w:val="00637900"/>
    <w:rsid w:val="00637C2D"/>
    <w:rsid w:val="00640535"/>
    <w:rsid w:val="0064099E"/>
    <w:rsid w:val="006421F4"/>
    <w:rsid w:val="0064273B"/>
    <w:rsid w:val="00642BBB"/>
    <w:rsid w:val="00643D50"/>
    <w:rsid w:val="0064543D"/>
    <w:rsid w:val="00645580"/>
    <w:rsid w:val="006472A0"/>
    <w:rsid w:val="0064779D"/>
    <w:rsid w:val="006477B6"/>
    <w:rsid w:val="00650408"/>
    <w:rsid w:val="00651A1A"/>
    <w:rsid w:val="00652583"/>
    <w:rsid w:val="006534B9"/>
    <w:rsid w:val="00653513"/>
    <w:rsid w:val="00654A31"/>
    <w:rsid w:val="00654B01"/>
    <w:rsid w:val="00655387"/>
    <w:rsid w:val="006557BD"/>
    <w:rsid w:val="00655A31"/>
    <w:rsid w:val="00655A75"/>
    <w:rsid w:val="00655B97"/>
    <w:rsid w:val="0065600D"/>
    <w:rsid w:val="00656680"/>
    <w:rsid w:val="006567EC"/>
    <w:rsid w:val="00656D44"/>
    <w:rsid w:val="00656E73"/>
    <w:rsid w:val="006570B5"/>
    <w:rsid w:val="00657634"/>
    <w:rsid w:val="00657A78"/>
    <w:rsid w:val="00657B42"/>
    <w:rsid w:val="0066106D"/>
    <w:rsid w:val="006617D4"/>
    <w:rsid w:val="00661C24"/>
    <w:rsid w:val="00661F59"/>
    <w:rsid w:val="006637E3"/>
    <w:rsid w:val="00663A74"/>
    <w:rsid w:val="00663BF9"/>
    <w:rsid w:val="00664349"/>
    <w:rsid w:val="006644F9"/>
    <w:rsid w:val="0066532E"/>
    <w:rsid w:val="006659DF"/>
    <w:rsid w:val="0066624D"/>
    <w:rsid w:val="006665C4"/>
    <w:rsid w:val="00666D02"/>
    <w:rsid w:val="00667295"/>
    <w:rsid w:val="006675BD"/>
    <w:rsid w:val="00667919"/>
    <w:rsid w:val="00667A65"/>
    <w:rsid w:val="00667B05"/>
    <w:rsid w:val="00667F88"/>
    <w:rsid w:val="00667FBF"/>
    <w:rsid w:val="006704B3"/>
    <w:rsid w:val="00670C8D"/>
    <w:rsid w:val="0067160C"/>
    <w:rsid w:val="00671AEB"/>
    <w:rsid w:val="00671F75"/>
    <w:rsid w:val="00671FC6"/>
    <w:rsid w:val="006720BC"/>
    <w:rsid w:val="00672C9F"/>
    <w:rsid w:val="00672F18"/>
    <w:rsid w:val="006733F9"/>
    <w:rsid w:val="00674CBC"/>
    <w:rsid w:val="00674F14"/>
    <w:rsid w:val="006750C5"/>
    <w:rsid w:val="0067523B"/>
    <w:rsid w:val="00675E7E"/>
    <w:rsid w:val="0067607D"/>
    <w:rsid w:val="0067616F"/>
    <w:rsid w:val="006765C3"/>
    <w:rsid w:val="00676638"/>
    <w:rsid w:val="00676BFD"/>
    <w:rsid w:val="006805A1"/>
    <w:rsid w:val="006805DC"/>
    <w:rsid w:val="00680EEA"/>
    <w:rsid w:val="00681D3E"/>
    <w:rsid w:val="00681EE8"/>
    <w:rsid w:val="00681FD1"/>
    <w:rsid w:val="006826BD"/>
    <w:rsid w:val="006855F2"/>
    <w:rsid w:val="00685867"/>
    <w:rsid w:val="00686C5C"/>
    <w:rsid w:val="00687579"/>
    <w:rsid w:val="006876D0"/>
    <w:rsid w:val="006878D3"/>
    <w:rsid w:val="00687A2B"/>
    <w:rsid w:val="00690354"/>
    <w:rsid w:val="00690EB7"/>
    <w:rsid w:val="0069118E"/>
    <w:rsid w:val="00691389"/>
    <w:rsid w:val="0069213B"/>
    <w:rsid w:val="00692A1C"/>
    <w:rsid w:val="00692AA2"/>
    <w:rsid w:val="00692E28"/>
    <w:rsid w:val="006931E8"/>
    <w:rsid w:val="006935B5"/>
    <w:rsid w:val="0069422E"/>
    <w:rsid w:val="00694917"/>
    <w:rsid w:val="00695309"/>
    <w:rsid w:val="006962FC"/>
    <w:rsid w:val="0069681B"/>
    <w:rsid w:val="00696820"/>
    <w:rsid w:val="00696942"/>
    <w:rsid w:val="00696D9E"/>
    <w:rsid w:val="00697284"/>
    <w:rsid w:val="00697BE0"/>
    <w:rsid w:val="00697C57"/>
    <w:rsid w:val="006A07D1"/>
    <w:rsid w:val="006A099F"/>
    <w:rsid w:val="006A0DAC"/>
    <w:rsid w:val="006A19BC"/>
    <w:rsid w:val="006A19CE"/>
    <w:rsid w:val="006A1B62"/>
    <w:rsid w:val="006A1F9B"/>
    <w:rsid w:val="006A2C50"/>
    <w:rsid w:val="006A2CD4"/>
    <w:rsid w:val="006A3407"/>
    <w:rsid w:val="006A4556"/>
    <w:rsid w:val="006A46A1"/>
    <w:rsid w:val="006A4755"/>
    <w:rsid w:val="006A4A50"/>
    <w:rsid w:val="006A4F43"/>
    <w:rsid w:val="006A57DB"/>
    <w:rsid w:val="006A5F5C"/>
    <w:rsid w:val="006A75B4"/>
    <w:rsid w:val="006B016F"/>
    <w:rsid w:val="006B06AA"/>
    <w:rsid w:val="006B0FFE"/>
    <w:rsid w:val="006B2029"/>
    <w:rsid w:val="006B2885"/>
    <w:rsid w:val="006B2F7D"/>
    <w:rsid w:val="006B304B"/>
    <w:rsid w:val="006B350C"/>
    <w:rsid w:val="006B3C9B"/>
    <w:rsid w:val="006B3EAE"/>
    <w:rsid w:val="006B4079"/>
    <w:rsid w:val="006B440E"/>
    <w:rsid w:val="006B4514"/>
    <w:rsid w:val="006B5B58"/>
    <w:rsid w:val="006B5F8A"/>
    <w:rsid w:val="006B5FEF"/>
    <w:rsid w:val="006B6A52"/>
    <w:rsid w:val="006B7A31"/>
    <w:rsid w:val="006B7F77"/>
    <w:rsid w:val="006C041A"/>
    <w:rsid w:val="006C087C"/>
    <w:rsid w:val="006C08BB"/>
    <w:rsid w:val="006C1143"/>
    <w:rsid w:val="006C1208"/>
    <w:rsid w:val="006C12F1"/>
    <w:rsid w:val="006C1E61"/>
    <w:rsid w:val="006C2391"/>
    <w:rsid w:val="006C23C8"/>
    <w:rsid w:val="006C359B"/>
    <w:rsid w:val="006C35DF"/>
    <w:rsid w:val="006C3B25"/>
    <w:rsid w:val="006C3EE2"/>
    <w:rsid w:val="006C404B"/>
    <w:rsid w:val="006C4247"/>
    <w:rsid w:val="006C42F9"/>
    <w:rsid w:val="006C4C52"/>
    <w:rsid w:val="006C4DDE"/>
    <w:rsid w:val="006C570D"/>
    <w:rsid w:val="006C668D"/>
    <w:rsid w:val="006C73F1"/>
    <w:rsid w:val="006C74D6"/>
    <w:rsid w:val="006D0470"/>
    <w:rsid w:val="006D05EA"/>
    <w:rsid w:val="006D0696"/>
    <w:rsid w:val="006D1272"/>
    <w:rsid w:val="006D1781"/>
    <w:rsid w:val="006D20DC"/>
    <w:rsid w:val="006D24F0"/>
    <w:rsid w:val="006D29B8"/>
    <w:rsid w:val="006D3691"/>
    <w:rsid w:val="006D5401"/>
    <w:rsid w:val="006D5C2D"/>
    <w:rsid w:val="006D5CAB"/>
    <w:rsid w:val="006D65AB"/>
    <w:rsid w:val="006D7692"/>
    <w:rsid w:val="006D79D3"/>
    <w:rsid w:val="006D7A4E"/>
    <w:rsid w:val="006E0C7E"/>
    <w:rsid w:val="006E0D1D"/>
    <w:rsid w:val="006E11A1"/>
    <w:rsid w:val="006E1361"/>
    <w:rsid w:val="006E163C"/>
    <w:rsid w:val="006E1FE4"/>
    <w:rsid w:val="006E2250"/>
    <w:rsid w:val="006E424D"/>
    <w:rsid w:val="006E434E"/>
    <w:rsid w:val="006E43C0"/>
    <w:rsid w:val="006E45E2"/>
    <w:rsid w:val="006E47A7"/>
    <w:rsid w:val="006E572F"/>
    <w:rsid w:val="006E5F1D"/>
    <w:rsid w:val="006E6C2F"/>
    <w:rsid w:val="006E6F96"/>
    <w:rsid w:val="006E74A9"/>
    <w:rsid w:val="006F019A"/>
    <w:rsid w:val="006F0A79"/>
    <w:rsid w:val="006F1D6D"/>
    <w:rsid w:val="006F24BA"/>
    <w:rsid w:val="006F2C3A"/>
    <w:rsid w:val="006F2F04"/>
    <w:rsid w:val="006F2F68"/>
    <w:rsid w:val="006F3189"/>
    <w:rsid w:val="006F319A"/>
    <w:rsid w:val="006F34DF"/>
    <w:rsid w:val="006F39A1"/>
    <w:rsid w:val="006F3F25"/>
    <w:rsid w:val="006F3FEA"/>
    <w:rsid w:val="006F5A26"/>
    <w:rsid w:val="006F5C33"/>
    <w:rsid w:val="006F5E71"/>
    <w:rsid w:val="006F6AF2"/>
    <w:rsid w:val="006F6D4C"/>
    <w:rsid w:val="006F6E28"/>
    <w:rsid w:val="006F707F"/>
    <w:rsid w:val="006F7147"/>
    <w:rsid w:val="006F7364"/>
    <w:rsid w:val="006F7882"/>
    <w:rsid w:val="006F7AE0"/>
    <w:rsid w:val="007001D4"/>
    <w:rsid w:val="00700E59"/>
    <w:rsid w:val="00700F07"/>
    <w:rsid w:val="0070106F"/>
    <w:rsid w:val="0070156B"/>
    <w:rsid w:val="007024C8"/>
    <w:rsid w:val="00703428"/>
    <w:rsid w:val="0070366F"/>
    <w:rsid w:val="0070391C"/>
    <w:rsid w:val="00703BBF"/>
    <w:rsid w:val="00703F13"/>
    <w:rsid w:val="00704A9C"/>
    <w:rsid w:val="00704E50"/>
    <w:rsid w:val="0070570C"/>
    <w:rsid w:val="00705A96"/>
    <w:rsid w:val="0070638E"/>
    <w:rsid w:val="007066F0"/>
    <w:rsid w:val="007069A7"/>
    <w:rsid w:val="00706A73"/>
    <w:rsid w:val="00706F29"/>
    <w:rsid w:val="00711311"/>
    <w:rsid w:val="007122D7"/>
    <w:rsid w:val="0071278C"/>
    <w:rsid w:val="00712815"/>
    <w:rsid w:val="00713474"/>
    <w:rsid w:val="00714EC7"/>
    <w:rsid w:val="00715716"/>
    <w:rsid w:val="007157F4"/>
    <w:rsid w:val="00715A04"/>
    <w:rsid w:val="00715A3A"/>
    <w:rsid w:val="00715D2D"/>
    <w:rsid w:val="00716216"/>
    <w:rsid w:val="0071687F"/>
    <w:rsid w:val="00716928"/>
    <w:rsid w:val="0071794B"/>
    <w:rsid w:val="0072021C"/>
    <w:rsid w:val="007208E5"/>
    <w:rsid w:val="00720A03"/>
    <w:rsid w:val="00720CEA"/>
    <w:rsid w:val="00721074"/>
    <w:rsid w:val="00721E0D"/>
    <w:rsid w:val="00722338"/>
    <w:rsid w:val="00722457"/>
    <w:rsid w:val="0072265C"/>
    <w:rsid w:val="00722B19"/>
    <w:rsid w:val="007232C2"/>
    <w:rsid w:val="0072347C"/>
    <w:rsid w:val="00723887"/>
    <w:rsid w:val="00724034"/>
    <w:rsid w:val="00724669"/>
    <w:rsid w:val="0072484D"/>
    <w:rsid w:val="00725007"/>
    <w:rsid w:val="00725759"/>
    <w:rsid w:val="00725905"/>
    <w:rsid w:val="00725C54"/>
    <w:rsid w:val="00725CFE"/>
    <w:rsid w:val="0072702D"/>
    <w:rsid w:val="00727A3B"/>
    <w:rsid w:val="00727D83"/>
    <w:rsid w:val="00730CCF"/>
    <w:rsid w:val="007331CA"/>
    <w:rsid w:val="00733698"/>
    <w:rsid w:val="00733BF7"/>
    <w:rsid w:val="00734F29"/>
    <w:rsid w:val="007354D4"/>
    <w:rsid w:val="00735D75"/>
    <w:rsid w:val="007366F4"/>
    <w:rsid w:val="00736C26"/>
    <w:rsid w:val="00736F0B"/>
    <w:rsid w:val="0073737D"/>
    <w:rsid w:val="007375A0"/>
    <w:rsid w:val="00737615"/>
    <w:rsid w:val="007378F3"/>
    <w:rsid w:val="00737CEA"/>
    <w:rsid w:val="00737EA1"/>
    <w:rsid w:val="00737EB3"/>
    <w:rsid w:val="007400A2"/>
    <w:rsid w:val="00740DDA"/>
    <w:rsid w:val="0074160B"/>
    <w:rsid w:val="00741973"/>
    <w:rsid w:val="00741FE6"/>
    <w:rsid w:val="007429CB"/>
    <w:rsid w:val="00742FB9"/>
    <w:rsid w:val="00743BE3"/>
    <w:rsid w:val="00743EDE"/>
    <w:rsid w:val="00743FDF"/>
    <w:rsid w:val="00744499"/>
    <w:rsid w:val="0074465E"/>
    <w:rsid w:val="00744AC9"/>
    <w:rsid w:val="00745F63"/>
    <w:rsid w:val="007461CD"/>
    <w:rsid w:val="0074643C"/>
    <w:rsid w:val="00746478"/>
    <w:rsid w:val="00746724"/>
    <w:rsid w:val="00746B20"/>
    <w:rsid w:val="00746BD9"/>
    <w:rsid w:val="00747FD6"/>
    <w:rsid w:val="00750806"/>
    <w:rsid w:val="00750EFE"/>
    <w:rsid w:val="00751351"/>
    <w:rsid w:val="00751B66"/>
    <w:rsid w:val="00751C29"/>
    <w:rsid w:val="00751E67"/>
    <w:rsid w:val="00752114"/>
    <w:rsid w:val="00752727"/>
    <w:rsid w:val="00752761"/>
    <w:rsid w:val="007528AD"/>
    <w:rsid w:val="00752A03"/>
    <w:rsid w:val="00752C52"/>
    <w:rsid w:val="007542B6"/>
    <w:rsid w:val="00754999"/>
    <w:rsid w:val="00754A4C"/>
    <w:rsid w:val="0075506F"/>
    <w:rsid w:val="00756608"/>
    <w:rsid w:val="00756616"/>
    <w:rsid w:val="00760ACC"/>
    <w:rsid w:val="00760AF3"/>
    <w:rsid w:val="007613CF"/>
    <w:rsid w:val="007618CE"/>
    <w:rsid w:val="00761BC1"/>
    <w:rsid w:val="00761C40"/>
    <w:rsid w:val="00762548"/>
    <w:rsid w:val="00764299"/>
    <w:rsid w:val="007651BC"/>
    <w:rsid w:val="00765309"/>
    <w:rsid w:val="00765D64"/>
    <w:rsid w:val="0076623E"/>
    <w:rsid w:val="00767033"/>
    <w:rsid w:val="007673DD"/>
    <w:rsid w:val="00767C64"/>
    <w:rsid w:val="00770609"/>
    <w:rsid w:val="00770F74"/>
    <w:rsid w:val="00771008"/>
    <w:rsid w:val="00771B8F"/>
    <w:rsid w:val="007734A2"/>
    <w:rsid w:val="00773759"/>
    <w:rsid w:val="00773F34"/>
    <w:rsid w:val="00774587"/>
    <w:rsid w:val="0077473A"/>
    <w:rsid w:val="00774C00"/>
    <w:rsid w:val="00774EF4"/>
    <w:rsid w:val="00774F4A"/>
    <w:rsid w:val="00775300"/>
    <w:rsid w:val="00776036"/>
    <w:rsid w:val="00776DA0"/>
    <w:rsid w:val="007770E8"/>
    <w:rsid w:val="00777839"/>
    <w:rsid w:val="00777891"/>
    <w:rsid w:val="00777FB4"/>
    <w:rsid w:val="00780115"/>
    <w:rsid w:val="00780475"/>
    <w:rsid w:val="00780A16"/>
    <w:rsid w:val="00780A42"/>
    <w:rsid w:val="007813F8"/>
    <w:rsid w:val="007813FB"/>
    <w:rsid w:val="00781826"/>
    <w:rsid w:val="00781F5D"/>
    <w:rsid w:val="00783050"/>
    <w:rsid w:val="007833B0"/>
    <w:rsid w:val="007834F3"/>
    <w:rsid w:val="00783FF2"/>
    <w:rsid w:val="007848C4"/>
    <w:rsid w:val="00784A1E"/>
    <w:rsid w:val="00784BCD"/>
    <w:rsid w:val="007850D2"/>
    <w:rsid w:val="00785B3A"/>
    <w:rsid w:val="00785E83"/>
    <w:rsid w:val="007862DC"/>
    <w:rsid w:val="00786639"/>
    <w:rsid w:val="00786929"/>
    <w:rsid w:val="00787100"/>
    <w:rsid w:val="0078726F"/>
    <w:rsid w:val="00787445"/>
    <w:rsid w:val="00790691"/>
    <w:rsid w:val="007908D9"/>
    <w:rsid w:val="00790F01"/>
    <w:rsid w:val="007922DF"/>
    <w:rsid w:val="00792FBD"/>
    <w:rsid w:val="0079329A"/>
    <w:rsid w:val="00793A43"/>
    <w:rsid w:val="00793C7C"/>
    <w:rsid w:val="007943A1"/>
    <w:rsid w:val="00794621"/>
    <w:rsid w:val="00794A23"/>
    <w:rsid w:val="00795077"/>
    <w:rsid w:val="0079558C"/>
    <w:rsid w:val="00795790"/>
    <w:rsid w:val="007958AC"/>
    <w:rsid w:val="00796C0A"/>
    <w:rsid w:val="00797E74"/>
    <w:rsid w:val="007A00B1"/>
    <w:rsid w:val="007A08B2"/>
    <w:rsid w:val="007A0E37"/>
    <w:rsid w:val="007A10E2"/>
    <w:rsid w:val="007A1167"/>
    <w:rsid w:val="007A141F"/>
    <w:rsid w:val="007A1F0B"/>
    <w:rsid w:val="007A218C"/>
    <w:rsid w:val="007A259A"/>
    <w:rsid w:val="007A2D95"/>
    <w:rsid w:val="007A3074"/>
    <w:rsid w:val="007A4F4D"/>
    <w:rsid w:val="007A52D9"/>
    <w:rsid w:val="007A54AF"/>
    <w:rsid w:val="007A57AF"/>
    <w:rsid w:val="007A5C2B"/>
    <w:rsid w:val="007A69E0"/>
    <w:rsid w:val="007A6F8A"/>
    <w:rsid w:val="007A7118"/>
    <w:rsid w:val="007A7293"/>
    <w:rsid w:val="007B0585"/>
    <w:rsid w:val="007B0596"/>
    <w:rsid w:val="007B08CD"/>
    <w:rsid w:val="007B08EF"/>
    <w:rsid w:val="007B1564"/>
    <w:rsid w:val="007B234A"/>
    <w:rsid w:val="007B326D"/>
    <w:rsid w:val="007B358F"/>
    <w:rsid w:val="007B41BE"/>
    <w:rsid w:val="007B4320"/>
    <w:rsid w:val="007B4B98"/>
    <w:rsid w:val="007B53AC"/>
    <w:rsid w:val="007B543B"/>
    <w:rsid w:val="007B5BC8"/>
    <w:rsid w:val="007B6124"/>
    <w:rsid w:val="007B63B4"/>
    <w:rsid w:val="007B63C1"/>
    <w:rsid w:val="007B657D"/>
    <w:rsid w:val="007B6957"/>
    <w:rsid w:val="007B70A8"/>
    <w:rsid w:val="007B71E2"/>
    <w:rsid w:val="007B766F"/>
    <w:rsid w:val="007B7CCE"/>
    <w:rsid w:val="007B7EA3"/>
    <w:rsid w:val="007C0054"/>
    <w:rsid w:val="007C0BC3"/>
    <w:rsid w:val="007C10E9"/>
    <w:rsid w:val="007C1236"/>
    <w:rsid w:val="007C1A60"/>
    <w:rsid w:val="007C1F20"/>
    <w:rsid w:val="007C2378"/>
    <w:rsid w:val="007C25A9"/>
    <w:rsid w:val="007C26B7"/>
    <w:rsid w:val="007C3498"/>
    <w:rsid w:val="007C349A"/>
    <w:rsid w:val="007C3764"/>
    <w:rsid w:val="007C3A55"/>
    <w:rsid w:val="007C3C9B"/>
    <w:rsid w:val="007C3E7D"/>
    <w:rsid w:val="007C3EC1"/>
    <w:rsid w:val="007C441F"/>
    <w:rsid w:val="007C4734"/>
    <w:rsid w:val="007C47AE"/>
    <w:rsid w:val="007C4E4E"/>
    <w:rsid w:val="007C5BB1"/>
    <w:rsid w:val="007C5F3F"/>
    <w:rsid w:val="007C688C"/>
    <w:rsid w:val="007C6F01"/>
    <w:rsid w:val="007C709A"/>
    <w:rsid w:val="007C75B5"/>
    <w:rsid w:val="007C75E6"/>
    <w:rsid w:val="007C770F"/>
    <w:rsid w:val="007C7725"/>
    <w:rsid w:val="007C7792"/>
    <w:rsid w:val="007C77C7"/>
    <w:rsid w:val="007C78A6"/>
    <w:rsid w:val="007D1048"/>
    <w:rsid w:val="007D1A7C"/>
    <w:rsid w:val="007D1C7F"/>
    <w:rsid w:val="007D2300"/>
    <w:rsid w:val="007D251E"/>
    <w:rsid w:val="007D438E"/>
    <w:rsid w:val="007D5087"/>
    <w:rsid w:val="007D5F22"/>
    <w:rsid w:val="007D6E23"/>
    <w:rsid w:val="007D7712"/>
    <w:rsid w:val="007E057A"/>
    <w:rsid w:val="007E15D4"/>
    <w:rsid w:val="007E185C"/>
    <w:rsid w:val="007E1CF8"/>
    <w:rsid w:val="007E223D"/>
    <w:rsid w:val="007E2603"/>
    <w:rsid w:val="007E281B"/>
    <w:rsid w:val="007E3061"/>
    <w:rsid w:val="007E4306"/>
    <w:rsid w:val="007E430F"/>
    <w:rsid w:val="007E4515"/>
    <w:rsid w:val="007E47F7"/>
    <w:rsid w:val="007E480E"/>
    <w:rsid w:val="007E4B5E"/>
    <w:rsid w:val="007E4B85"/>
    <w:rsid w:val="007E4BF6"/>
    <w:rsid w:val="007E6337"/>
    <w:rsid w:val="007E6393"/>
    <w:rsid w:val="007E672F"/>
    <w:rsid w:val="007E70CB"/>
    <w:rsid w:val="007E7821"/>
    <w:rsid w:val="007E7970"/>
    <w:rsid w:val="007E7D5E"/>
    <w:rsid w:val="007E7FDC"/>
    <w:rsid w:val="007F009A"/>
    <w:rsid w:val="007F0A56"/>
    <w:rsid w:val="007F0DB9"/>
    <w:rsid w:val="007F102A"/>
    <w:rsid w:val="007F196C"/>
    <w:rsid w:val="007F30FF"/>
    <w:rsid w:val="007F3155"/>
    <w:rsid w:val="007F339D"/>
    <w:rsid w:val="007F3E7A"/>
    <w:rsid w:val="007F3F49"/>
    <w:rsid w:val="007F4121"/>
    <w:rsid w:val="007F43E2"/>
    <w:rsid w:val="007F4702"/>
    <w:rsid w:val="007F5254"/>
    <w:rsid w:val="007F55A4"/>
    <w:rsid w:val="007F5790"/>
    <w:rsid w:val="007F602D"/>
    <w:rsid w:val="007F6088"/>
    <w:rsid w:val="007F68B7"/>
    <w:rsid w:val="007F6A13"/>
    <w:rsid w:val="007F789D"/>
    <w:rsid w:val="007F7941"/>
    <w:rsid w:val="007F79E5"/>
    <w:rsid w:val="007F7A24"/>
    <w:rsid w:val="007F7BEC"/>
    <w:rsid w:val="008003F9"/>
    <w:rsid w:val="008009F1"/>
    <w:rsid w:val="00800A27"/>
    <w:rsid w:val="00801155"/>
    <w:rsid w:val="008016E0"/>
    <w:rsid w:val="00801988"/>
    <w:rsid w:val="008022DE"/>
    <w:rsid w:val="00802771"/>
    <w:rsid w:val="00802B24"/>
    <w:rsid w:val="00802F51"/>
    <w:rsid w:val="00802F9F"/>
    <w:rsid w:val="0080381E"/>
    <w:rsid w:val="0080407B"/>
    <w:rsid w:val="008041FD"/>
    <w:rsid w:val="00805620"/>
    <w:rsid w:val="0080578B"/>
    <w:rsid w:val="00806368"/>
    <w:rsid w:val="00806F47"/>
    <w:rsid w:val="008072DA"/>
    <w:rsid w:val="008075DB"/>
    <w:rsid w:val="008109C0"/>
    <w:rsid w:val="00810D1E"/>
    <w:rsid w:val="008110E3"/>
    <w:rsid w:val="0081124B"/>
    <w:rsid w:val="00811349"/>
    <w:rsid w:val="008119EF"/>
    <w:rsid w:val="00811FBD"/>
    <w:rsid w:val="0081251C"/>
    <w:rsid w:val="00813024"/>
    <w:rsid w:val="008138D5"/>
    <w:rsid w:val="0081435D"/>
    <w:rsid w:val="00814FE4"/>
    <w:rsid w:val="00815030"/>
    <w:rsid w:val="00815FBC"/>
    <w:rsid w:val="00816844"/>
    <w:rsid w:val="00816EE5"/>
    <w:rsid w:val="0082204E"/>
    <w:rsid w:val="00822105"/>
    <w:rsid w:val="008222CF"/>
    <w:rsid w:val="00822639"/>
    <w:rsid w:val="00822B8B"/>
    <w:rsid w:val="00822F83"/>
    <w:rsid w:val="00823248"/>
    <w:rsid w:val="00823BD3"/>
    <w:rsid w:val="00825F24"/>
    <w:rsid w:val="008264CE"/>
    <w:rsid w:val="008266FB"/>
    <w:rsid w:val="00826B6A"/>
    <w:rsid w:val="00827290"/>
    <w:rsid w:val="008277A3"/>
    <w:rsid w:val="00827EDB"/>
    <w:rsid w:val="0083036D"/>
    <w:rsid w:val="00830977"/>
    <w:rsid w:val="00830C53"/>
    <w:rsid w:val="00831330"/>
    <w:rsid w:val="00831499"/>
    <w:rsid w:val="00831795"/>
    <w:rsid w:val="008318EC"/>
    <w:rsid w:val="00832900"/>
    <w:rsid w:val="00832979"/>
    <w:rsid w:val="0083307E"/>
    <w:rsid w:val="008330DD"/>
    <w:rsid w:val="00833449"/>
    <w:rsid w:val="008344AA"/>
    <w:rsid w:val="00834645"/>
    <w:rsid w:val="00834B1A"/>
    <w:rsid w:val="00835463"/>
    <w:rsid w:val="00835752"/>
    <w:rsid w:val="00836058"/>
    <w:rsid w:val="008362F5"/>
    <w:rsid w:val="00836FC5"/>
    <w:rsid w:val="00837510"/>
    <w:rsid w:val="00840039"/>
    <w:rsid w:val="00840807"/>
    <w:rsid w:val="0084220B"/>
    <w:rsid w:val="00842344"/>
    <w:rsid w:val="008423D0"/>
    <w:rsid w:val="00843028"/>
    <w:rsid w:val="0084416E"/>
    <w:rsid w:val="008455BB"/>
    <w:rsid w:val="008457D5"/>
    <w:rsid w:val="008457F7"/>
    <w:rsid w:val="00845AAB"/>
    <w:rsid w:val="00845BBC"/>
    <w:rsid w:val="00845BE6"/>
    <w:rsid w:val="00845FB9"/>
    <w:rsid w:val="00846305"/>
    <w:rsid w:val="00846629"/>
    <w:rsid w:val="00847B5C"/>
    <w:rsid w:val="00847CF2"/>
    <w:rsid w:val="008505A1"/>
    <w:rsid w:val="008518B0"/>
    <w:rsid w:val="00851E1A"/>
    <w:rsid w:val="00851E97"/>
    <w:rsid w:val="00852146"/>
    <w:rsid w:val="00852677"/>
    <w:rsid w:val="00852760"/>
    <w:rsid w:val="008539FA"/>
    <w:rsid w:val="008549F6"/>
    <w:rsid w:val="00854ED6"/>
    <w:rsid w:val="00855D31"/>
    <w:rsid w:val="008566F1"/>
    <w:rsid w:val="00856AFB"/>
    <w:rsid w:val="00857F19"/>
    <w:rsid w:val="00857FBB"/>
    <w:rsid w:val="00860292"/>
    <w:rsid w:val="00860E42"/>
    <w:rsid w:val="0086208A"/>
    <w:rsid w:val="00862F46"/>
    <w:rsid w:val="008639AB"/>
    <w:rsid w:val="00863A7F"/>
    <w:rsid w:val="0086475A"/>
    <w:rsid w:val="00864A97"/>
    <w:rsid w:val="00864BB6"/>
    <w:rsid w:val="00865494"/>
    <w:rsid w:val="008657C7"/>
    <w:rsid w:val="008674B7"/>
    <w:rsid w:val="00870221"/>
    <w:rsid w:val="00870660"/>
    <w:rsid w:val="00870695"/>
    <w:rsid w:val="00870C29"/>
    <w:rsid w:val="00870DDC"/>
    <w:rsid w:val="008721F4"/>
    <w:rsid w:val="00872518"/>
    <w:rsid w:val="0087321E"/>
    <w:rsid w:val="00873304"/>
    <w:rsid w:val="00873E13"/>
    <w:rsid w:val="00874642"/>
    <w:rsid w:val="00874992"/>
    <w:rsid w:val="008753C5"/>
    <w:rsid w:val="0087542F"/>
    <w:rsid w:val="00875646"/>
    <w:rsid w:val="00875842"/>
    <w:rsid w:val="00875BDE"/>
    <w:rsid w:val="0087642E"/>
    <w:rsid w:val="008805E6"/>
    <w:rsid w:val="0088079E"/>
    <w:rsid w:val="00880EFA"/>
    <w:rsid w:val="0088106B"/>
    <w:rsid w:val="00881692"/>
    <w:rsid w:val="008819BF"/>
    <w:rsid w:val="0088233D"/>
    <w:rsid w:val="00882506"/>
    <w:rsid w:val="00882595"/>
    <w:rsid w:val="00883803"/>
    <w:rsid w:val="00883AD2"/>
    <w:rsid w:val="00883DD8"/>
    <w:rsid w:val="008844A1"/>
    <w:rsid w:val="00884570"/>
    <w:rsid w:val="008847CF"/>
    <w:rsid w:val="008848C6"/>
    <w:rsid w:val="00884BC5"/>
    <w:rsid w:val="00884DB5"/>
    <w:rsid w:val="00884FE8"/>
    <w:rsid w:val="00885FF7"/>
    <w:rsid w:val="0088685B"/>
    <w:rsid w:val="008868EC"/>
    <w:rsid w:val="0088695B"/>
    <w:rsid w:val="00887169"/>
    <w:rsid w:val="00890591"/>
    <w:rsid w:val="0089066E"/>
    <w:rsid w:val="00890CE4"/>
    <w:rsid w:val="008911AF"/>
    <w:rsid w:val="008919BD"/>
    <w:rsid w:val="0089218C"/>
    <w:rsid w:val="008931EB"/>
    <w:rsid w:val="00893C9B"/>
    <w:rsid w:val="008942CF"/>
    <w:rsid w:val="008957AF"/>
    <w:rsid w:val="00895851"/>
    <w:rsid w:val="00895C8A"/>
    <w:rsid w:val="008965A5"/>
    <w:rsid w:val="0089662B"/>
    <w:rsid w:val="008966F0"/>
    <w:rsid w:val="00896A2C"/>
    <w:rsid w:val="00897597"/>
    <w:rsid w:val="0089792E"/>
    <w:rsid w:val="008A0880"/>
    <w:rsid w:val="008A0B0A"/>
    <w:rsid w:val="008A0D70"/>
    <w:rsid w:val="008A1535"/>
    <w:rsid w:val="008A158C"/>
    <w:rsid w:val="008A1632"/>
    <w:rsid w:val="008A20EF"/>
    <w:rsid w:val="008A2D73"/>
    <w:rsid w:val="008A35F3"/>
    <w:rsid w:val="008A4EBE"/>
    <w:rsid w:val="008A5CBC"/>
    <w:rsid w:val="008A6AAA"/>
    <w:rsid w:val="008A6AEF"/>
    <w:rsid w:val="008A6BE2"/>
    <w:rsid w:val="008A6EC0"/>
    <w:rsid w:val="008A7CF6"/>
    <w:rsid w:val="008A7DF4"/>
    <w:rsid w:val="008B02C1"/>
    <w:rsid w:val="008B03A6"/>
    <w:rsid w:val="008B0802"/>
    <w:rsid w:val="008B08CE"/>
    <w:rsid w:val="008B113D"/>
    <w:rsid w:val="008B1243"/>
    <w:rsid w:val="008B3CE9"/>
    <w:rsid w:val="008B4B4B"/>
    <w:rsid w:val="008B4BA0"/>
    <w:rsid w:val="008B54F8"/>
    <w:rsid w:val="008B6DF8"/>
    <w:rsid w:val="008B7D2F"/>
    <w:rsid w:val="008C0203"/>
    <w:rsid w:val="008C06EF"/>
    <w:rsid w:val="008C0899"/>
    <w:rsid w:val="008C09C1"/>
    <w:rsid w:val="008C0AC9"/>
    <w:rsid w:val="008C0B06"/>
    <w:rsid w:val="008C0E23"/>
    <w:rsid w:val="008C11AB"/>
    <w:rsid w:val="008C1384"/>
    <w:rsid w:val="008C1B0A"/>
    <w:rsid w:val="008C1FFC"/>
    <w:rsid w:val="008C2FFB"/>
    <w:rsid w:val="008C453B"/>
    <w:rsid w:val="008C4EE9"/>
    <w:rsid w:val="008C553C"/>
    <w:rsid w:val="008C582F"/>
    <w:rsid w:val="008C5A08"/>
    <w:rsid w:val="008C6FC6"/>
    <w:rsid w:val="008C70C0"/>
    <w:rsid w:val="008C7ECD"/>
    <w:rsid w:val="008D08BF"/>
    <w:rsid w:val="008D0EB5"/>
    <w:rsid w:val="008D102E"/>
    <w:rsid w:val="008D131D"/>
    <w:rsid w:val="008D155D"/>
    <w:rsid w:val="008D1E54"/>
    <w:rsid w:val="008D28A2"/>
    <w:rsid w:val="008D2BE3"/>
    <w:rsid w:val="008D2E71"/>
    <w:rsid w:val="008D37D5"/>
    <w:rsid w:val="008D3862"/>
    <w:rsid w:val="008D3EF6"/>
    <w:rsid w:val="008D43A3"/>
    <w:rsid w:val="008D47A9"/>
    <w:rsid w:val="008D4AAD"/>
    <w:rsid w:val="008D5182"/>
    <w:rsid w:val="008D5460"/>
    <w:rsid w:val="008D6257"/>
    <w:rsid w:val="008D62BC"/>
    <w:rsid w:val="008D6C72"/>
    <w:rsid w:val="008D706B"/>
    <w:rsid w:val="008D7081"/>
    <w:rsid w:val="008E00EF"/>
    <w:rsid w:val="008E0694"/>
    <w:rsid w:val="008E0872"/>
    <w:rsid w:val="008E09E9"/>
    <w:rsid w:val="008E0D3C"/>
    <w:rsid w:val="008E11B8"/>
    <w:rsid w:val="008E1524"/>
    <w:rsid w:val="008E15C6"/>
    <w:rsid w:val="008E1A1A"/>
    <w:rsid w:val="008E1A5E"/>
    <w:rsid w:val="008E27FF"/>
    <w:rsid w:val="008E2976"/>
    <w:rsid w:val="008E39FE"/>
    <w:rsid w:val="008E464F"/>
    <w:rsid w:val="008E4806"/>
    <w:rsid w:val="008E4D09"/>
    <w:rsid w:val="008E4D7E"/>
    <w:rsid w:val="008E4E80"/>
    <w:rsid w:val="008E561D"/>
    <w:rsid w:val="008E65D1"/>
    <w:rsid w:val="008E6D1F"/>
    <w:rsid w:val="008E6FEF"/>
    <w:rsid w:val="008E7498"/>
    <w:rsid w:val="008E7D49"/>
    <w:rsid w:val="008F02CC"/>
    <w:rsid w:val="008F12B9"/>
    <w:rsid w:val="008F25F0"/>
    <w:rsid w:val="008F2D74"/>
    <w:rsid w:val="008F3513"/>
    <w:rsid w:val="008F372D"/>
    <w:rsid w:val="008F4648"/>
    <w:rsid w:val="008F4706"/>
    <w:rsid w:val="008F4AE6"/>
    <w:rsid w:val="008F5B36"/>
    <w:rsid w:val="008F5E80"/>
    <w:rsid w:val="008F6726"/>
    <w:rsid w:val="008F6D31"/>
    <w:rsid w:val="008F7245"/>
    <w:rsid w:val="008F7557"/>
    <w:rsid w:val="008F761E"/>
    <w:rsid w:val="008F7759"/>
    <w:rsid w:val="00900232"/>
    <w:rsid w:val="00900404"/>
    <w:rsid w:val="009004D3"/>
    <w:rsid w:val="00900D34"/>
    <w:rsid w:val="00900F85"/>
    <w:rsid w:val="009012CC"/>
    <w:rsid w:val="0090138A"/>
    <w:rsid w:val="0090171E"/>
    <w:rsid w:val="0090190F"/>
    <w:rsid w:val="00902254"/>
    <w:rsid w:val="00902862"/>
    <w:rsid w:val="00902FE0"/>
    <w:rsid w:val="00903325"/>
    <w:rsid w:val="0090376C"/>
    <w:rsid w:val="00904393"/>
    <w:rsid w:val="009045F0"/>
    <w:rsid w:val="00905689"/>
    <w:rsid w:val="009057C0"/>
    <w:rsid w:val="009058E2"/>
    <w:rsid w:val="00905E62"/>
    <w:rsid w:val="0090630A"/>
    <w:rsid w:val="00906821"/>
    <w:rsid w:val="00907799"/>
    <w:rsid w:val="00907AB2"/>
    <w:rsid w:val="00910958"/>
    <w:rsid w:val="00910B70"/>
    <w:rsid w:val="00911EB1"/>
    <w:rsid w:val="00912D10"/>
    <w:rsid w:val="00913259"/>
    <w:rsid w:val="0091462B"/>
    <w:rsid w:val="009148B7"/>
    <w:rsid w:val="00914B34"/>
    <w:rsid w:val="0091588C"/>
    <w:rsid w:val="009174EB"/>
    <w:rsid w:val="009179D6"/>
    <w:rsid w:val="00917D22"/>
    <w:rsid w:val="00917E7B"/>
    <w:rsid w:val="00917F3D"/>
    <w:rsid w:val="0092030A"/>
    <w:rsid w:val="00921AA9"/>
    <w:rsid w:val="00922AC6"/>
    <w:rsid w:val="0092310B"/>
    <w:rsid w:val="00923408"/>
    <w:rsid w:val="0092381D"/>
    <w:rsid w:val="009238F1"/>
    <w:rsid w:val="0092397A"/>
    <w:rsid w:val="00924EA4"/>
    <w:rsid w:val="00925087"/>
    <w:rsid w:val="009250CC"/>
    <w:rsid w:val="009257D5"/>
    <w:rsid w:val="00925BA6"/>
    <w:rsid w:val="0092619E"/>
    <w:rsid w:val="009261D6"/>
    <w:rsid w:val="009262C9"/>
    <w:rsid w:val="009266C6"/>
    <w:rsid w:val="00926AC1"/>
    <w:rsid w:val="00926E15"/>
    <w:rsid w:val="00927109"/>
    <w:rsid w:val="0092716C"/>
    <w:rsid w:val="00927A81"/>
    <w:rsid w:val="00931219"/>
    <w:rsid w:val="009325C0"/>
    <w:rsid w:val="0093270E"/>
    <w:rsid w:val="00932A32"/>
    <w:rsid w:val="00932E34"/>
    <w:rsid w:val="009331A6"/>
    <w:rsid w:val="009335F8"/>
    <w:rsid w:val="009336D6"/>
    <w:rsid w:val="009340B3"/>
    <w:rsid w:val="009340FB"/>
    <w:rsid w:val="00934418"/>
    <w:rsid w:val="00934CE7"/>
    <w:rsid w:val="0093653C"/>
    <w:rsid w:val="00936E16"/>
    <w:rsid w:val="00936FD7"/>
    <w:rsid w:val="00937482"/>
    <w:rsid w:val="009377B5"/>
    <w:rsid w:val="00937A90"/>
    <w:rsid w:val="00940300"/>
    <w:rsid w:val="0094049E"/>
    <w:rsid w:val="00940DAC"/>
    <w:rsid w:val="00940F6B"/>
    <w:rsid w:val="009414CF"/>
    <w:rsid w:val="009415DA"/>
    <w:rsid w:val="00941B2E"/>
    <w:rsid w:val="00942349"/>
    <w:rsid w:val="009423BE"/>
    <w:rsid w:val="009425DA"/>
    <w:rsid w:val="009427D0"/>
    <w:rsid w:val="00942B1F"/>
    <w:rsid w:val="009439C6"/>
    <w:rsid w:val="00943C66"/>
    <w:rsid w:val="00944970"/>
    <w:rsid w:val="00945F3A"/>
    <w:rsid w:val="00946941"/>
    <w:rsid w:val="00946F8F"/>
    <w:rsid w:val="00947192"/>
    <w:rsid w:val="00947652"/>
    <w:rsid w:val="009478B5"/>
    <w:rsid w:val="00951DEE"/>
    <w:rsid w:val="009521DC"/>
    <w:rsid w:val="009523B3"/>
    <w:rsid w:val="009527B3"/>
    <w:rsid w:val="00952B87"/>
    <w:rsid w:val="00952F4A"/>
    <w:rsid w:val="009538E5"/>
    <w:rsid w:val="009539F2"/>
    <w:rsid w:val="009546F7"/>
    <w:rsid w:val="0095583C"/>
    <w:rsid w:val="00955A6E"/>
    <w:rsid w:val="00956142"/>
    <w:rsid w:val="0095643D"/>
    <w:rsid w:val="00956C2F"/>
    <w:rsid w:val="0096072C"/>
    <w:rsid w:val="009609D2"/>
    <w:rsid w:val="00960C88"/>
    <w:rsid w:val="00960DD9"/>
    <w:rsid w:val="00960DDC"/>
    <w:rsid w:val="009610C0"/>
    <w:rsid w:val="00961F6D"/>
    <w:rsid w:val="00962531"/>
    <w:rsid w:val="0096296F"/>
    <w:rsid w:val="00962B8C"/>
    <w:rsid w:val="00962E5F"/>
    <w:rsid w:val="009639C0"/>
    <w:rsid w:val="00964817"/>
    <w:rsid w:val="00967252"/>
    <w:rsid w:val="00967277"/>
    <w:rsid w:val="009679D8"/>
    <w:rsid w:val="009702D1"/>
    <w:rsid w:val="00971B5A"/>
    <w:rsid w:val="00971C78"/>
    <w:rsid w:val="00972FB8"/>
    <w:rsid w:val="00972FFC"/>
    <w:rsid w:val="00973358"/>
    <w:rsid w:val="00973677"/>
    <w:rsid w:val="00974629"/>
    <w:rsid w:val="00974BAD"/>
    <w:rsid w:val="00974C50"/>
    <w:rsid w:val="00975877"/>
    <w:rsid w:val="0097594B"/>
    <w:rsid w:val="00976102"/>
    <w:rsid w:val="0097694F"/>
    <w:rsid w:val="00976C5A"/>
    <w:rsid w:val="00977387"/>
    <w:rsid w:val="00977713"/>
    <w:rsid w:val="00977943"/>
    <w:rsid w:val="009806C5"/>
    <w:rsid w:val="00981752"/>
    <w:rsid w:val="0098373A"/>
    <w:rsid w:val="00984CA2"/>
    <w:rsid w:val="00984EA6"/>
    <w:rsid w:val="00984FBC"/>
    <w:rsid w:val="0098510C"/>
    <w:rsid w:val="00985C98"/>
    <w:rsid w:val="00985E04"/>
    <w:rsid w:val="0098635A"/>
    <w:rsid w:val="00986C04"/>
    <w:rsid w:val="00986C2E"/>
    <w:rsid w:val="00987335"/>
    <w:rsid w:val="009873D6"/>
    <w:rsid w:val="00987E4F"/>
    <w:rsid w:val="00990114"/>
    <w:rsid w:val="009903F2"/>
    <w:rsid w:val="009907B3"/>
    <w:rsid w:val="009913C7"/>
    <w:rsid w:val="009923DE"/>
    <w:rsid w:val="00992478"/>
    <w:rsid w:val="009926DD"/>
    <w:rsid w:val="009930B7"/>
    <w:rsid w:val="00993512"/>
    <w:rsid w:val="00993BFD"/>
    <w:rsid w:val="00993DA5"/>
    <w:rsid w:val="009943AB"/>
    <w:rsid w:val="00994511"/>
    <w:rsid w:val="00994665"/>
    <w:rsid w:val="00994954"/>
    <w:rsid w:val="00994ADC"/>
    <w:rsid w:val="00994E51"/>
    <w:rsid w:val="009952C8"/>
    <w:rsid w:val="00995350"/>
    <w:rsid w:val="009953B5"/>
    <w:rsid w:val="00995940"/>
    <w:rsid w:val="009959D6"/>
    <w:rsid w:val="00995A55"/>
    <w:rsid w:val="0099662A"/>
    <w:rsid w:val="00996718"/>
    <w:rsid w:val="0099797F"/>
    <w:rsid w:val="009A0A2C"/>
    <w:rsid w:val="009A0BC0"/>
    <w:rsid w:val="009A0FF1"/>
    <w:rsid w:val="009A1EBC"/>
    <w:rsid w:val="009A2042"/>
    <w:rsid w:val="009A25AA"/>
    <w:rsid w:val="009A3EFC"/>
    <w:rsid w:val="009A41E9"/>
    <w:rsid w:val="009A4746"/>
    <w:rsid w:val="009A4916"/>
    <w:rsid w:val="009A4A36"/>
    <w:rsid w:val="009A5BFE"/>
    <w:rsid w:val="009A6B0F"/>
    <w:rsid w:val="009A749D"/>
    <w:rsid w:val="009A7D28"/>
    <w:rsid w:val="009B0547"/>
    <w:rsid w:val="009B0BF5"/>
    <w:rsid w:val="009B10E2"/>
    <w:rsid w:val="009B13FB"/>
    <w:rsid w:val="009B165A"/>
    <w:rsid w:val="009B1B09"/>
    <w:rsid w:val="009B1CAC"/>
    <w:rsid w:val="009B1D58"/>
    <w:rsid w:val="009B1F70"/>
    <w:rsid w:val="009B2381"/>
    <w:rsid w:val="009B264A"/>
    <w:rsid w:val="009B2DF3"/>
    <w:rsid w:val="009B2FAB"/>
    <w:rsid w:val="009B3AB1"/>
    <w:rsid w:val="009B4379"/>
    <w:rsid w:val="009B55F1"/>
    <w:rsid w:val="009B5D12"/>
    <w:rsid w:val="009B5E49"/>
    <w:rsid w:val="009B6D1F"/>
    <w:rsid w:val="009B77CC"/>
    <w:rsid w:val="009C0091"/>
    <w:rsid w:val="009C052D"/>
    <w:rsid w:val="009C09FF"/>
    <w:rsid w:val="009C0CA3"/>
    <w:rsid w:val="009C1125"/>
    <w:rsid w:val="009C14A4"/>
    <w:rsid w:val="009C1AD9"/>
    <w:rsid w:val="009C1B62"/>
    <w:rsid w:val="009C1F41"/>
    <w:rsid w:val="009C20BF"/>
    <w:rsid w:val="009C267B"/>
    <w:rsid w:val="009C29DE"/>
    <w:rsid w:val="009C2E33"/>
    <w:rsid w:val="009C308A"/>
    <w:rsid w:val="009C3B74"/>
    <w:rsid w:val="009C5743"/>
    <w:rsid w:val="009C69F4"/>
    <w:rsid w:val="009C740D"/>
    <w:rsid w:val="009C74D6"/>
    <w:rsid w:val="009C7903"/>
    <w:rsid w:val="009D0456"/>
    <w:rsid w:val="009D0E70"/>
    <w:rsid w:val="009D1338"/>
    <w:rsid w:val="009D1883"/>
    <w:rsid w:val="009D1E48"/>
    <w:rsid w:val="009D2257"/>
    <w:rsid w:val="009D34AF"/>
    <w:rsid w:val="009D3BB0"/>
    <w:rsid w:val="009D3C71"/>
    <w:rsid w:val="009D40C5"/>
    <w:rsid w:val="009D4B2D"/>
    <w:rsid w:val="009D50CE"/>
    <w:rsid w:val="009D55B4"/>
    <w:rsid w:val="009D723A"/>
    <w:rsid w:val="009E03F9"/>
    <w:rsid w:val="009E24B3"/>
    <w:rsid w:val="009E33F2"/>
    <w:rsid w:val="009E392A"/>
    <w:rsid w:val="009E3EF9"/>
    <w:rsid w:val="009E4003"/>
    <w:rsid w:val="009E4238"/>
    <w:rsid w:val="009E54D0"/>
    <w:rsid w:val="009E58B1"/>
    <w:rsid w:val="009E5DA5"/>
    <w:rsid w:val="009E77B5"/>
    <w:rsid w:val="009E7E66"/>
    <w:rsid w:val="009E7E69"/>
    <w:rsid w:val="009F01FD"/>
    <w:rsid w:val="009F02B7"/>
    <w:rsid w:val="009F07D3"/>
    <w:rsid w:val="009F0A87"/>
    <w:rsid w:val="009F11BC"/>
    <w:rsid w:val="009F18C3"/>
    <w:rsid w:val="009F2AD1"/>
    <w:rsid w:val="009F37B7"/>
    <w:rsid w:val="009F4205"/>
    <w:rsid w:val="009F4338"/>
    <w:rsid w:val="009F4634"/>
    <w:rsid w:val="009F4A46"/>
    <w:rsid w:val="009F4BEF"/>
    <w:rsid w:val="009F528E"/>
    <w:rsid w:val="009F5382"/>
    <w:rsid w:val="009F543C"/>
    <w:rsid w:val="009F5A0F"/>
    <w:rsid w:val="009F71F4"/>
    <w:rsid w:val="009F7E5F"/>
    <w:rsid w:val="00A016C6"/>
    <w:rsid w:val="00A03626"/>
    <w:rsid w:val="00A0371D"/>
    <w:rsid w:val="00A03CAC"/>
    <w:rsid w:val="00A03DEF"/>
    <w:rsid w:val="00A04487"/>
    <w:rsid w:val="00A04E48"/>
    <w:rsid w:val="00A04E4B"/>
    <w:rsid w:val="00A04FF6"/>
    <w:rsid w:val="00A05279"/>
    <w:rsid w:val="00A0571C"/>
    <w:rsid w:val="00A05AF0"/>
    <w:rsid w:val="00A06B4F"/>
    <w:rsid w:val="00A07EB1"/>
    <w:rsid w:val="00A104E4"/>
    <w:rsid w:val="00A10603"/>
    <w:rsid w:val="00A10CD3"/>
    <w:rsid w:val="00A110CE"/>
    <w:rsid w:val="00A115B9"/>
    <w:rsid w:val="00A11EB1"/>
    <w:rsid w:val="00A12854"/>
    <w:rsid w:val="00A12E03"/>
    <w:rsid w:val="00A135B3"/>
    <w:rsid w:val="00A13D5B"/>
    <w:rsid w:val="00A1574D"/>
    <w:rsid w:val="00A161E4"/>
    <w:rsid w:val="00A16FA1"/>
    <w:rsid w:val="00A1720E"/>
    <w:rsid w:val="00A173D5"/>
    <w:rsid w:val="00A1771E"/>
    <w:rsid w:val="00A17AE4"/>
    <w:rsid w:val="00A20868"/>
    <w:rsid w:val="00A211C8"/>
    <w:rsid w:val="00A21265"/>
    <w:rsid w:val="00A215C2"/>
    <w:rsid w:val="00A219A1"/>
    <w:rsid w:val="00A21DDF"/>
    <w:rsid w:val="00A21E08"/>
    <w:rsid w:val="00A22610"/>
    <w:rsid w:val="00A229E7"/>
    <w:rsid w:val="00A22C40"/>
    <w:rsid w:val="00A242AD"/>
    <w:rsid w:val="00A2612D"/>
    <w:rsid w:val="00A2667B"/>
    <w:rsid w:val="00A266B3"/>
    <w:rsid w:val="00A26F67"/>
    <w:rsid w:val="00A27C35"/>
    <w:rsid w:val="00A3027C"/>
    <w:rsid w:val="00A3098F"/>
    <w:rsid w:val="00A30F96"/>
    <w:rsid w:val="00A31063"/>
    <w:rsid w:val="00A3165F"/>
    <w:rsid w:val="00A320A7"/>
    <w:rsid w:val="00A3300A"/>
    <w:rsid w:val="00A33A6D"/>
    <w:rsid w:val="00A34CA4"/>
    <w:rsid w:val="00A34F3C"/>
    <w:rsid w:val="00A351FE"/>
    <w:rsid w:val="00A35B3C"/>
    <w:rsid w:val="00A35C3E"/>
    <w:rsid w:val="00A37E91"/>
    <w:rsid w:val="00A40C6C"/>
    <w:rsid w:val="00A41741"/>
    <w:rsid w:val="00A419E5"/>
    <w:rsid w:val="00A42790"/>
    <w:rsid w:val="00A4296F"/>
    <w:rsid w:val="00A4348A"/>
    <w:rsid w:val="00A4578B"/>
    <w:rsid w:val="00A4612F"/>
    <w:rsid w:val="00A466CE"/>
    <w:rsid w:val="00A46A58"/>
    <w:rsid w:val="00A46CF4"/>
    <w:rsid w:val="00A46D3A"/>
    <w:rsid w:val="00A46FE2"/>
    <w:rsid w:val="00A47085"/>
    <w:rsid w:val="00A4723E"/>
    <w:rsid w:val="00A50B76"/>
    <w:rsid w:val="00A51264"/>
    <w:rsid w:val="00A513BD"/>
    <w:rsid w:val="00A5154C"/>
    <w:rsid w:val="00A51D7E"/>
    <w:rsid w:val="00A528B1"/>
    <w:rsid w:val="00A53262"/>
    <w:rsid w:val="00A53BBB"/>
    <w:rsid w:val="00A54586"/>
    <w:rsid w:val="00A54780"/>
    <w:rsid w:val="00A548ED"/>
    <w:rsid w:val="00A549CC"/>
    <w:rsid w:val="00A549FB"/>
    <w:rsid w:val="00A56156"/>
    <w:rsid w:val="00A56933"/>
    <w:rsid w:val="00A573D3"/>
    <w:rsid w:val="00A575E5"/>
    <w:rsid w:val="00A57E78"/>
    <w:rsid w:val="00A60297"/>
    <w:rsid w:val="00A603C7"/>
    <w:rsid w:val="00A60528"/>
    <w:rsid w:val="00A609F4"/>
    <w:rsid w:val="00A60EB6"/>
    <w:rsid w:val="00A61194"/>
    <w:rsid w:val="00A618B5"/>
    <w:rsid w:val="00A6222D"/>
    <w:rsid w:val="00A628E0"/>
    <w:rsid w:val="00A63071"/>
    <w:rsid w:val="00A63B2D"/>
    <w:rsid w:val="00A63E0D"/>
    <w:rsid w:val="00A64506"/>
    <w:rsid w:val="00A6451D"/>
    <w:rsid w:val="00A6498A"/>
    <w:rsid w:val="00A675E8"/>
    <w:rsid w:val="00A7003D"/>
    <w:rsid w:val="00A703BB"/>
    <w:rsid w:val="00A7058A"/>
    <w:rsid w:val="00A70C0E"/>
    <w:rsid w:val="00A70D28"/>
    <w:rsid w:val="00A7150A"/>
    <w:rsid w:val="00A71638"/>
    <w:rsid w:val="00A719B5"/>
    <w:rsid w:val="00A720F9"/>
    <w:rsid w:val="00A72456"/>
    <w:rsid w:val="00A728DD"/>
    <w:rsid w:val="00A730E1"/>
    <w:rsid w:val="00A7377D"/>
    <w:rsid w:val="00A73A2A"/>
    <w:rsid w:val="00A73AE9"/>
    <w:rsid w:val="00A741A8"/>
    <w:rsid w:val="00A741B7"/>
    <w:rsid w:val="00A74E4E"/>
    <w:rsid w:val="00A7598D"/>
    <w:rsid w:val="00A761D4"/>
    <w:rsid w:val="00A76681"/>
    <w:rsid w:val="00A76BF6"/>
    <w:rsid w:val="00A76C3A"/>
    <w:rsid w:val="00A76CAE"/>
    <w:rsid w:val="00A76DB0"/>
    <w:rsid w:val="00A77B5B"/>
    <w:rsid w:val="00A8006E"/>
    <w:rsid w:val="00A8053A"/>
    <w:rsid w:val="00A80B23"/>
    <w:rsid w:val="00A80F7A"/>
    <w:rsid w:val="00A81071"/>
    <w:rsid w:val="00A81253"/>
    <w:rsid w:val="00A8158D"/>
    <w:rsid w:val="00A8169D"/>
    <w:rsid w:val="00A82C87"/>
    <w:rsid w:val="00A82EF0"/>
    <w:rsid w:val="00A832E4"/>
    <w:rsid w:val="00A83AC7"/>
    <w:rsid w:val="00A84877"/>
    <w:rsid w:val="00A849A9"/>
    <w:rsid w:val="00A84A74"/>
    <w:rsid w:val="00A85086"/>
    <w:rsid w:val="00A85459"/>
    <w:rsid w:val="00A861EC"/>
    <w:rsid w:val="00A86D8A"/>
    <w:rsid w:val="00A8751C"/>
    <w:rsid w:val="00A878B5"/>
    <w:rsid w:val="00A87CB5"/>
    <w:rsid w:val="00A87D83"/>
    <w:rsid w:val="00A90120"/>
    <w:rsid w:val="00A902CC"/>
    <w:rsid w:val="00A90559"/>
    <w:rsid w:val="00A90CE7"/>
    <w:rsid w:val="00A90CF7"/>
    <w:rsid w:val="00A90E1F"/>
    <w:rsid w:val="00A91ACD"/>
    <w:rsid w:val="00A91D3E"/>
    <w:rsid w:val="00A92851"/>
    <w:rsid w:val="00A9353A"/>
    <w:rsid w:val="00A938F0"/>
    <w:rsid w:val="00A93C51"/>
    <w:rsid w:val="00A94299"/>
    <w:rsid w:val="00A952F5"/>
    <w:rsid w:val="00A955F6"/>
    <w:rsid w:val="00A95C8F"/>
    <w:rsid w:val="00A95FFF"/>
    <w:rsid w:val="00A96395"/>
    <w:rsid w:val="00A96774"/>
    <w:rsid w:val="00A96D4B"/>
    <w:rsid w:val="00A96E04"/>
    <w:rsid w:val="00A9784F"/>
    <w:rsid w:val="00A9792E"/>
    <w:rsid w:val="00A97F0A"/>
    <w:rsid w:val="00AA0122"/>
    <w:rsid w:val="00AA0193"/>
    <w:rsid w:val="00AA1097"/>
    <w:rsid w:val="00AA1678"/>
    <w:rsid w:val="00AA1F88"/>
    <w:rsid w:val="00AA2283"/>
    <w:rsid w:val="00AA3467"/>
    <w:rsid w:val="00AA382D"/>
    <w:rsid w:val="00AA3D31"/>
    <w:rsid w:val="00AA3E47"/>
    <w:rsid w:val="00AA415F"/>
    <w:rsid w:val="00AA43EA"/>
    <w:rsid w:val="00AA52B9"/>
    <w:rsid w:val="00AA5894"/>
    <w:rsid w:val="00AA5C2C"/>
    <w:rsid w:val="00AA62A4"/>
    <w:rsid w:val="00AA6484"/>
    <w:rsid w:val="00AA64F4"/>
    <w:rsid w:val="00AA6720"/>
    <w:rsid w:val="00AA68C1"/>
    <w:rsid w:val="00AA6AEB"/>
    <w:rsid w:val="00AA6EC5"/>
    <w:rsid w:val="00AA6F3C"/>
    <w:rsid w:val="00AA73CF"/>
    <w:rsid w:val="00AB01EE"/>
    <w:rsid w:val="00AB0652"/>
    <w:rsid w:val="00AB077B"/>
    <w:rsid w:val="00AB1185"/>
    <w:rsid w:val="00AB14A1"/>
    <w:rsid w:val="00AB19F6"/>
    <w:rsid w:val="00AB24BE"/>
    <w:rsid w:val="00AB259C"/>
    <w:rsid w:val="00AB2FB5"/>
    <w:rsid w:val="00AB31B0"/>
    <w:rsid w:val="00AB3AF6"/>
    <w:rsid w:val="00AB444C"/>
    <w:rsid w:val="00AB4A21"/>
    <w:rsid w:val="00AB4DD7"/>
    <w:rsid w:val="00AB57F5"/>
    <w:rsid w:val="00AB606F"/>
    <w:rsid w:val="00AB659C"/>
    <w:rsid w:val="00AB67F4"/>
    <w:rsid w:val="00AC035E"/>
    <w:rsid w:val="00AC06AE"/>
    <w:rsid w:val="00AC0733"/>
    <w:rsid w:val="00AC08ED"/>
    <w:rsid w:val="00AC0A8C"/>
    <w:rsid w:val="00AC0FA6"/>
    <w:rsid w:val="00AC1274"/>
    <w:rsid w:val="00AC1C1F"/>
    <w:rsid w:val="00AC3122"/>
    <w:rsid w:val="00AC376D"/>
    <w:rsid w:val="00AC3BFA"/>
    <w:rsid w:val="00AC4048"/>
    <w:rsid w:val="00AC4423"/>
    <w:rsid w:val="00AC45A8"/>
    <w:rsid w:val="00AC5052"/>
    <w:rsid w:val="00AC6023"/>
    <w:rsid w:val="00AC6CE0"/>
    <w:rsid w:val="00AC72C9"/>
    <w:rsid w:val="00AC7442"/>
    <w:rsid w:val="00AC7ED1"/>
    <w:rsid w:val="00AC7FC3"/>
    <w:rsid w:val="00AD17E7"/>
    <w:rsid w:val="00AD19E1"/>
    <w:rsid w:val="00AD1BED"/>
    <w:rsid w:val="00AD2380"/>
    <w:rsid w:val="00AD32C0"/>
    <w:rsid w:val="00AD3C02"/>
    <w:rsid w:val="00AD3D60"/>
    <w:rsid w:val="00AD4CC3"/>
    <w:rsid w:val="00AD4F18"/>
    <w:rsid w:val="00AD582F"/>
    <w:rsid w:val="00AD5D81"/>
    <w:rsid w:val="00AD5E16"/>
    <w:rsid w:val="00AD6D20"/>
    <w:rsid w:val="00AD721E"/>
    <w:rsid w:val="00AE022A"/>
    <w:rsid w:val="00AE09F4"/>
    <w:rsid w:val="00AE1089"/>
    <w:rsid w:val="00AE126A"/>
    <w:rsid w:val="00AE1498"/>
    <w:rsid w:val="00AE198B"/>
    <w:rsid w:val="00AE1EC3"/>
    <w:rsid w:val="00AE27D2"/>
    <w:rsid w:val="00AE310F"/>
    <w:rsid w:val="00AE43EC"/>
    <w:rsid w:val="00AE48E3"/>
    <w:rsid w:val="00AE62ED"/>
    <w:rsid w:val="00AE673C"/>
    <w:rsid w:val="00AE6CDD"/>
    <w:rsid w:val="00AE7968"/>
    <w:rsid w:val="00AE7E59"/>
    <w:rsid w:val="00AF0719"/>
    <w:rsid w:val="00AF1888"/>
    <w:rsid w:val="00AF19DE"/>
    <w:rsid w:val="00AF2096"/>
    <w:rsid w:val="00AF20E0"/>
    <w:rsid w:val="00AF270F"/>
    <w:rsid w:val="00AF2A74"/>
    <w:rsid w:val="00AF2AF9"/>
    <w:rsid w:val="00AF2F69"/>
    <w:rsid w:val="00AF4069"/>
    <w:rsid w:val="00AF440D"/>
    <w:rsid w:val="00AF45A2"/>
    <w:rsid w:val="00AF4FE3"/>
    <w:rsid w:val="00AF52C9"/>
    <w:rsid w:val="00AF54A4"/>
    <w:rsid w:val="00AF5B32"/>
    <w:rsid w:val="00AF6210"/>
    <w:rsid w:val="00AF6307"/>
    <w:rsid w:val="00AF6355"/>
    <w:rsid w:val="00B00045"/>
    <w:rsid w:val="00B00203"/>
    <w:rsid w:val="00B010AF"/>
    <w:rsid w:val="00B0183F"/>
    <w:rsid w:val="00B01995"/>
    <w:rsid w:val="00B01D88"/>
    <w:rsid w:val="00B020F5"/>
    <w:rsid w:val="00B02A17"/>
    <w:rsid w:val="00B02C73"/>
    <w:rsid w:val="00B02D25"/>
    <w:rsid w:val="00B0319C"/>
    <w:rsid w:val="00B032B2"/>
    <w:rsid w:val="00B03484"/>
    <w:rsid w:val="00B04112"/>
    <w:rsid w:val="00B043E8"/>
    <w:rsid w:val="00B04ABD"/>
    <w:rsid w:val="00B051ED"/>
    <w:rsid w:val="00B0525D"/>
    <w:rsid w:val="00B05418"/>
    <w:rsid w:val="00B06ED3"/>
    <w:rsid w:val="00B0787B"/>
    <w:rsid w:val="00B104E8"/>
    <w:rsid w:val="00B10876"/>
    <w:rsid w:val="00B10C57"/>
    <w:rsid w:val="00B111A4"/>
    <w:rsid w:val="00B11905"/>
    <w:rsid w:val="00B11923"/>
    <w:rsid w:val="00B11D1B"/>
    <w:rsid w:val="00B12A8B"/>
    <w:rsid w:val="00B1385B"/>
    <w:rsid w:val="00B139FC"/>
    <w:rsid w:val="00B13C69"/>
    <w:rsid w:val="00B13C77"/>
    <w:rsid w:val="00B148F0"/>
    <w:rsid w:val="00B161DA"/>
    <w:rsid w:val="00B16371"/>
    <w:rsid w:val="00B16783"/>
    <w:rsid w:val="00B16A48"/>
    <w:rsid w:val="00B16D13"/>
    <w:rsid w:val="00B16D94"/>
    <w:rsid w:val="00B176AF"/>
    <w:rsid w:val="00B178D0"/>
    <w:rsid w:val="00B20340"/>
    <w:rsid w:val="00B20846"/>
    <w:rsid w:val="00B21867"/>
    <w:rsid w:val="00B21F26"/>
    <w:rsid w:val="00B22117"/>
    <w:rsid w:val="00B222AF"/>
    <w:rsid w:val="00B22602"/>
    <w:rsid w:val="00B22AB8"/>
    <w:rsid w:val="00B22E93"/>
    <w:rsid w:val="00B238A3"/>
    <w:rsid w:val="00B23CBB"/>
    <w:rsid w:val="00B240D0"/>
    <w:rsid w:val="00B242A8"/>
    <w:rsid w:val="00B2645F"/>
    <w:rsid w:val="00B26CC2"/>
    <w:rsid w:val="00B26D39"/>
    <w:rsid w:val="00B26EB5"/>
    <w:rsid w:val="00B2768E"/>
    <w:rsid w:val="00B27CFB"/>
    <w:rsid w:val="00B27ED0"/>
    <w:rsid w:val="00B300DE"/>
    <w:rsid w:val="00B30283"/>
    <w:rsid w:val="00B306A0"/>
    <w:rsid w:val="00B313BC"/>
    <w:rsid w:val="00B31566"/>
    <w:rsid w:val="00B31787"/>
    <w:rsid w:val="00B324D0"/>
    <w:rsid w:val="00B325DE"/>
    <w:rsid w:val="00B32C67"/>
    <w:rsid w:val="00B33315"/>
    <w:rsid w:val="00B33A0C"/>
    <w:rsid w:val="00B33C1B"/>
    <w:rsid w:val="00B34077"/>
    <w:rsid w:val="00B34B17"/>
    <w:rsid w:val="00B34C70"/>
    <w:rsid w:val="00B352DE"/>
    <w:rsid w:val="00B35411"/>
    <w:rsid w:val="00B360BA"/>
    <w:rsid w:val="00B367F8"/>
    <w:rsid w:val="00B36C53"/>
    <w:rsid w:val="00B370DC"/>
    <w:rsid w:val="00B37DA4"/>
    <w:rsid w:val="00B4035A"/>
    <w:rsid w:val="00B40C6C"/>
    <w:rsid w:val="00B42016"/>
    <w:rsid w:val="00B4223D"/>
    <w:rsid w:val="00B422C3"/>
    <w:rsid w:val="00B42333"/>
    <w:rsid w:val="00B42C0C"/>
    <w:rsid w:val="00B43008"/>
    <w:rsid w:val="00B434D6"/>
    <w:rsid w:val="00B43876"/>
    <w:rsid w:val="00B441C1"/>
    <w:rsid w:val="00B44627"/>
    <w:rsid w:val="00B4476E"/>
    <w:rsid w:val="00B449F1"/>
    <w:rsid w:val="00B44B60"/>
    <w:rsid w:val="00B44B76"/>
    <w:rsid w:val="00B44D31"/>
    <w:rsid w:val="00B44D52"/>
    <w:rsid w:val="00B4548A"/>
    <w:rsid w:val="00B4565A"/>
    <w:rsid w:val="00B50256"/>
    <w:rsid w:val="00B51630"/>
    <w:rsid w:val="00B51650"/>
    <w:rsid w:val="00B5173C"/>
    <w:rsid w:val="00B519A0"/>
    <w:rsid w:val="00B52978"/>
    <w:rsid w:val="00B52C71"/>
    <w:rsid w:val="00B52EB5"/>
    <w:rsid w:val="00B53BEC"/>
    <w:rsid w:val="00B53F08"/>
    <w:rsid w:val="00B53F31"/>
    <w:rsid w:val="00B54159"/>
    <w:rsid w:val="00B545B8"/>
    <w:rsid w:val="00B549C9"/>
    <w:rsid w:val="00B54D31"/>
    <w:rsid w:val="00B54E66"/>
    <w:rsid w:val="00B550FA"/>
    <w:rsid w:val="00B551A7"/>
    <w:rsid w:val="00B56A22"/>
    <w:rsid w:val="00B56B47"/>
    <w:rsid w:val="00B56B86"/>
    <w:rsid w:val="00B570B9"/>
    <w:rsid w:val="00B57337"/>
    <w:rsid w:val="00B57CBF"/>
    <w:rsid w:val="00B60814"/>
    <w:rsid w:val="00B60A88"/>
    <w:rsid w:val="00B614F5"/>
    <w:rsid w:val="00B62584"/>
    <w:rsid w:val="00B62590"/>
    <w:rsid w:val="00B626F3"/>
    <w:rsid w:val="00B62C0F"/>
    <w:rsid w:val="00B62EF6"/>
    <w:rsid w:val="00B635E7"/>
    <w:rsid w:val="00B637A4"/>
    <w:rsid w:val="00B63AE4"/>
    <w:rsid w:val="00B63B53"/>
    <w:rsid w:val="00B63D36"/>
    <w:rsid w:val="00B641F9"/>
    <w:rsid w:val="00B64A10"/>
    <w:rsid w:val="00B64AAA"/>
    <w:rsid w:val="00B64B18"/>
    <w:rsid w:val="00B650AB"/>
    <w:rsid w:val="00B657CF"/>
    <w:rsid w:val="00B66436"/>
    <w:rsid w:val="00B66DE1"/>
    <w:rsid w:val="00B6759F"/>
    <w:rsid w:val="00B67708"/>
    <w:rsid w:val="00B678A0"/>
    <w:rsid w:val="00B67C94"/>
    <w:rsid w:val="00B67D78"/>
    <w:rsid w:val="00B67EFD"/>
    <w:rsid w:val="00B70634"/>
    <w:rsid w:val="00B706FA"/>
    <w:rsid w:val="00B70E64"/>
    <w:rsid w:val="00B71997"/>
    <w:rsid w:val="00B726F0"/>
    <w:rsid w:val="00B73115"/>
    <w:rsid w:val="00B7321D"/>
    <w:rsid w:val="00B73F24"/>
    <w:rsid w:val="00B74059"/>
    <w:rsid w:val="00B740CA"/>
    <w:rsid w:val="00B74475"/>
    <w:rsid w:val="00B74688"/>
    <w:rsid w:val="00B74782"/>
    <w:rsid w:val="00B7525C"/>
    <w:rsid w:val="00B75F64"/>
    <w:rsid w:val="00B76F4E"/>
    <w:rsid w:val="00B77155"/>
    <w:rsid w:val="00B77AAA"/>
    <w:rsid w:val="00B77FCA"/>
    <w:rsid w:val="00B8039F"/>
    <w:rsid w:val="00B80B0B"/>
    <w:rsid w:val="00B82145"/>
    <w:rsid w:val="00B82851"/>
    <w:rsid w:val="00B82CD0"/>
    <w:rsid w:val="00B82D21"/>
    <w:rsid w:val="00B838BF"/>
    <w:rsid w:val="00B83BDB"/>
    <w:rsid w:val="00B83E54"/>
    <w:rsid w:val="00B84159"/>
    <w:rsid w:val="00B855A6"/>
    <w:rsid w:val="00B85662"/>
    <w:rsid w:val="00B85D22"/>
    <w:rsid w:val="00B863BD"/>
    <w:rsid w:val="00B86AA4"/>
    <w:rsid w:val="00B87144"/>
    <w:rsid w:val="00B87788"/>
    <w:rsid w:val="00B90DFF"/>
    <w:rsid w:val="00B91127"/>
    <w:rsid w:val="00B915D0"/>
    <w:rsid w:val="00B917F0"/>
    <w:rsid w:val="00B9233E"/>
    <w:rsid w:val="00B923D6"/>
    <w:rsid w:val="00B92EAC"/>
    <w:rsid w:val="00B93647"/>
    <w:rsid w:val="00B93B90"/>
    <w:rsid w:val="00B94760"/>
    <w:rsid w:val="00B94827"/>
    <w:rsid w:val="00B95F13"/>
    <w:rsid w:val="00B960C9"/>
    <w:rsid w:val="00B965B7"/>
    <w:rsid w:val="00B96C90"/>
    <w:rsid w:val="00B97017"/>
    <w:rsid w:val="00B976F5"/>
    <w:rsid w:val="00BA01B9"/>
    <w:rsid w:val="00BA03FD"/>
    <w:rsid w:val="00BA097D"/>
    <w:rsid w:val="00BA0B29"/>
    <w:rsid w:val="00BA0FF4"/>
    <w:rsid w:val="00BA11BB"/>
    <w:rsid w:val="00BA18D6"/>
    <w:rsid w:val="00BA2029"/>
    <w:rsid w:val="00BA259F"/>
    <w:rsid w:val="00BA2603"/>
    <w:rsid w:val="00BA29CC"/>
    <w:rsid w:val="00BA2B3A"/>
    <w:rsid w:val="00BA2B95"/>
    <w:rsid w:val="00BA2E55"/>
    <w:rsid w:val="00BA4C7A"/>
    <w:rsid w:val="00BA5294"/>
    <w:rsid w:val="00BA572F"/>
    <w:rsid w:val="00BA58AA"/>
    <w:rsid w:val="00BA5981"/>
    <w:rsid w:val="00BA64CD"/>
    <w:rsid w:val="00BA7F90"/>
    <w:rsid w:val="00BB0AFC"/>
    <w:rsid w:val="00BB0B0E"/>
    <w:rsid w:val="00BB1C93"/>
    <w:rsid w:val="00BB270A"/>
    <w:rsid w:val="00BB357C"/>
    <w:rsid w:val="00BB38B4"/>
    <w:rsid w:val="00BB409B"/>
    <w:rsid w:val="00BB428C"/>
    <w:rsid w:val="00BB4E59"/>
    <w:rsid w:val="00BB555C"/>
    <w:rsid w:val="00BB5609"/>
    <w:rsid w:val="00BB6113"/>
    <w:rsid w:val="00BB6B86"/>
    <w:rsid w:val="00BB6FCB"/>
    <w:rsid w:val="00BB7218"/>
    <w:rsid w:val="00BB7551"/>
    <w:rsid w:val="00BC0DE7"/>
    <w:rsid w:val="00BC170D"/>
    <w:rsid w:val="00BC1981"/>
    <w:rsid w:val="00BC23F8"/>
    <w:rsid w:val="00BC32CC"/>
    <w:rsid w:val="00BC3369"/>
    <w:rsid w:val="00BC34FE"/>
    <w:rsid w:val="00BC4474"/>
    <w:rsid w:val="00BC5388"/>
    <w:rsid w:val="00BC53B8"/>
    <w:rsid w:val="00BC576E"/>
    <w:rsid w:val="00BC5C99"/>
    <w:rsid w:val="00BC665E"/>
    <w:rsid w:val="00BC6B2E"/>
    <w:rsid w:val="00BC745E"/>
    <w:rsid w:val="00BC7E2F"/>
    <w:rsid w:val="00BD0CFF"/>
    <w:rsid w:val="00BD145F"/>
    <w:rsid w:val="00BD1570"/>
    <w:rsid w:val="00BD1886"/>
    <w:rsid w:val="00BD18A0"/>
    <w:rsid w:val="00BD1FEB"/>
    <w:rsid w:val="00BD27D7"/>
    <w:rsid w:val="00BD3615"/>
    <w:rsid w:val="00BD3752"/>
    <w:rsid w:val="00BD3BBC"/>
    <w:rsid w:val="00BD3D6E"/>
    <w:rsid w:val="00BD44E1"/>
    <w:rsid w:val="00BD472F"/>
    <w:rsid w:val="00BD4A51"/>
    <w:rsid w:val="00BD54F5"/>
    <w:rsid w:val="00BD6C7F"/>
    <w:rsid w:val="00BD760F"/>
    <w:rsid w:val="00BD7A11"/>
    <w:rsid w:val="00BE01F4"/>
    <w:rsid w:val="00BE03BD"/>
    <w:rsid w:val="00BE0DDC"/>
    <w:rsid w:val="00BE1577"/>
    <w:rsid w:val="00BE1E4B"/>
    <w:rsid w:val="00BE2122"/>
    <w:rsid w:val="00BE22F3"/>
    <w:rsid w:val="00BE2CB6"/>
    <w:rsid w:val="00BE2F5A"/>
    <w:rsid w:val="00BE31AC"/>
    <w:rsid w:val="00BE3409"/>
    <w:rsid w:val="00BE5587"/>
    <w:rsid w:val="00BE5649"/>
    <w:rsid w:val="00BE57B6"/>
    <w:rsid w:val="00BE5955"/>
    <w:rsid w:val="00BE5F8F"/>
    <w:rsid w:val="00BE6AE4"/>
    <w:rsid w:val="00BE71AB"/>
    <w:rsid w:val="00BE7A9F"/>
    <w:rsid w:val="00BE7F81"/>
    <w:rsid w:val="00BF0A16"/>
    <w:rsid w:val="00BF0E98"/>
    <w:rsid w:val="00BF2104"/>
    <w:rsid w:val="00BF2192"/>
    <w:rsid w:val="00BF26C8"/>
    <w:rsid w:val="00BF4023"/>
    <w:rsid w:val="00BF490C"/>
    <w:rsid w:val="00BF4B02"/>
    <w:rsid w:val="00BF4F7D"/>
    <w:rsid w:val="00BF4FC3"/>
    <w:rsid w:val="00BF561A"/>
    <w:rsid w:val="00BF5A4F"/>
    <w:rsid w:val="00BF69B5"/>
    <w:rsid w:val="00BF7392"/>
    <w:rsid w:val="00BF77AB"/>
    <w:rsid w:val="00BF797B"/>
    <w:rsid w:val="00BF7A72"/>
    <w:rsid w:val="00BF7F32"/>
    <w:rsid w:val="00C0084C"/>
    <w:rsid w:val="00C008E1"/>
    <w:rsid w:val="00C01465"/>
    <w:rsid w:val="00C01C51"/>
    <w:rsid w:val="00C02260"/>
    <w:rsid w:val="00C022B7"/>
    <w:rsid w:val="00C02333"/>
    <w:rsid w:val="00C023C5"/>
    <w:rsid w:val="00C02C6A"/>
    <w:rsid w:val="00C042E6"/>
    <w:rsid w:val="00C04D0A"/>
    <w:rsid w:val="00C0573A"/>
    <w:rsid w:val="00C05B8D"/>
    <w:rsid w:val="00C060C3"/>
    <w:rsid w:val="00C06111"/>
    <w:rsid w:val="00C06A76"/>
    <w:rsid w:val="00C07098"/>
    <w:rsid w:val="00C07256"/>
    <w:rsid w:val="00C07281"/>
    <w:rsid w:val="00C07488"/>
    <w:rsid w:val="00C074E1"/>
    <w:rsid w:val="00C1005C"/>
    <w:rsid w:val="00C10460"/>
    <w:rsid w:val="00C10A40"/>
    <w:rsid w:val="00C11297"/>
    <w:rsid w:val="00C11753"/>
    <w:rsid w:val="00C12736"/>
    <w:rsid w:val="00C132E5"/>
    <w:rsid w:val="00C13699"/>
    <w:rsid w:val="00C14373"/>
    <w:rsid w:val="00C1500F"/>
    <w:rsid w:val="00C164FD"/>
    <w:rsid w:val="00C16BD3"/>
    <w:rsid w:val="00C16DBF"/>
    <w:rsid w:val="00C16FA0"/>
    <w:rsid w:val="00C1704C"/>
    <w:rsid w:val="00C17150"/>
    <w:rsid w:val="00C20829"/>
    <w:rsid w:val="00C20B69"/>
    <w:rsid w:val="00C22728"/>
    <w:rsid w:val="00C22944"/>
    <w:rsid w:val="00C23208"/>
    <w:rsid w:val="00C23464"/>
    <w:rsid w:val="00C23D62"/>
    <w:rsid w:val="00C24332"/>
    <w:rsid w:val="00C2433C"/>
    <w:rsid w:val="00C2464E"/>
    <w:rsid w:val="00C24ACC"/>
    <w:rsid w:val="00C24DD0"/>
    <w:rsid w:val="00C25731"/>
    <w:rsid w:val="00C25E41"/>
    <w:rsid w:val="00C261A6"/>
    <w:rsid w:val="00C2672D"/>
    <w:rsid w:val="00C26BD1"/>
    <w:rsid w:val="00C27B61"/>
    <w:rsid w:val="00C31C75"/>
    <w:rsid w:val="00C3236F"/>
    <w:rsid w:val="00C32519"/>
    <w:rsid w:val="00C328DE"/>
    <w:rsid w:val="00C3291E"/>
    <w:rsid w:val="00C330C1"/>
    <w:rsid w:val="00C3427F"/>
    <w:rsid w:val="00C34386"/>
    <w:rsid w:val="00C34F22"/>
    <w:rsid w:val="00C350FF"/>
    <w:rsid w:val="00C35BAC"/>
    <w:rsid w:val="00C36025"/>
    <w:rsid w:val="00C36CBB"/>
    <w:rsid w:val="00C36E05"/>
    <w:rsid w:val="00C3718E"/>
    <w:rsid w:val="00C378F0"/>
    <w:rsid w:val="00C37E93"/>
    <w:rsid w:val="00C407D9"/>
    <w:rsid w:val="00C4083D"/>
    <w:rsid w:val="00C40A41"/>
    <w:rsid w:val="00C41142"/>
    <w:rsid w:val="00C412B4"/>
    <w:rsid w:val="00C42085"/>
    <w:rsid w:val="00C42AAD"/>
    <w:rsid w:val="00C42E4C"/>
    <w:rsid w:val="00C43323"/>
    <w:rsid w:val="00C43DB3"/>
    <w:rsid w:val="00C43F3D"/>
    <w:rsid w:val="00C441BC"/>
    <w:rsid w:val="00C4489D"/>
    <w:rsid w:val="00C44977"/>
    <w:rsid w:val="00C44E27"/>
    <w:rsid w:val="00C4512A"/>
    <w:rsid w:val="00C4567A"/>
    <w:rsid w:val="00C4695C"/>
    <w:rsid w:val="00C47C26"/>
    <w:rsid w:val="00C50914"/>
    <w:rsid w:val="00C50B14"/>
    <w:rsid w:val="00C50B43"/>
    <w:rsid w:val="00C50D0C"/>
    <w:rsid w:val="00C50D80"/>
    <w:rsid w:val="00C5179A"/>
    <w:rsid w:val="00C522A6"/>
    <w:rsid w:val="00C524CC"/>
    <w:rsid w:val="00C52CCA"/>
    <w:rsid w:val="00C52F59"/>
    <w:rsid w:val="00C539C0"/>
    <w:rsid w:val="00C539CB"/>
    <w:rsid w:val="00C53AA9"/>
    <w:rsid w:val="00C54411"/>
    <w:rsid w:val="00C54AFF"/>
    <w:rsid w:val="00C55064"/>
    <w:rsid w:val="00C55849"/>
    <w:rsid w:val="00C55C84"/>
    <w:rsid w:val="00C55D8D"/>
    <w:rsid w:val="00C56654"/>
    <w:rsid w:val="00C56754"/>
    <w:rsid w:val="00C568E8"/>
    <w:rsid w:val="00C56F1A"/>
    <w:rsid w:val="00C57BA6"/>
    <w:rsid w:val="00C57BA9"/>
    <w:rsid w:val="00C6038D"/>
    <w:rsid w:val="00C60973"/>
    <w:rsid w:val="00C61211"/>
    <w:rsid w:val="00C61D96"/>
    <w:rsid w:val="00C6204D"/>
    <w:rsid w:val="00C6223D"/>
    <w:rsid w:val="00C623E9"/>
    <w:rsid w:val="00C62AEC"/>
    <w:rsid w:val="00C62BBB"/>
    <w:rsid w:val="00C62D4E"/>
    <w:rsid w:val="00C62F5E"/>
    <w:rsid w:val="00C63907"/>
    <w:rsid w:val="00C63B63"/>
    <w:rsid w:val="00C63E1F"/>
    <w:rsid w:val="00C646A5"/>
    <w:rsid w:val="00C651CA"/>
    <w:rsid w:val="00C654F3"/>
    <w:rsid w:val="00C65696"/>
    <w:rsid w:val="00C662CF"/>
    <w:rsid w:val="00C6663F"/>
    <w:rsid w:val="00C67E1A"/>
    <w:rsid w:val="00C67EC9"/>
    <w:rsid w:val="00C7006F"/>
    <w:rsid w:val="00C7046F"/>
    <w:rsid w:val="00C705E4"/>
    <w:rsid w:val="00C70908"/>
    <w:rsid w:val="00C709A8"/>
    <w:rsid w:val="00C70A17"/>
    <w:rsid w:val="00C7197C"/>
    <w:rsid w:val="00C725C5"/>
    <w:rsid w:val="00C725D2"/>
    <w:rsid w:val="00C725EA"/>
    <w:rsid w:val="00C732E5"/>
    <w:rsid w:val="00C736D1"/>
    <w:rsid w:val="00C747FF"/>
    <w:rsid w:val="00C74D14"/>
    <w:rsid w:val="00C765F8"/>
    <w:rsid w:val="00C76783"/>
    <w:rsid w:val="00C76C28"/>
    <w:rsid w:val="00C77E1D"/>
    <w:rsid w:val="00C77F2C"/>
    <w:rsid w:val="00C80C15"/>
    <w:rsid w:val="00C80D90"/>
    <w:rsid w:val="00C81197"/>
    <w:rsid w:val="00C81EAB"/>
    <w:rsid w:val="00C81FAB"/>
    <w:rsid w:val="00C83AFA"/>
    <w:rsid w:val="00C849EA"/>
    <w:rsid w:val="00C84ACF"/>
    <w:rsid w:val="00C85557"/>
    <w:rsid w:val="00C85ABB"/>
    <w:rsid w:val="00C85C1B"/>
    <w:rsid w:val="00C85F38"/>
    <w:rsid w:val="00C860F3"/>
    <w:rsid w:val="00C861E4"/>
    <w:rsid w:val="00C873C2"/>
    <w:rsid w:val="00C874DE"/>
    <w:rsid w:val="00C87E42"/>
    <w:rsid w:val="00C90199"/>
    <w:rsid w:val="00C91CF1"/>
    <w:rsid w:val="00C92848"/>
    <w:rsid w:val="00C9357D"/>
    <w:rsid w:val="00C93A0C"/>
    <w:rsid w:val="00C94CF7"/>
    <w:rsid w:val="00C95AB1"/>
    <w:rsid w:val="00C95C58"/>
    <w:rsid w:val="00C96F68"/>
    <w:rsid w:val="00C979CA"/>
    <w:rsid w:val="00C97DB6"/>
    <w:rsid w:val="00CA0FB4"/>
    <w:rsid w:val="00CA117F"/>
    <w:rsid w:val="00CA1EFD"/>
    <w:rsid w:val="00CA1FA7"/>
    <w:rsid w:val="00CA2B11"/>
    <w:rsid w:val="00CA318F"/>
    <w:rsid w:val="00CA380E"/>
    <w:rsid w:val="00CA3E40"/>
    <w:rsid w:val="00CA4E54"/>
    <w:rsid w:val="00CA50F8"/>
    <w:rsid w:val="00CA55DF"/>
    <w:rsid w:val="00CA5F01"/>
    <w:rsid w:val="00CA7116"/>
    <w:rsid w:val="00CA79AD"/>
    <w:rsid w:val="00CA7A86"/>
    <w:rsid w:val="00CA7AB0"/>
    <w:rsid w:val="00CA7E8E"/>
    <w:rsid w:val="00CA7EB2"/>
    <w:rsid w:val="00CA7FC5"/>
    <w:rsid w:val="00CB0D52"/>
    <w:rsid w:val="00CB0FFD"/>
    <w:rsid w:val="00CB1458"/>
    <w:rsid w:val="00CB17A4"/>
    <w:rsid w:val="00CB18D3"/>
    <w:rsid w:val="00CB2F6B"/>
    <w:rsid w:val="00CB2F97"/>
    <w:rsid w:val="00CB323B"/>
    <w:rsid w:val="00CB33F3"/>
    <w:rsid w:val="00CB3A30"/>
    <w:rsid w:val="00CB3C29"/>
    <w:rsid w:val="00CB4141"/>
    <w:rsid w:val="00CB4673"/>
    <w:rsid w:val="00CB47BE"/>
    <w:rsid w:val="00CB4844"/>
    <w:rsid w:val="00CB4CD1"/>
    <w:rsid w:val="00CB52A4"/>
    <w:rsid w:val="00CB579A"/>
    <w:rsid w:val="00CB5A9C"/>
    <w:rsid w:val="00CB5D68"/>
    <w:rsid w:val="00CB61A5"/>
    <w:rsid w:val="00CB685B"/>
    <w:rsid w:val="00CB6B84"/>
    <w:rsid w:val="00CB7497"/>
    <w:rsid w:val="00CC027D"/>
    <w:rsid w:val="00CC04F9"/>
    <w:rsid w:val="00CC0610"/>
    <w:rsid w:val="00CC0972"/>
    <w:rsid w:val="00CC0B36"/>
    <w:rsid w:val="00CC126C"/>
    <w:rsid w:val="00CC1672"/>
    <w:rsid w:val="00CC176B"/>
    <w:rsid w:val="00CC2060"/>
    <w:rsid w:val="00CC286B"/>
    <w:rsid w:val="00CC2903"/>
    <w:rsid w:val="00CC2E6A"/>
    <w:rsid w:val="00CC2F92"/>
    <w:rsid w:val="00CC31C9"/>
    <w:rsid w:val="00CC3F1A"/>
    <w:rsid w:val="00CC4806"/>
    <w:rsid w:val="00CC48FB"/>
    <w:rsid w:val="00CC4F2B"/>
    <w:rsid w:val="00CC5127"/>
    <w:rsid w:val="00CC545E"/>
    <w:rsid w:val="00CC5623"/>
    <w:rsid w:val="00CC5FE1"/>
    <w:rsid w:val="00CC63EA"/>
    <w:rsid w:val="00CC643D"/>
    <w:rsid w:val="00CC68D4"/>
    <w:rsid w:val="00CC6C44"/>
    <w:rsid w:val="00CC78DA"/>
    <w:rsid w:val="00CC7ABF"/>
    <w:rsid w:val="00CD02AC"/>
    <w:rsid w:val="00CD042B"/>
    <w:rsid w:val="00CD08F1"/>
    <w:rsid w:val="00CD0935"/>
    <w:rsid w:val="00CD0BE4"/>
    <w:rsid w:val="00CD104F"/>
    <w:rsid w:val="00CD17DA"/>
    <w:rsid w:val="00CD27E7"/>
    <w:rsid w:val="00CD2A2F"/>
    <w:rsid w:val="00CD3826"/>
    <w:rsid w:val="00CD3B3B"/>
    <w:rsid w:val="00CD3D4B"/>
    <w:rsid w:val="00CD4A23"/>
    <w:rsid w:val="00CD5D87"/>
    <w:rsid w:val="00CD5EF7"/>
    <w:rsid w:val="00CD640B"/>
    <w:rsid w:val="00CD6856"/>
    <w:rsid w:val="00CD78AD"/>
    <w:rsid w:val="00CD7C30"/>
    <w:rsid w:val="00CE0368"/>
    <w:rsid w:val="00CE0908"/>
    <w:rsid w:val="00CE0BBA"/>
    <w:rsid w:val="00CE0F63"/>
    <w:rsid w:val="00CE2046"/>
    <w:rsid w:val="00CE2F9C"/>
    <w:rsid w:val="00CE391E"/>
    <w:rsid w:val="00CE393C"/>
    <w:rsid w:val="00CE50A9"/>
    <w:rsid w:val="00CE5420"/>
    <w:rsid w:val="00CE59A5"/>
    <w:rsid w:val="00CE6712"/>
    <w:rsid w:val="00CE6B1A"/>
    <w:rsid w:val="00CE70EE"/>
    <w:rsid w:val="00CE7108"/>
    <w:rsid w:val="00CE7187"/>
    <w:rsid w:val="00CE73AA"/>
    <w:rsid w:val="00CE7D31"/>
    <w:rsid w:val="00CF000C"/>
    <w:rsid w:val="00CF0F77"/>
    <w:rsid w:val="00CF1024"/>
    <w:rsid w:val="00CF104C"/>
    <w:rsid w:val="00CF12B5"/>
    <w:rsid w:val="00CF1CF2"/>
    <w:rsid w:val="00CF26B2"/>
    <w:rsid w:val="00CF2D53"/>
    <w:rsid w:val="00CF3238"/>
    <w:rsid w:val="00CF3546"/>
    <w:rsid w:val="00CF3C56"/>
    <w:rsid w:val="00CF416E"/>
    <w:rsid w:val="00CF41FB"/>
    <w:rsid w:val="00CF4F35"/>
    <w:rsid w:val="00CF641F"/>
    <w:rsid w:val="00CF64C5"/>
    <w:rsid w:val="00CF66F0"/>
    <w:rsid w:val="00CF6A17"/>
    <w:rsid w:val="00CF6FD2"/>
    <w:rsid w:val="00D0007D"/>
    <w:rsid w:val="00D0088A"/>
    <w:rsid w:val="00D00B86"/>
    <w:rsid w:val="00D010AE"/>
    <w:rsid w:val="00D01316"/>
    <w:rsid w:val="00D02207"/>
    <w:rsid w:val="00D024CD"/>
    <w:rsid w:val="00D03506"/>
    <w:rsid w:val="00D037CC"/>
    <w:rsid w:val="00D03D9D"/>
    <w:rsid w:val="00D03D9E"/>
    <w:rsid w:val="00D0484C"/>
    <w:rsid w:val="00D04D4E"/>
    <w:rsid w:val="00D054A3"/>
    <w:rsid w:val="00D05905"/>
    <w:rsid w:val="00D05E43"/>
    <w:rsid w:val="00D05F28"/>
    <w:rsid w:val="00D0710B"/>
    <w:rsid w:val="00D0715E"/>
    <w:rsid w:val="00D07F12"/>
    <w:rsid w:val="00D105E1"/>
    <w:rsid w:val="00D117A9"/>
    <w:rsid w:val="00D11811"/>
    <w:rsid w:val="00D119E7"/>
    <w:rsid w:val="00D11E34"/>
    <w:rsid w:val="00D121E7"/>
    <w:rsid w:val="00D12204"/>
    <w:rsid w:val="00D1261B"/>
    <w:rsid w:val="00D13008"/>
    <w:rsid w:val="00D13269"/>
    <w:rsid w:val="00D13665"/>
    <w:rsid w:val="00D14E67"/>
    <w:rsid w:val="00D14EBF"/>
    <w:rsid w:val="00D1501B"/>
    <w:rsid w:val="00D15444"/>
    <w:rsid w:val="00D15757"/>
    <w:rsid w:val="00D157EB"/>
    <w:rsid w:val="00D15D62"/>
    <w:rsid w:val="00D166E7"/>
    <w:rsid w:val="00D16816"/>
    <w:rsid w:val="00D171E8"/>
    <w:rsid w:val="00D17AD6"/>
    <w:rsid w:val="00D17F2A"/>
    <w:rsid w:val="00D20654"/>
    <w:rsid w:val="00D20915"/>
    <w:rsid w:val="00D215D7"/>
    <w:rsid w:val="00D22541"/>
    <w:rsid w:val="00D22CBB"/>
    <w:rsid w:val="00D22FD9"/>
    <w:rsid w:val="00D23E76"/>
    <w:rsid w:val="00D24795"/>
    <w:rsid w:val="00D24C0F"/>
    <w:rsid w:val="00D25103"/>
    <w:rsid w:val="00D256BD"/>
    <w:rsid w:val="00D25C2B"/>
    <w:rsid w:val="00D25DDF"/>
    <w:rsid w:val="00D25DEC"/>
    <w:rsid w:val="00D2630E"/>
    <w:rsid w:val="00D265A2"/>
    <w:rsid w:val="00D267D2"/>
    <w:rsid w:val="00D267EB"/>
    <w:rsid w:val="00D272CF"/>
    <w:rsid w:val="00D27420"/>
    <w:rsid w:val="00D278C9"/>
    <w:rsid w:val="00D27D5E"/>
    <w:rsid w:val="00D30F4E"/>
    <w:rsid w:val="00D30F55"/>
    <w:rsid w:val="00D31628"/>
    <w:rsid w:val="00D31EA6"/>
    <w:rsid w:val="00D321E2"/>
    <w:rsid w:val="00D335C9"/>
    <w:rsid w:val="00D336E0"/>
    <w:rsid w:val="00D33B3C"/>
    <w:rsid w:val="00D34AFC"/>
    <w:rsid w:val="00D358FE"/>
    <w:rsid w:val="00D36ABC"/>
    <w:rsid w:val="00D36AD9"/>
    <w:rsid w:val="00D36D59"/>
    <w:rsid w:val="00D3776F"/>
    <w:rsid w:val="00D40521"/>
    <w:rsid w:val="00D416D1"/>
    <w:rsid w:val="00D41A02"/>
    <w:rsid w:val="00D41CC6"/>
    <w:rsid w:val="00D42352"/>
    <w:rsid w:val="00D42F1F"/>
    <w:rsid w:val="00D43917"/>
    <w:rsid w:val="00D43921"/>
    <w:rsid w:val="00D43975"/>
    <w:rsid w:val="00D439F2"/>
    <w:rsid w:val="00D43C4D"/>
    <w:rsid w:val="00D43D9C"/>
    <w:rsid w:val="00D43F21"/>
    <w:rsid w:val="00D441E1"/>
    <w:rsid w:val="00D445AC"/>
    <w:rsid w:val="00D44798"/>
    <w:rsid w:val="00D44A24"/>
    <w:rsid w:val="00D45BF5"/>
    <w:rsid w:val="00D45C07"/>
    <w:rsid w:val="00D45DA1"/>
    <w:rsid w:val="00D45E03"/>
    <w:rsid w:val="00D46883"/>
    <w:rsid w:val="00D46B2B"/>
    <w:rsid w:val="00D47319"/>
    <w:rsid w:val="00D4739E"/>
    <w:rsid w:val="00D5076F"/>
    <w:rsid w:val="00D5188D"/>
    <w:rsid w:val="00D51D43"/>
    <w:rsid w:val="00D524B6"/>
    <w:rsid w:val="00D52A5F"/>
    <w:rsid w:val="00D52AD8"/>
    <w:rsid w:val="00D53D26"/>
    <w:rsid w:val="00D53FD7"/>
    <w:rsid w:val="00D54108"/>
    <w:rsid w:val="00D54319"/>
    <w:rsid w:val="00D54A01"/>
    <w:rsid w:val="00D55024"/>
    <w:rsid w:val="00D55054"/>
    <w:rsid w:val="00D554E0"/>
    <w:rsid w:val="00D55743"/>
    <w:rsid w:val="00D55C76"/>
    <w:rsid w:val="00D56116"/>
    <w:rsid w:val="00D5630F"/>
    <w:rsid w:val="00D56B7A"/>
    <w:rsid w:val="00D56FF9"/>
    <w:rsid w:val="00D607C1"/>
    <w:rsid w:val="00D60E31"/>
    <w:rsid w:val="00D60F39"/>
    <w:rsid w:val="00D612CF"/>
    <w:rsid w:val="00D61CB2"/>
    <w:rsid w:val="00D62099"/>
    <w:rsid w:val="00D62316"/>
    <w:rsid w:val="00D6284F"/>
    <w:rsid w:val="00D62CA9"/>
    <w:rsid w:val="00D62CCC"/>
    <w:rsid w:val="00D62D96"/>
    <w:rsid w:val="00D62FA6"/>
    <w:rsid w:val="00D62FAA"/>
    <w:rsid w:val="00D6303D"/>
    <w:rsid w:val="00D6378D"/>
    <w:rsid w:val="00D63DC3"/>
    <w:rsid w:val="00D65DCE"/>
    <w:rsid w:val="00D668D9"/>
    <w:rsid w:val="00D66D90"/>
    <w:rsid w:val="00D670B6"/>
    <w:rsid w:val="00D672CA"/>
    <w:rsid w:val="00D674C8"/>
    <w:rsid w:val="00D6774D"/>
    <w:rsid w:val="00D705A9"/>
    <w:rsid w:val="00D71194"/>
    <w:rsid w:val="00D71355"/>
    <w:rsid w:val="00D71B19"/>
    <w:rsid w:val="00D71BB0"/>
    <w:rsid w:val="00D71D03"/>
    <w:rsid w:val="00D72793"/>
    <w:rsid w:val="00D72985"/>
    <w:rsid w:val="00D72E2B"/>
    <w:rsid w:val="00D731B4"/>
    <w:rsid w:val="00D736CF"/>
    <w:rsid w:val="00D73BD6"/>
    <w:rsid w:val="00D73F04"/>
    <w:rsid w:val="00D7472B"/>
    <w:rsid w:val="00D7521E"/>
    <w:rsid w:val="00D7554D"/>
    <w:rsid w:val="00D75755"/>
    <w:rsid w:val="00D7606E"/>
    <w:rsid w:val="00D76928"/>
    <w:rsid w:val="00D77258"/>
    <w:rsid w:val="00D77614"/>
    <w:rsid w:val="00D779B5"/>
    <w:rsid w:val="00D77B35"/>
    <w:rsid w:val="00D77F05"/>
    <w:rsid w:val="00D80073"/>
    <w:rsid w:val="00D8161B"/>
    <w:rsid w:val="00D816C4"/>
    <w:rsid w:val="00D82646"/>
    <w:rsid w:val="00D82755"/>
    <w:rsid w:val="00D82E8F"/>
    <w:rsid w:val="00D82F1D"/>
    <w:rsid w:val="00D83990"/>
    <w:rsid w:val="00D84965"/>
    <w:rsid w:val="00D84DEA"/>
    <w:rsid w:val="00D85127"/>
    <w:rsid w:val="00D86389"/>
    <w:rsid w:val="00D863DA"/>
    <w:rsid w:val="00D86463"/>
    <w:rsid w:val="00D87CD9"/>
    <w:rsid w:val="00D87DEE"/>
    <w:rsid w:val="00D87E3A"/>
    <w:rsid w:val="00D901B8"/>
    <w:rsid w:val="00D90B51"/>
    <w:rsid w:val="00D919F4"/>
    <w:rsid w:val="00D92018"/>
    <w:rsid w:val="00D92B43"/>
    <w:rsid w:val="00D92B69"/>
    <w:rsid w:val="00D92FA7"/>
    <w:rsid w:val="00D93843"/>
    <w:rsid w:val="00D93868"/>
    <w:rsid w:val="00D938CC"/>
    <w:rsid w:val="00D9424D"/>
    <w:rsid w:val="00D95415"/>
    <w:rsid w:val="00D95538"/>
    <w:rsid w:val="00D95847"/>
    <w:rsid w:val="00D95A2C"/>
    <w:rsid w:val="00D95B21"/>
    <w:rsid w:val="00D95F0D"/>
    <w:rsid w:val="00D977D3"/>
    <w:rsid w:val="00DA056C"/>
    <w:rsid w:val="00DA0F0A"/>
    <w:rsid w:val="00DA0F61"/>
    <w:rsid w:val="00DA21B2"/>
    <w:rsid w:val="00DA2820"/>
    <w:rsid w:val="00DA2884"/>
    <w:rsid w:val="00DA31B4"/>
    <w:rsid w:val="00DA4443"/>
    <w:rsid w:val="00DA45DA"/>
    <w:rsid w:val="00DA4A25"/>
    <w:rsid w:val="00DA4E1D"/>
    <w:rsid w:val="00DA5210"/>
    <w:rsid w:val="00DA59B7"/>
    <w:rsid w:val="00DA6C83"/>
    <w:rsid w:val="00DA6D03"/>
    <w:rsid w:val="00DA6E37"/>
    <w:rsid w:val="00DA7518"/>
    <w:rsid w:val="00DA763A"/>
    <w:rsid w:val="00DA7B96"/>
    <w:rsid w:val="00DA7C5D"/>
    <w:rsid w:val="00DA7FC0"/>
    <w:rsid w:val="00DB0432"/>
    <w:rsid w:val="00DB068E"/>
    <w:rsid w:val="00DB0D29"/>
    <w:rsid w:val="00DB0F73"/>
    <w:rsid w:val="00DB124C"/>
    <w:rsid w:val="00DB1CAF"/>
    <w:rsid w:val="00DB2762"/>
    <w:rsid w:val="00DB2E70"/>
    <w:rsid w:val="00DB37EE"/>
    <w:rsid w:val="00DB39C3"/>
    <w:rsid w:val="00DB4DAF"/>
    <w:rsid w:val="00DB4F00"/>
    <w:rsid w:val="00DB5897"/>
    <w:rsid w:val="00DB5E17"/>
    <w:rsid w:val="00DB67AA"/>
    <w:rsid w:val="00DB6C99"/>
    <w:rsid w:val="00DB74C0"/>
    <w:rsid w:val="00DB78A3"/>
    <w:rsid w:val="00DC0331"/>
    <w:rsid w:val="00DC0530"/>
    <w:rsid w:val="00DC06FA"/>
    <w:rsid w:val="00DC0C11"/>
    <w:rsid w:val="00DC0D81"/>
    <w:rsid w:val="00DC0DA1"/>
    <w:rsid w:val="00DC1BCE"/>
    <w:rsid w:val="00DC2BB2"/>
    <w:rsid w:val="00DC2EE8"/>
    <w:rsid w:val="00DC369C"/>
    <w:rsid w:val="00DC3F38"/>
    <w:rsid w:val="00DC4D01"/>
    <w:rsid w:val="00DC5322"/>
    <w:rsid w:val="00DC5495"/>
    <w:rsid w:val="00DC569E"/>
    <w:rsid w:val="00DC5774"/>
    <w:rsid w:val="00DC5B69"/>
    <w:rsid w:val="00DC6B05"/>
    <w:rsid w:val="00DC6DBC"/>
    <w:rsid w:val="00DC6DCB"/>
    <w:rsid w:val="00DC747F"/>
    <w:rsid w:val="00DC74E4"/>
    <w:rsid w:val="00DD0102"/>
    <w:rsid w:val="00DD0905"/>
    <w:rsid w:val="00DD09CF"/>
    <w:rsid w:val="00DD0DE5"/>
    <w:rsid w:val="00DD17BB"/>
    <w:rsid w:val="00DD1C81"/>
    <w:rsid w:val="00DD2207"/>
    <w:rsid w:val="00DD3507"/>
    <w:rsid w:val="00DD39CA"/>
    <w:rsid w:val="00DD3C68"/>
    <w:rsid w:val="00DD425F"/>
    <w:rsid w:val="00DD4C34"/>
    <w:rsid w:val="00DD5AB3"/>
    <w:rsid w:val="00DD6110"/>
    <w:rsid w:val="00DD6463"/>
    <w:rsid w:val="00DD64E1"/>
    <w:rsid w:val="00DD6531"/>
    <w:rsid w:val="00DD6E46"/>
    <w:rsid w:val="00DD6FD6"/>
    <w:rsid w:val="00DD70BA"/>
    <w:rsid w:val="00DD7D1C"/>
    <w:rsid w:val="00DE0780"/>
    <w:rsid w:val="00DE096E"/>
    <w:rsid w:val="00DE0D2A"/>
    <w:rsid w:val="00DE14B1"/>
    <w:rsid w:val="00DE14BE"/>
    <w:rsid w:val="00DE18CB"/>
    <w:rsid w:val="00DE202C"/>
    <w:rsid w:val="00DE2555"/>
    <w:rsid w:val="00DE2F7D"/>
    <w:rsid w:val="00DE324B"/>
    <w:rsid w:val="00DE339E"/>
    <w:rsid w:val="00DE443B"/>
    <w:rsid w:val="00DE49B2"/>
    <w:rsid w:val="00DE4B4B"/>
    <w:rsid w:val="00DE4FE9"/>
    <w:rsid w:val="00DE713C"/>
    <w:rsid w:val="00DE7759"/>
    <w:rsid w:val="00DE7AB3"/>
    <w:rsid w:val="00DE7CB0"/>
    <w:rsid w:val="00DF01F0"/>
    <w:rsid w:val="00DF13D0"/>
    <w:rsid w:val="00DF25CC"/>
    <w:rsid w:val="00DF2E99"/>
    <w:rsid w:val="00DF3190"/>
    <w:rsid w:val="00DF3259"/>
    <w:rsid w:val="00DF3D03"/>
    <w:rsid w:val="00DF459D"/>
    <w:rsid w:val="00DF5ACD"/>
    <w:rsid w:val="00DF5F31"/>
    <w:rsid w:val="00DF6FD7"/>
    <w:rsid w:val="00DF72E2"/>
    <w:rsid w:val="00DF7F90"/>
    <w:rsid w:val="00E001FD"/>
    <w:rsid w:val="00E00FC8"/>
    <w:rsid w:val="00E017D4"/>
    <w:rsid w:val="00E018BE"/>
    <w:rsid w:val="00E01CD2"/>
    <w:rsid w:val="00E01FD4"/>
    <w:rsid w:val="00E01FDE"/>
    <w:rsid w:val="00E0315B"/>
    <w:rsid w:val="00E03779"/>
    <w:rsid w:val="00E03D21"/>
    <w:rsid w:val="00E03F0D"/>
    <w:rsid w:val="00E04152"/>
    <w:rsid w:val="00E0484F"/>
    <w:rsid w:val="00E05A01"/>
    <w:rsid w:val="00E05DBE"/>
    <w:rsid w:val="00E06A98"/>
    <w:rsid w:val="00E06E2C"/>
    <w:rsid w:val="00E06FDF"/>
    <w:rsid w:val="00E07268"/>
    <w:rsid w:val="00E07B13"/>
    <w:rsid w:val="00E107C3"/>
    <w:rsid w:val="00E108C3"/>
    <w:rsid w:val="00E1187B"/>
    <w:rsid w:val="00E11AF9"/>
    <w:rsid w:val="00E11B8C"/>
    <w:rsid w:val="00E12278"/>
    <w:rsid w:val="00E12D10"/>
    <w:rsid w:val="00E1459C"/>
    <w:rsid w:val="00E14BCA"/>
    <w:rsid w:val="00E151D9"/>
    <w:rsid w:val="00E1568D"/>
    <w:rsid w:val="00E15695"/>
    <w:rsid w:val="00E15EAF"/>
    <w:rsid w:val="00E17309"/>
    <w:rsid w:val="00E17740"/>
    <w:rsid w:val="00E214A3"/>
    <w:rsid w:val="00E214C0"/>
    <w:rsid w:val="00E21579"/>
    <w:rsid w:val="00E21B70"/>
    <w:rsid w:val="00E21DD9"/>
    <w:rsid w:val="00E22499"/>
    <w:rsid w:val="00E2323C"/>
    <w:rsid w:val="00E233FF"/>
    <w:rsid w:val="00E245B9"/>
    <w:rsid w:val="00E24A04"/>
    <w:rsid w:val="00E25152"/>
    <w:rsid w:val="00E25295"/>
    <w:rsid w:val="00E256A7"/>
    <w:rsid w:val="00E26B7C"/>
    <w:rsid w:val="00E27224"/>
    <w:rsid w:val="00E272D8"/>
    <w:rsid w:val="00E27340"/>
    <w:rsid w:val="00E27880"/>
    <w:rsid w:val="00E27A27"/>
    <w:rsid w:val="00E27EC6"/>
    <w:rsid w:val="00E305E7"/>
    <w:rsid w:val="00E30A2B"/>
    <w:rsid w:val="00E316D3"/>
    <w:rsid w:val="00E31834"/>
    <w:rsid w:val="00E319B5"/>
    <w:rsid w:val="00E31C01"/>
    <w:rsid w:val="00E31CA0"/>
    <w:rsid w:val="00E323C7"/>
    <w:rsid w:val="00E329D8"/>
    <w:rsid w:val="00E32AEB"/>
    <w:rsid w:val="00E32D51"/>
    <w:rsid w:val="00E33501"/>
    <w:rsid w:val="00E33699"/>
    <w:rsid w:val="00E33D9E"/>
    <w:rsid w:val="00E33E92"/>
    <w:rsid w:val="00E351B2"/>
    <w:rsid w:val="00E3568C"/>
    <w:rsid w:val="00E35841"/>
    <w:rsid w:val="00E3623A"/>
    <w:rsid w:val="00E3692F"/>
    <w:rsid w:val="00E36C28"/>
    <w:rsid w:val="00E377EF"/>
    <w:rsid w:val="00E41045"/>
    <w:rsid w:val="00E41227"/>
    <w:rsid w:val="00E4191E"/>
    <w:rsid w:val="00E41AC4"/>
    <w:rsid w:val="00E41AEC"/>
    <w:rsid w:val="00E41EBC"/>
    <w:rsid w:val="00E420C5"/>
    <w:rsid w:val="00E42230"/>
    <w:rsid w:val="00E42833"/>
    <w:rsid w:val="00E4290D"/>
    <w:rsid w:val="00E43E1F"/>
    <w:rsid w:val="00E453D3"/>
    <w:rsid w:val="00E45593"/>
    <w:rsid w:val="00E45D39"/>
    <w:rsid w:val="00E45DFD"/>
    <w:rsid w:val="00E471DB"/>
    <w:rsid w:val="00E472AF"/>
    <w:rsid w:val="00E474F3"/>
    <w:rsid w:val="00E47BF5"/>
    <w:rsid w:val="00E503B0"/>
    <w:rsid w:val="00E511AB"/>
    <w:rsid w:val="00E511F5"/>
    <w:rsid w:val="00E5266F"/>
    <w:rsid w:val="00E5273D"/>
    <w:rsid w:val="00E52747"/>
    <w:rsid w:val="00E52FC9"/>
    <w:rsid w:val="00E5327D"/>
    <w:rsid w:val="00E5342F"/>
    <w:rsid w:val="00E5343F"/>
    <w:rsid w:val="00E53ABF"/>
    <w:rsid w:val="00E54B00"/>
    <w:rsid w:val="00E54BA4"/>
    <w:rsid w:val="00E54CEB"/>
    <w:rsid w:val="00E55028"/>
    <w:rsid w:val="00E559D8"/>
    <w:rsid w:val="00E55BCB"/>
    <w:rsid w:val="00E5666A"/>
    <w:rsid w:val="00E57435"/>
    <w:rsid w:val="00E6008D"/>
    <w:rsid w:val="00E60293"/>
    <w:rsid w:val="00E60474"/>
    <w:rsid w:val="00E609F9"/>
    <w:rsid w:val="00E60B11"/>
    <w:rsid w:val="00E60BDA"/>
    <w:rsid w:val="00E613F2"/>
    <w:rsid w:val="00E650F8"/>
    <w:rsid w:val="00E65A48"/>
    <w:rsid w:val="00E665CA"/>
    <w:rsid w:val="00E66F10"/>
    <w:rsid w:val="00E676BA"/>
    <w:rsid w:val="00E6781D"/>
    <w:rsid w:val="00E70076"/>
    <w:rsid w:val="00E70E61"/>
    <w:rsid w:val="00E70EC6"/>
    <w:rsid w:val="00E713F3"/>
    <w:rsid w:val="00E7175F"/>
    <w:rsid w:val="00E7207B"/>
    <w:rsid w:val="00E732F1"/>
    <w:rsid w:val="00E73575"/>
    <w:rsid w:val="00E735A3"/>
    <w:rsid w:val="00E738F0"/>
    <w:rsid w:val="00E73A96"/>
    <w:rsid w:val="00E73B00"/>
    <w:rsid w:val="00E73E25"/>
    <w:rsid w:val="00E74918"/>
    <w:rsid w:val="00E74A48"/>
    <w:rsid w:val="00E75301"/>
    <w:rsid w:val="00E756CE"/>
    <w:rsid w:val="00E757BC"/>
    <w:rsid w:val="00E760E9"/>
    <w:rsid w:val="00E76556"/>
    <w:rsid w:val="00E77A52"/>
    <w:rsid w:val="00E77CD9"/>
    <w:rsid w:val="00E80127"/>
    <w:rsid w:val="00E8016D"/>
    <w:rsid w:val="00E80642"/>
    <w:rsid w:val="00E806D7"/>
    <w:rsid w:val="00E810B2"/>
    <w:rsid w:val="00E81BF7"/>
    <w:rsid w:val="00E8238A"/>
    <w:rsid w:val="00E825ED"/>
    <w:rsid w:val="00E82CA5"/>
    <w:rsid w:val="00E83E93"/>
    <w:rsid w:val="00E84077"/>
    <w:rsid w:val="00E84105"/>
    <w:rsid w:val="00E84D0E"/>
    <w:rsid w:val="00E84EDF"/>
    <w:rsid w:val="00E85301"/>
    <w:rsid w:val="00E85706"/>
    <w:rsid w:val="00E85E27"/>
    <w:rsid w:val="00E86005"/>
    <w:rsid w:val="00E860C6"/>
    <w:rsid w:val="00E8658A"/>
    <w:rsid w:val="00E87DD9"/>
    <w:rsid w:val="00E91E36"/>
    <w:rsid w:val="00E924C9"/>
    <w:rsid w:val="00E92624"/>
    <w:rsid w:val="00E92B04"/>
    <w:rsid w:val="00E92B22"/>
    <w:rsid w:val="00E93CF1"/>
    <w:rsid w:val="00E94441"/>
    <w:rsid w:val="00E94B9E"/>
    <w:rsid w:val="00E956D7"/>
    <w:rsid w:val="00E96282"/>
    <w:rsid w:val="00E96C0D"/>
    <w:rsid w:val="00E97F31"/>
    <w:rsid w:val="00EA1C6B"/>
    <w:rsid w:val="00EA2F5E"/>
    <w:rsid w:val="00EA3296"/>
    <w:rsid w:val="00EA42DC"/>
    <w:rsid w:val="00EA4423"/>
    <w:rsid w:val="00EA4429"/>
    <w:rsid w:val="00EA494B"/>
    <w:rsid w:val="00EA639D"/>
    <w:rsid w:val="00EB0410"/>
    <w:rsid w:val="00EB18D8"/>
    <w:rsid w:val="00EB26B5"/>
    <w:rsid w:val="00EB2996"/>
    <w:rsid w:val="00EB2A4B"/>
    <w:rsid w:val="00EB2E9D"/>
    <w:rsid w:val="00EB321C"/>
    <w:rsid w:val="00EB327F"/>
    <w:rsid w:val="00EB3427"/>
    <w:rsid w:val="00EB407D"/>
    <w:rsid w:val="00EB4166"/>
    <w:rsid w:val="00EB4F89"/>
    <w:rsid w:val="00EB5070"/>
    <w:rsid w:val="00EB53DC"/>
    <w:rsid w:val="00EB5468"/>
    <w:rsid w:val="00EB5523"/>
    <w:rsid w:val="00EB5A15"/>
    <w:rsid w:val="00EB60FD"/>
    <w:rsid w:val="00EB6731"/>
    <w:rsid w:val="00EB6FB1"/>
    <w:rsid w:val="00EC0259"/>
    <w:rsid w:val="00EC0B54"/>
    <w:rsid w:val="00EC10CA"/>
    <w:rsid w:val="00EC12CE"/>
    <w:rsid w:val="00EC254F"/>
    <w:rsid w:val="00EC28CC"/>
    <w:rsid w:val="00EC3654"/>
    <w:rsid w:val="00EC372B"/>
    <w:rsid w:val="00EC40E0"/>
    <w:rsid w:val="00EC44CF"/>
    <w:rsid w:val="00EC47E3"/>
    <w:rsid w:val="00EC4ACB"/>
    <w:rsid w:val="00EC4BC4"/>
    <w:rsid w:val="00EC4F3E"/>
    <w:rsid w:val="00EC4F98"/>
    <w:rsid w:val="00EC6094"/>
    <w:rsid w:val="00EC6248"/>
    <w:rsid w:val="00EC627A"/>
    <w:rsid w:val="00EC6F8F"/>
    <w:rsid w:val="00EC712B"/>
    <w:rsid w:val="00EC7294"/>
    <w:rsid w:val="00EC7A90"/>
    <w:rsid w:val="00EC7D62"/>
    <w:rsid w:val="00ED1CCE"/>
    <w:rsid w:val="00ED2628"/>
    <w:rsid w:val="00ED2ABE"/>
    <w:rsid w:val="00ED355A"/>
    <w:rsid w:val="00ED3F91"/>
    <w:rsid w:val="00ED52D0"/>
    <w:rsid w:val="00ED52F0"/>
    <w:rsid w:val="00ED5618"/>
    <w:rsid w:val="00ED6087"/>
    <w:rsid w:val="00ED6184"/>
    <w:rsid w:val="00ED64ED"/>
    <w:rsid w:val="00ED68C5"/>
    <w:rsid w:val="00ED6D71"/>
    <w:rsid w:val="00ED6DF9"/>
    <w:rsid w:val="00ED6E67"/>
    <w:rsid w:val="00ED7B24"/>
    <w:rsid w:val="00EE0214"/>
    <w:rsid w:val="00EE0F15"/>
    <w:rsid w:val="00EE10A9"/>
    <w:rsid w:val="00EE127A"/>
    <w:rsid w:val="00EE1298"/>
    <w:rsid w:val="00EE1B52"/>
    <w:rsid w:val="00EE1E24"/>
    <w:rsid w:val="00EE2CDD"/>
    <w:rsid w:val="00EE2CFF"/>
    <w:rsid w:val="00EE3023"/>
    <w:rsid w:val="00EE39D3"/>
    <w:rsid w:val="00EE4365"/>
    <w:rsid w:val="00EE4BB8"/>
    <w:rsid w:val="00EE4E72"/>
    <w:rsid w:val="00EE502D"/>
    <w:rsid w:val="00EE5F37"/>
    <w:rsid w:val="00EE73C3"/>
    <w:rsid w:val="00EE7747"/>
    <w:rsid w:val="00EF00C4"/>
    <w:rsid w:val="00EF0819"/>
    <w:rsid w:val="00EF08BC"/>
    <w:rsid w:val="00EF0906"/>
    <w:rsid w:val="00EF1244"/>
    <w:rsid w:val="00EF20DD"/>
    <w:rsid w:val="00EF2690"/>
    <w:rsid w:val="00EF28BB"/>
    <w:rsid w:val="00EF3799"/>
    <w:rsid w:val="00EF3B53"/>
    <w:rsid w:val="00EF3BCD"/>
    <w:rsid w:val="00EF43BA"/>
    <w:rsid w:val="00EF4430"/>
    <w:rsid w:val="00EF5AC1"/>
    <w:rsid w:val="00EF5B4A"/>
    <w:rsid w:val="00EF5B8C"/>
    <w:rsid w:val="00EF5BE8"/>
    <w:rsid w:val="00EF6230"/>
    <w:rsid w:val="00EF6BEC"/>
    <w:rsid w:val="00EF7404"/>
    <w:rsid w:val="00EF774B"/>
    <w:rsid w:val="00F000AF"/>
    <w:rsid w:val="00F00637"/>
    <w:rsid w:val="00F00952"/>
    <w:rsid w:val="00F00A43"/>
    <w:rsid w:val="00F00A86"/>
    <w:rsid w:val="00F00C7A"/>
    <w:rsid w:val="00F01C0F"/>
    <w:rsid w:val="00F01D33"/>
    <w:rsid w:val="00F01E99"/>
    <w:rsid w:val="00F02CE4"/>
    <w:rsid w:val="00F02D67"/>
    <w:rsid w:val="00F0375A"/>
    <w:rsid w:val="00F03AE4"/>
    <w:rsid w:val="00F03D4E"/>
    <w:rsid w:val="00F04F14"/>
    <w:rsid w:val="00F05061"/>
    <w:rsid w:val="00F0547E"/>
    <w:rsid w:val="00F0571B"/>
    <w:rsid w:val="00F05CAA"/>
    <w:rsid w:val="00F0712F"/>
    <w:rsid w:val="00F07C4C"/>
    <w:rsid w:val="00F10118"/>
    <w:rsid w:val="00F108EF"/>
    <w:rsid w:val="00F10E15"/>
    <w:rsid w:val="00F10FFE"/>
    <w:rsid w:val="00F1123D"/>
    <w:rsid w:val="00F11372"/>
    <w:rsid w:val="00F1137D"/>
    <w:rsid w:val="00F139A0"/>
    <w:rsid w:val="00F13F2C"/>
    <w:rsid w:val="00F140AC"/>
    <w:rsid w:val="00F143DC"/>
    <w:rsid w:val="00F14B4D"/>
    <w:rsid w:val="00F15195"/>
    <w:rsid w:val="00F1527D"/>
    <w:rsid w:val="00F15319"/>
    <w:rsid w:val="00F15716"/>
    <w:rsid w:val="00F15C9F"/>
    <w:rsid w:val="00F15CC6"/>
    <w:rsid w:val="00F16A01"/>
    <w:rsid w:val="00F16E24"/>
    <w:rsid w:val="00F17377"/>
    <w:rsid w:val="00F178EC"/>
    <w:rsid w:val="00F17A10"/>
    <w:rsid w:val="00F20090"/>
    <w:rsid w:val="00F200A7"/>
    <w:rsid w:val="00F20200"/>
    <w:rsid w:val="00F210C2"/>
    <w:rsid w:val="00F213FD"/>
    <w:rsid w:val="00F214E5"/>
    <w:rsid w:val="00F215AC"/>
    <w:rsid w:val="00F216C6"/>
    <w:rsid w:val="00F21949"/>
    <w:rsid w:val="00F21CD5"/>
    <w:rsid w:val="00F21E01"/>
    <w:rsid w:val="00F22678"/>
    <w:rsid w:val="00F22A7C"/>
    <w:rsid w:val="00F22C83"/>
    <w:rsid w:val="00F22D8D"/>
    <w:rsid w:val="00F231A0"/>
    <w:rsid w:val="00F2346C"/>
    <w:rsid w:val="00F24480"/>
    <w:rsid w:val="00F24CCA"/>
    <w:rsid w:val="00F259FC"/>
    <w:rsid w:val="00F26462"/>
    <w:rsid w:val="00F26B24"/>
    <w:rsid w:val="00F26C36"/>
    <w:rsid w:val="00F27E95"/>
    <w:rsid w:val="00F27F79"/>
    <w:rsid w:val="00F300F6"/>
    <w:rsid w:val="00F302D6"/>
    <w:rsid w:val="00F3119B"/>
    <w:rsid w:val="00F31A23"/>
    <w:rsid w:val="00F31F92"/>
    <w:rsid w:val="00F324EE"/>
    <w:rsid w:val="00F32774"/>
    <w:rsid w:val="00F330EF"/>
    <w:rsid w:val="00F33BF5"/>
    <w:rsid w:val="00F33F1B"/>
    <w:rsid w:val="00F35500"/>
    <w:rsid w:val="00F3562D"/>
    <w:rsid w:val="00F35DB8"/>
    <w:rsid w:val="00F35F37"/>
    <w:rsid w:val="00F36516"/>
    <w:rsid w:val="00F36DAB"/>
    <w:rsid w:val="00F376F4"/>
    <w:rsid w:val="00F37799"/>
    <w:rsid w:val="00F378BB"/>
    <w:rsid w:val="00F37FB8"/>
    <w:rsid w:val="00F405A8"/>
    <w:rsid w:val="00F40871"/>
    <w:rsid w:val="00F40915"/>
    <w:rsid w:val="00F409F8"/>
    <w:rsid w:val="00F42566"/>
    <w:rsid w:val="00F42632"/>
    <w:rsid w:val="00F427C0"/>
    <w:rsid w:val="00F42892"/>
    <w:rsid w:val="00F4375A"/>
    <w:rsid w:val="00F43782"/>
    <w:rsid w:val="00F43A19"/>
    <w:rsid w:val="00F443A6"/>
    <w:rsid w:val="00F44650"/>
    <w:rsid w:val="00F44838"/>
    <w:rsid w:val="00F455C5"/>
    <w:rsid w:val="00F4574B"/>
    <w:rsid w:val="00F4599E"/>
    <w:rsid w:val="00F45D6E"/>
    <w:rsid w:val="00F45EE6"/>
    <w:rsid w:val="00F46797"/>
    <w:rsid w:val="00F46882"/>
    <w:rsid w:val="00F468D4"/>
    <w:rsid w:val="00F468FB"/>
    <w:rsid w:val="00F46C7E"/>
    <w:rsid w:val="00F50107"/>
    <w:rsid w:val="00F501BE"/>
    <w:rsid w:val="00F50890"/>
    <w:rsid w:val="00F50C1E"/>
    <w:rsid w:val="00F5105E"/>
    <w:rsid w:val="00F5190B"/>
    <w:rsid w:val="00F519B7"/>
    <w:rsid w:val="00F52552"/>
    <w:rsid w:val="00F5263D"/>
    <w:rsid w:val="00F5265A"/>
    <w:rsid w:val="00F5363F"/>
    <w:rsid w:val="00F53698"/>
    <w:rsid w:val="00F53DBB"/>
    <w:rsid w:val="00F5427D"/>
    <w:rsid w:val="00F543B3"/>
    <w:rsid w:val="00F54CF0"/>
    <w:rsid w:val="00F556B7"/>
    <w:rsid w:val="00F55721"/>
    <w:rsid w:val="00F55D62"/>
    <w:rsid w:val="00F563F7"/>
    <w:rsid w:val="00F56E76"/>
    <w:rsid w:val="00F57538"/>
    <w:rsid w:val="00F57ABE"/>
    <w:rsid w:val="00F600D5"/>
    <w:rsid w:val="00F60282"/>
    <w:rsid w:val="00F60C24"/>
    <w:rsid w:val="00F62D36"/>
    <w:rsid w:val="00F62FCB"/>
    <w:rsid w:val="00F637EA"/>
    <w:rsid w:val="00F63D1D"/>
    <w:rsid w:val="00F646D4"/>
    <w:rsid w:val="00F65749"/>
    <w:rsid w:val="00F66A23"/>
    <w:rsid w:val="00F66C82"/>
    <w:rsid w:val="00F672B4"/>
    <w:rsid w:val="00F674BB"/>
    <w:rsid w:val="00F67DDA"/>
    <w:rsid w:val="00F708C2"/>
    <w:rsid w:val="00F714F8"/>
    <w:rsid w:val="00F715AA"/>
    <w:rsid w:val="00F716CA"/>
    <w:rsid w:val="00F72575"/>
    <w:rsid w:val="00F726DE"/>
    <w:rsid w:val="00F73933"/>
    <w:rsid w:val="00F739C9"/>
    <w:rsid w:val="00F741A3"/>
    <w:rsid w:val="00F7470B"/>
    <w:rsid w:val="00F74D05"/>
    <w:rsid w:val="00F74D23"/>
    <w:rsid w:val="00F75816"/>
    <w:rsid w:val="00F76204"/>
    <w:rsid w:val="00F766F4"/>
    <w:rsid w:val="00F7717B"/>
    <w:rsid w:val="00F77214"/>
    <w:rsid w:val="00F77AFA"/>
    <w:rsid w:val="00F8029A"/>
    <w:rsid w:val="00F80326"/>
    <w:rsid w:val="00F812F1"/>
    <w:rsid w:val="00F82793"/>
    <w:rsid w:val="00F83C46"/>
    <w:rsid w:val="00F83F02"/>
    <w:rsid w:val="00F840F5"/>
    <w:rsid w:val="00F8570B"/>
    <w:rsid w:val="00F85D31"/>
    <w:rsid w:val="00F861FE"/>
    <w:rsid w:val="00F8691D"/>
    <w:rsid w:val="00F86B29"/>
    <w:rsid w:val="00F86DFE"/>
    <w:rsid w:val="00F86ECD"/>
    <w:rsid w:val="00F874DE"/>
    <w:rsid w:val="00F90188"/>
    <w:rsid w:val="00F90387"/>
    <w:rsid w:val="00F904D7"/>
    <w:rsid w:val="00F905BE"/>
    <w:rsid w:val="00F91377"/>
    <w:rsid w:val="00F91E87"/>
    <w:rsid w:val="00F92081"/>
    <w:rsid w:val="00F92419"/>
    <w:rsid w:val="00F92E07"/>
    <w:rsid w:val="00F939FA"/>
    <w:rsid w:val="00F9496E"/>
    <w:rsid w:val="00F949CF"/>
    <w:rsid w:val="00F9621D"/>
    <w:rsid w:val="00F962C6"/>
    <w:rsid w:val="00F96436"/>
    <w:rsid w:val="00F9688E"/>
    <w:rsid w:val="00F972A1"/>
    <w:rsid w:val="00F97573"/>
    <w:rsid w:val="00F97747"/>
    <w:rsid w:val="00F97C24"/>
    <w:rsid w:val="00FA008C"/>
    <w:rsid w:val="00FA1FD1"/>
    <w:rsid w:val="00FA2471"/>
    <w:rsid w:val="00FA2A0B"/>
    <w:rsid w:val="00FA3DED"/>
    <w:rsid w:val="00FA40BA"/>
    <w:rsid w:val="00FA4409"/>
    <w:rsid w:val="00FA4CE0"/>
    <w:rsid w:val="00FA5358"/>
    <w:rsid w:val="00FA5DE6"/>
    <w:rsid w:val="00FA6547"/>
    <w:rsid w:val="00FA68A5"/>
    <w:rsid w:val="00FA6979"/>
    <w:rsid w:val="00FA6C2C"/>
    <w:rsid w:val="00FA6F19"/>
    <w:rsid w:val="00FA75ED"/>
    <w:rsid w:val="00FA7A03"/>
    <w:rsid w:val="00FB0060"/>
    <w:rsid w:val="00FB045B"/>
    <w:rsid w:val="00FB05B0"/>
    <w:rsid w:val="00FB0673"/>
    <w:rsid w:val="00FB0B00"/>
    <w:rsid w:val="00FB0C84"/>
    <w:rsid w:val="00FB0EAD"/>
    <w:rsid w:val="00FB19D6"/>
    <w:rsid w:val="00FB1B48"/>
    <w:rsid w:val="00FB20A8"/>
    <w:rsid w:val="00FB317E"/>
    <w:rsid w:val="00FB349B"/>
    <w:rsid w:val="00FB3562"/>
    <w:rsid w:val="00FB35DC"/>
    <w:rsid w:val="00FB43AF"/>
    <w:rsid w:val="00FB4D4F"/>
    <w:rsid w:val="00FB5696"/>
    <w:rsid w:val="00FB6376"/>
    <w:rsid w:val="00FB6A2E"/>
    <w:rsid w:val="00FB6FCE"/>
    <w:rsid w:val="00FB7F25"/>
    <w:rsid w:val="00FB7F76"/>
    <w:rsid w:val="00FC099F"/>
    <w:rsid w:val="00FC1324"/>
    <w:rsid w:val="00FC20B0"/>
    <w:rsid w:val="00FC2567"/>
    <w:rsid w:val="00FC2C3C"/>
    <w:rsid w:val="00FC37C0"/>
    <w:rsid w:val="00FC38C8"/>
    <w:rsid w:val="00FC4502"/>
    <w:rsid w:val="00FC4971"/>
    <w:rsid w:val="00FC4CAB"/>
    <w:rsid w:val="00FC58A8"/>
    <w:rsid w:val="00FC6265"/>
    <w:rsid w:val="00FC6327"/>
    <w:rsid w:val="00FC63C0"/>
    <w:rsid w:val="00FC74C5"/>
    <w:rsid w:val="00FC75FD"/>
    <w:rsid w:val="00FC7640"/>
    <w:rsid w:val="00FC76D0"/>
    <w:rsid w:val="00FC7898"/>
    <w:rsid w:val="00FC7EFD"/>
    <w:rsid w:val="00FD0820"/>
    <w:rsid w:val="00FD0D2E"/>
    <w:rsid w:val="00FD1504"/>
    <w:rsid w:val="00FD2539"/>
    <w:rsid w:val="00FD3090"/>
    <w:rsid w:val="00FD31CA"/>
    <w:rsid w:val="00FD35EB"/>
    <w:rsid w:val="00FD3A6A"/>
    <w:rsid w:val="00FD41E1"/>
    <w:rsid w:val="00FD440E"/>
    <w:rsid w:val="00FD4423"/>
    <w:rsid w:val="00FD4F71"/>
    <w:rsid w:val="00FD544D"/>
    <w:rsid w:val="00FD6646"/>
    <w:rsid w:val="00FD6B96"/>
    <w:rsid w:val="00FD728B"/>
    <w:rsid w:val="00FD7B44"/>
    <w:rsid w:val="00FD7E02"/>
    <w:rsid w:val="00FE0139"/>
    <w:rsid w:val="00FE0862"/>
    <w:rsid w:val="00FE12F0"/>
    <w:rsid w:val="00FE1857"/>
    <w:rsid w:val="00FE2497"/>
    <w:rsid w:val="00FE2526"/>
    <w:rsid w:val="00FE3DD8"/>
    <w:rsid w:val="00FE3E8B"/>
    <w:rsid w:val="00FE4107"/>
    <w:rsid w:val="00FE4C6C"/>
    <w:rsid w:val="00FE4CB5"/>
    <w:rsid w:val="00FE4D95"/>
    <w:rsid w:val="00FE5335"/>
    <w:rsid w:val="00FE536E"/>
    <w:rsid w:val="00FE53F7"/>
    <w:rsid w:val="00FE5A00"/>
    <w:rsid w:val="00FE6357"/>
    <w:rsid w:val="00FE651B"/>
    <w:rsid w:val="00FE6E11"/>
    <w:rsid w:val="00FE7318"/>
    <w:rsid w:val="00FF1134"/>
    <w:rsid w:val="00FF155B"/>
    <w:rsid w:val="00FF182A"/>
    <w:rsid w:val="00FF1DEF"/>
    <w:rsid w:val="00FF1F34"/>
    <w:rsid w:val="00FF2048"/>
    <w:rsid w:val="00FF2184"/>
    <w:rsid w:val="00FF2D2E"/>
    <w:rsid w:val="00FF3112"/>
    <w:rsid w:val="00FF35E6"/>
    <w:rsid w:val="00FF3A83"/>
    <w:rsid w:val="00FF49E4"/>
    <w:rsid w:val="00FF4F94"/>
    <w:rsid w:val="00FF50F7"/>
    <w:rsid w:val="00FF5211"/>
    <w:rsid w:val="00FF5A37"/>
    <w:rsid w:val="00FF5E1B"/>
    <w:rsid w:val="00FF66FA"/>
    <w:rsid w:val="00FF7314"/>
    <w:rsid w:val="00FF77AB"/>
    <w:rsid w:val="00FF7B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6FEDC"/>
  <w15:docId w15:val="{8B0A4102-D015-4758-B46C-9CD11FE84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Calibri" w:hAnsi="Book Antiqu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AB3"/>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6AB"/>
    <w:pPr>
      <w:tabs>
        <w:tab w:val="center" w:pos="4680"/>
        <w:tab w:val="right" w:pos="9360"/>
      </w:tabs>
    </w:pPr>
  </w:style>
  <w:style w:type="character" w:customStyle="1" w:styleId="HeaderChar">
    <w:name w:val="Header Char"/>
    <w:basedOn w:val="DefaultParagraphFont"/>
    <w:link w:val="Header"/>
    <w:uiPriority w:val="99"/>
    <w:rsid w:val="004B46AB"/>
    <w:rPr>
      <w:rFonts w:ascii="Calibri" w:eastAsia="Times New Roman" w:hAnsi="Calibri"/>
      <w:sz w:val="22"/>
      <w:szCs w:val="22"/>
    </w:rPr>
  </w:style>
  <w:style w:type="paragraph" w:styleId="Footer">
    <w:name w:val="footer"/>
    <w:basedOn w:val="Normal"/>
    <w:link w:val="FooterChar"/>
    <w:uiPriority w:val="99"/>
    <w:unhideWhenUsed/>
    <w:rsid w:val="004B46AB"/>
    <w:pPr>
      <w:tabs>
        <w:tab w:val="center" w:pos="4680"/>
        <w:tab w:val="right" w:pos="9360"/>
      </w:tabs>
    </w:pPr>
  </w:style>
  <w:style w:type="character" w:customStyle="1" w:styleId="FooterChar">
    <w:name w:val="Footer Char"/>
    <w:basedOn w:val="DefaultParagraphFont"/>
    <w:link w:val="Footer"/>
    <w:uiPriority w:val="99"/>
    <w:rsid w:val="004B46AB"/>
    <w:rPr>
      <w:rFonts w:ascii="Calibri" w:eastAsia="Times New Roman" w:hAnsi="Calibri"/>
      <w:sz w:val="22"/>
      <w:szCs w:val="22"/>
    </w:rPr>
  </w:style>
  <w:style w:type="paragraph" w:styleId="BalloonText">
    <w:name w:val="Balloon Text"/>
    <w:basedOn w:val="Normal"/>
    <w:link w:val="BalloonTextChar"/>
    <w:uiPriority w:val="99"/>
    <w:semiHidden/>
    <w:unhideWhenUsed/>
    <w:rsid w:val="004B46AB"/>
    <w:rPr>
      <w:rFonts w:ascii="Tahoma" w:hAnsi="Tahoma" w:cs="Tahoma"/>
      <w:sz w:val="16"/>
      <w:szCs w:val="16"/>
    </w:rPr>
  </w:style>
  <w:style w:type="character" w:customStyle="1" w:styleId="BalloonTextChar">
    <w:name w:val="Balloon Text Char"/>
    <w:basedOn w:val="DefaultParagraphFont"/>
    <w:link w:val="BalloonText"/>
    <w:uiPriority w:val="99"/>
    <w:semiHidden/>
    <w:rsid w:val="004B46AB"/>
    <w:rPr>
      <w:rFonts w:ascii="Tahoma" w:eastAsia="Times New Roman" w:hAnsi="Tahoma" w:cs="Tahoma"/>
      <w:sz w:val="16"/>
      <w:szCs w:val="16"/>
    </w:rPr>
  </w:style>
  <w:style w:type="paragraph" w:styleId="NoSpacing">
    <w:name w:val="No Spacing"/>
    <w:link w:val="NoSpacingChar"/>
    <w:uiPriority w:val="1"/>
    <w:qFormat/>
    <w:rsid w:val="00AC72C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C72C9"/>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514B6D"/>
    <w:rPr>
      <w:color w:val="666666"/>
    </w:rPr>
  </w:style>
  <w:style w:type="character" w:styleId="Hyperlink">
    <w:name w:val="Hyperlink"/>
    <w:basedOn w:val="DefaultParagraphFont"/>
    <w:uiPriority w:val="99"/>
    <w:unhideWhenUsed/>
    <w:rsid w:val="00E14BCA"/>
    <w:rPr>
      <w:color w:val="0000FF" w:themeColor="hyperlink"/>
      <w:u w:val="single"/>
    </w:rPr>
  </w:style>
  <w:style w:type="character" w:styleId="UnresolvedMention">
    <w:name w:val="Unresolved Mention"/>
    <w:basedOn w:val="DefaultParagraphFont"/>
    <w:uiPriority w:val="99"/>
    <w:semiHidden/>
    <w:unhideWhenUsed/>
    <w:rsid w:val="00E14BCA"/>
    <w:rPr>
      <w:color w:val="605E5C"/>
      <w:shd w:val="clear" w:color="auto" w:fill="E1DFDD"/>
    </w:rPr>
  </w:style>
  <w:style w:type="paragraph" w:styleId="NormalWeb">
    <w:name w:val="Normal (Web)"/>
    <w:basedOn w:val="Normal"/>
    <w:uiPriority w:val="99"/>
    <w:semiHidden/>
    <w:unhideWhenUsed/>
    <w:rsid w:val="00B62584"/>
    <w:rPr>
      <w:rFonts w:ascii="Times New Roman" w:hAnsi="Times New Roman"/>
      <w:sz w:val="24"/>
      <w:szCs w:val="24"/>
    </w:rPr>
  </w:style>
  <w:style w:type="paragraph" w:styleId="ListParagraph">
    <w:name w:val="List Paragraph"/>
    <w:basedOn w:val="Normal"/>
    <w:uiPriority w:val="34"/>
    <w:qFormat/>
    <w:rsid w:val="00363555"/>
    <w:pPr>
      <w:ind w:left="720"/>
      <w:contextualSpacing/>
    </w:pPr>
  </w:style>
  <w:style w:type="character" w:styleId="FollowedHyperlink">
    <w:name w:val="FollowedHyperlink"/>
    <w:basedOn w:val="DefaultParagraphFont"/>
    <w:uiPriority w:val="99"/>
    <w:semiHidden/>
    <w:unhideWhenUsed/>
    <w:rsid w:val="00905689"/>
    <w:rPr>
      <w:color w:val="800080" w:themeColor="followedHyperlink"/>
      <w:u w:val="single"/>
    </w:rPr>
  </w:style>
  <w:style w:type="table" w:styleId="TableGrid">
    <w:name w:val="Table Grid"/>
    <w:basedOn w:val="TableNormal"/>
    <w:uiPriority w:val="59"/>
    <w:rsid w:val="005F5F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F5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13C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C404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1474">
      <w:bodyDiv w:val="1"/>
      <w:marLeft w:val="0"/>
      <w:marRight w:val="0"/>
      <w:marTop w:val="0"/>
      <w:marBottom w:val="0"/>
      <w:divBdr>
        <w:top w:val="none" w:sz="0" w:space="0" w:color="auto"/>
        <w:left w:val="none" w:sz="0" w:space="0" w:color="auto"/>
        <w:bottom w:val="none" w:sz="0" w:space="0" w:color="auto"/>
        <w:right w:val="none" w:sz="0" w:space="0" w:color="auto"/>
      </w:divBdr>
      <w:divsChild>
        <w:div w:id="932125508">
          <w:marLeft w:val="0"/>
          <w:marRight w:val="0"/>
          <w:marTop w:val="0"/>
          <w:marBottom w:val="0"/>
          <w:divBdr>
            <w:top w:val="none" w:sz="0" w:space="0" w:color="auto"/>
            <w:left w:val="none" w:sz="0" w:space="0" w:color="auto"/>
            <w:bottom w:val="none" w:sz="0" w:space="0" w:color="auto"/>
            <w:right w:val="none" w:sz="0" w:space="0" w:color="auto"/>
          </w:divBdr>
        </w:div>
      </w:divsChild>
    </w:div>
    <w:div w:id="40709953">
      <w:bodyDiv w:val="1"/>
      <w:marLeft w:val="0"/>
      <w:marRight w:val="0"/>
      <w:marTop w:val="0"/>
      <w:marBottom w:val="0"/>
      <w:divBdr>
        <w:top w:val="none" w:sz="0" w:space="0" w:color="auto"/>
        <w:left w:val="none" w:sz="0" w:space="0" w:color="auto"/>
        <w:bottom w:val="none" w:sz="0" w:space="0" w:color="auto"/>
        <w:right w:val="none" w:sz="0" w:space="0" w:color="auto"/>
      </w:divBdr>
      <w:divsChild>
        <w:div w:id="755446734">
          <w:marLeft w:val="-720"/>
          <w:marRight w:val="0"/>
          <w:marTop w:val="0"/>
          <w:marBottom w:val="0"/>
          <w:divBdr>
            <w:top w:val="none" w:sz="0" w:space="0" w:color="auto"/>
            <w:left w:val="none" w:sz="0" w:space="0" w:color="auto"/>
            <w:bottom w:val="none" w:sz="0" w:space="0" w:color="auto"/>
            <w:right w:val="none" w:sz="0" w:space="0" w:color="auto"/>
          </w:divBdr>
        </w:div>
      </w:divsChild>
    </w:div>
    <w:div w:id="47656456">
      <w:bodyDiv w:val="1"/>
      <w:marLeft w:val="0"/>
      <w:marRight w:val="0"/>
      <w:marTop w:val="0"/>
      <w:marBottom w:val="0"/>
      <w:divBdr>
        <w:top w:val="none" w:sz="0" w:space="0" w:color="auto"/>
        <w:left w:val="none" w:sz="0" w:space="0" w:color="auto"/>
        <w:bottom w:val="none" w:sz="0" w:space="0" w:color="auto"/>
        <w:right w:val="none" w:sz="0" w:space="0" w:color="auto"/>
      </w:divBdr>
    </w:div>
    <w:div w:id="65425216">
      <w:bodyDiv w:val="1"/>
      <w:marLeft w:val="0"/>
      <w:marRight w:val="0"/>
      <w:marTop w:val="0"/>
      <w:marBottom w:val="0"/>
      <w:divBdr>
        <w:top w:val="none" w:sz="0" w:space="0" w:color="auto"/>
        <w:left w:val="none" w:sz="0" w:space="0" w:color="auto"/>
        <w:bottom w:val="none" w:sz="0" w:space="0" w:color="auto"/>
        <w:right w:val="none" w:sz="0" w:space="0" w:color="auto"/>
      </w:divBdr>
    </w:div>
    <w:div w:id="68115451">
      <w:bodyDiv w:val="1"/>
      <w:marLeft w:val="0"/>
      <w:marRight w:val="0"/>
      <w:marTop w:val="0"/>
      <w:marBottom w:val="0"/>
      <w:divBdr>
        <w:top w:val="none" w:sz="0" w:space="0" w:color="auto"/>
        <w:left w:val="none" w:sz="0" w:space="0" w:color="auto"/>
        <w:bottom w:val="none" w:sz="0" w:space="0" w:color="auto"/>
        <w:right w:val="none" w:sz="0" w:space="0" w:color="auto"/>
      </w:divBdr>
    </w:div>
    <w:div w:id="74594784">
      <w:bodyDiv w:val="1"/>
      <w:marLeft w:val="0"/>
      <w:marRight w:val="0"/>
      <w:marTop w:val="0"/>
      <w:marBottom w:val="0"/>
      <w:divBdr>
        <w:top w:val="none" w:sz="0" w:space="0" w:color="auto"/>
        <w:left w:val="none" w:sz="0" w:space="0" w:color="auto"/>
        <w:bottom w:val="none" w:sz="0" w:space="0" w:color="auto"/>
        <w:right w:val="none" w:sz="0" w:space="0" w:color="auto"/>
      </w:divBdr>
    </w:div>
    <w:div w:id="103038826">
      <w:bodyDiv w:val="1"/>
      <w:marLeft w:val="0"/>
      <w:marRight w:val="0"/>
      <w:marTop w:val="0"/>
      <w:marBottom w:val="0"/>
      <w:divBdr>
        <w:top w:val="none" w:sz="0" w:space="0" w:color="auto"/>
        <w:left w:val="none" w:sz="0" w:space="0" w:color="auto"/>
        <w:bottom w:val="none" w:sz="0" w:space="0" w:color="auto"/>
        <w:right w:val="none" w:sz="0" w:space="0" w:color="auto"/>
      </w:divBdr>
    </w:div>
    <w:div w:id="110053847">
      <w:bodyDiv w:val="1"/>
      <w:marLeft w:val="0"/>
      <w:marRight w:val="0"/>
      <w:marTop w:val="0"/>
      <w:marBottom w:val="0"/>
      <w:divBdr>
        <w:top w:val="none" w:sz="0" w:space="0" w:color="auto"/>
        <w:left w:val="none" w:sz="0" w:space="0" w:color="auto"/>
        <w:bottom w:val="none" w:sz="0" w:space="0" w:color="auto"/>
        <w:right w:val="none" w:sz="0" w:space="0" w:color="auto"/>
      </w:divBdr>
    </w:div>
    <w:div w:id="166137313">
      <w:bodyDiv w:val="1"/>
      <w:marLeft w:val="0"/>
      <w:marRight w:val="0"/>
      <w:marTop w:val="0"/>
      <w:marBottom w:val="0"/>
      <w:divBdr>
        <w:top w:val="none" w:sz="0" w:space="0" w:color="auto"/>
        <w:left w:val="none" w:sz="0" w:space="0" w:color="auto"/>
        <w:bottom w:val="none" w:sz="0" w:space="0" w:color="auto"/>
        <w:right w:val="none" w:sz="0" w:space="0" w:color="auto"/>
      </w:divBdr>
    </w:div>
    <w:div w:id="170604436">
      <w:bodyDiv w:val="1"/>
      <w:marLeft w:val="0"/>
      <w:marRight w:val="0"/>
      <w:marTop w:val="0"/>
      <w:marBottom w:val="0"/>
      <w:divBdr>
        <w:top w:val="none" w:sz="0" w:space="0" w:color="auto"/>
        <w:left w:val="none" w:sz="0" w:space="0" w:color="auto"/>
        <w:bottom w:val="none" w:sz="0" w:space="0" w:color="auto"/>
        <w:right w:val="none" w:sz="0" w:space="0" w:color="auto"/>
      </w:divBdr>
    </w:div>
    <w:div w:id="195391062">
      <w:bodyDiv w:val="1"/>
      <w:marLeft w:val="0"/>
      <w:marRight w:val="0"/>
      <w:marTop w:val="0"/>
      <w:marBottom w:val="0"/>
      <w:divBdr>
        <w:top w:val="none" w:sz="0" w:space="0" w:color="auto"/>
        <w:left w:val="none" w:sz="0" w:space="0" w:color="auto"/>
        <w:bottom w:val="none" w:sz="0" w:space="0" w:color="auto"/>
        <w:right w:val="none" w:sz="0" w:space="0" w:color="auto"/>
      </w:divBdr>
    </w:div>
    <w:div w:id="216016612">
      <w:bodyDiv w:val="1"/>
      <w:marLeft w:val="0"/>
      <w:marRight w:val="0"/>
      <w:marTop w:val="0"/>
      <w:marBottom w:val="0"/>
      <w:divBdr>
        <w:top w:val="none" w:sz="0" w:space="0" w:color="auto"/>
        <w:left w:val="none" w:sz="0" w:space="0" w:color="auto"/>
        <w:bottom w:val="none" w:sz="0" w:space="0" w:color="auto"/>
        <w:right w:val="none" w:sz="0" w:space="0" w:color="auto"/>
      </w:divBdr>
    </w:div>
    <w:div w:id="249043494">
      <w:bodyDiv w:val="1"/>
      <w:marLeft w:val="0"/>
      <w:marRight w:val="0"/>
      <w:marTop w:val="0"/>
      <w:marBottom w:val="0"/>
      <w:divBdr>
        <w:top w:val="none" w:sz="0" w:space="0" w:color="auto"/>
        <w:left w:val="none" w:sz="0" w:space="0" w:color="auto"/>
        <w:bottom w:val="none" w:sz="0" w:space="0" w:color="auto"/>
        <w:right w:val="none" w:sz="0" w:space="0" w:color="auto"/>
      </w:divBdr>
    </w:div>
    <w:div w:id="258758757">
      <w:bodyDiv w:val="1"/>
      <w:marLeft w:val="0"/>
      <w:marRight w:val="0"/>
      <w:marTop w:val="0"/>
      <w:marBottom w:val="0"/>
      <w:divBdr>
        <w:top w:val="none" w:sz="0" w:space="0" w:color="auto"/>
        <w:left w:val="none" w:sz="0" w:space="0" w:color="auto"/>
        <w:bottom w:val="none" w:sz="0" w:space="0" w:color="auto"/>
        <w:right w:val="none" w:sz="0" w:space="0" w:color="auto"/>
      </w:divBdr>
    </w:div>
    <w:div w:id="280498255">
      <w:bodyDiv w:val="1"/>
      <w:marLeft w:val="0"/>
      <w:marRight w:val="0"/>
      <w:marTop w:val="0"/>
      <w:marBottom w:val="0"/>
      <w:divBdr>
        <w:top w:val="none" w:sz="0" w:space="0" w:color="auto"/>
        <w:left w:val="none" w:sz="0" w:space="0" w:color="auto"/>
        <w:bottom w:val="none" w:sz="0" w:space="0" w:color="auto"/>
        <w:right w:val="none" w:sz="0" w:space="0" w:color="auto"/>
      </w:divBdr>
    </w:div>
    <w:div w:id="286861576">
      <w:bodyDiv w:val="1"/>
      <w:marLeft w:val="0"/>
      <w:marRight w:val="0"/>
      <w:marTop w:val="0"/>
      <w:marBottom w:val="0"/>
      <w:divBdr>
        <w:top w:val="none" w:sz="0" w:space="0" w:color="auto"/>
        <w:left w:val="none" w:sz="0" w:space="0" w:color="auto"/>
        <w:bottom w:val="none" w:sz="0" w:space="0" w:color="auto"/>
        <w:right w:val="none" w:sz="0" w:space="0" w:color="auto"/>
      </w:divBdr>
    </w:div>
    <w:div w:id="308750148">
      <w:bodyDiv w:val="1"/>
      <w:marLeft w:val="0"/>
      <w:marRight w:val="0"/>
      <w:marTop w:val="0"/>
      <w:marBottom w:val="0"/>
      <w:divBdr>
        <w:top w:val="none" w:sz="0" w:space="0" w:color="auto"/>
        <w:left w:val="none" w:sz="0" w:space="0" w:color="auto"/>
        <w:bottom w:val="none" w:sz="0" w:space="0" w:color="auto"/>
        <w:right w:val="none" w:sz="0" w:space="0" w:color="auto"/>
      </w:divBdr>
    </w:div>
    <w:div w:id="337078023">
      <w:bodyDiv w:val="1"/>
      <w:marLeft w:val="0"/>
      <w:marRight w:val="0"/>
      <w:marTop w:val="0"/>
      <w:marBottom w:val="0"/>
      <w:divBdr>
        <w:top w:val="none" w:sz="0" w:space="0" w:color="auto"/>
        <w:left w:val="none" w:sz="0" w:space="0" w:color="auto"/>
        <w:bottom w:val="none" w:sz="0" w:space="0" w:color="auto"/>
        <w:right w:val="none" w:sz="0" w:space="0" w:color="auto"/>
      </w:divBdr>
    </w:div>
    <w:div w:id="427507349">
      <w:bodyDiv w:val="1"/>
      <w:marLeft w:val="0"/>
      <w:marRight w:val="0"/>
      <w:marTop w:val="0"/>
      <w:marBottom w:val="0"/>
      <w:divBdr>
        <w:top w:val="none" w:sz="0" w:space="0" w:color="auto"/>
        <w:left w:val="none" w:sz="0" w:space="0" w:color="auto"/>
        <w:bottom w:val="none" w:sz="0" w:space="0" w:color="auto"/>
        <w:right w:val="none" w:sz="0" w:space="0" w:color="auto"/>
      </w:divBdr>
    </w:div>
    <w:div w:id="438065583">
      <w:bodyDiv w:val="1"/>
      <w:marLeft w:val="0"/>
      <w:marRight w:val="0"/>
      <w:marTop w:val="0"/>
      <w:marBottom w:val="0"/>
      <w:divBdr>
        <w:top w:val="none" w:sz="0" w:space="0" w:color="auto"/>
        <w:left w:val="none" w:sz="0" w:space="0" w:color="auto"/>
        <w:bottom w:val="none" w:sz="0" w:space="0" w:color="auto"/>
        <w:right w:val="none" w:sz="0" w:space="0" w:color="auto"/>
      </w:divBdr>
      <w:divsChild>
        <w:div w:id="1274021429">
          <w:marLeft w:val="-720"/>
          <w:marRight w:val="0"/>
          <w:marTop w:val="0"/>
          <w:marBottom w:val="0"/>
          <w:divBdr>
            <w:top w:val="none" w:sz="0" w:space="0" w:color="auto"/>
            <w:left w:val="none" w:sz="0" w:space="0" w:color="auto"/>
            <w:bottom w:val="none" w:sz="0" w:space="0" w:color="auto"/>
            <w:right w:val="none" w:sz="0" w:space="0" w:color="auto"/>
          </w:divBdr>
        </w:div>
      </w:divsChild>
    </w:div>
    <w:div w:id="507906549">
      <w:bodyDiv w:val="1"/>
      <w:marLeft w:val="0"/>
      <w:marRight w:val="0"/>
      <w:marTop w:val="0"/>
      <w:marBottom w:val="0"/>
      <w:divBdr>
        <w:top w:val="none" w:sz="0" w:space="0" w:color="auto"/>
        <w:left w:val="none" w:sz="0" w:space="0" w:color="auto"/>
        <w:bottom w:val="none" w:sz="0" w:space="0" w:color="auto"/>
        <w:right w:val="none" w:sz="0" w:space="0" w:color="auto"/>
      </w:divBdr>
    </w:div>
    <w:div w:id="522792877">
      <w:bodyDiv w:val="1"/>
      <w:marLeft w:val="0"/>
      <w:marRight w:val="0"/>
      <w:marTop w:val="0"/>
      <w:marBottom w:val="0"/>
      <w:divBdr>
        <w:top w:val="none" w:sz="0" w:space="0" w:color="auto"/>
        <w:left w:val="none" w:sz="0" w:space="0" w:color="auto"/>
        <w:bottom w:val="none" w:sz="0" w:space="0" w:color="auto"/>
        <w:right w:val="none" w:sz="0" w:space="0" w:color="auto"/>
      </w:divBdr>
    </w:div>
    <w:div w:id="547450760">
      <w:bodyDiv w:val="1"/>
      <w:marLeft w:val="0"/>
      <w:marRight w:val="0"/>
      <w:marTop w:val="0"/>
      <w:marBottom w:val="0"/>
      <w:divBdr>
        <w:top w:val="none" w:sz="0" w:space="0" w:color="auto"/>
        <w:left w:val="none" w:sz="0" w:space="0" w:color="auto"/>
        <w:bottom w:val="none" w:sz="0" w:space="0" w:color="auto"/>
        <w:right w:val="none" w:sz="0" w:space="0" w:color="auto"/>
      </w:divBdr>
    </w:div>
    <w:div w:id="548567584">
      <w:bodyDiv w:val="1"/>
      <w:marLeft w:val="0"/>
      <w:marRight w:val="0"/>
      <w:marTop w:val="0"/>
      <w:marBottom w:val="0"/>
      <w:divBdr>
        <w:top w:val="none" w:sz="0" w:space="0" w:color="auto"/>
        <w:left w:val="none" w:sz="0" w:space="0" w:color="auto"/>
        <w:bottom w:val="none" w:sz="0" w:space="0" w:color="auto"/>
        <w:right w:val="none" w:sz="0" w:space="0" w:color="auto"/>
      </w:divBdr>
    </w:div>
    <w:div w:id="562061174">
      <w:bodyDiv w:val="1"/>
      <w:marLeft w:val="0"/>
      <w:marRight w:val="0"/>
      <w:marTop w:val="0"/>
      <w:marBottom w:val="0"/>
      <w:divBdr>
        <w:top w:val="none" w:sz="0" w:space="0" w:color="auto"/>
        <w:left w:val="none" w:sz="0" w:space="0" w:color="auto"/>
        <w:bottom w:val="none" w:sz="0" w:space="0" w:color="auto"/>
        <w:right w:val="none" w:sz="0" w:space="0" w:color="auto"/>
      </w:divBdr>
    </w:div>
    <w:div w:id="574317677">
      <w:bodyDiv w:val="1"/>
      <w:marLeft w:val="0"/>
      <w:marRight w:val="0"/>
      <w:marTop w:val="0"/>
      <w:marBottom w:val="0"/>
      <w:divBdr>
        <w:top w:val="none" w:sz="0" w:space="0" w:color="auto"/>
        <w:left w:val="none" w:sz="0" w:space="0" w:color="auto"/>
        <w:bottom w:val="none" w:sz="0" w:space="0" w:color="auto"/>
        <w:right w:val="none" w:sz="0" w:space="0" w:color="auto"/>
      </w:divBdr>
    </w:div>
    <w:div w:id="600525250">
      <w:bodyDiv w:val="1"/>
      <w:marLeft w:val="0"/>
      <w:marRight w:val="0"/>
      <w:marTop w:val="0"/>
      <w:marBottom w:val="0"/>
      <w:divBdr>
        <w:top w:val="none" w:sz="0" w:space="0" w:color="auto"/>
        <w:left w:val="none" w:sz="0" w:space="0" w:color="auto"/>
        <w:bottom w:val="none" w:sz="0" w:space="0" w:color="auto"/>
        <w:right w:val="none" w:sz="0" w:space="0" w:color="auto"/>
      </w:divBdr>
    </w:div>
    <w:div w:id="602538010">
      <w:bodyDiv w:val="1"/>
      <w:marLeft w:val="0"/>
      <w:marRight w:val="0"/>
      <w:marTop w:val="0"/>
      <w:marBottom w:val="0"/>
      <w:divBdr>
        <w:top w:val="none" w:sz="0" w:space="0" w:color="auto"/>
        <w:left w:val="none" w:sz="0" w:space="0" w:color="auto"/>
        <w:bottom w:val="none" w:sz="0" w:space="0" w:color="auto"/>
        <w:right w:val="none" w:sz="0" w:space="0" w:color="auto"/>
      </w:divBdr>
    </w:div>
    <w:div w:id="615676977">
      <w:bodyDiv w:val="1"/>
      <w:marLeft w:val="0"/>
      <w:marRight w:val="0"/>
      <w:marTop w:val="0"/>
      <w:marBottom w:val="0"/>
      <w:divBdr>
        <w:top w:val="none" w:sz="0" w:space="0" w:color="auto"/>
        <w:left w:val="none" w:sz="0" w:space="0" w:color="auto"/>
        <w:bottom w:val="none" w:sz="0" w:space="0" w:color="auto"/>
        <w:right w:val="none" w:sz="0" w:space="0" w:color="auto"/>
      </w:divBdr>
    </w:div>
    <w:div w:id="629937308">
      <w:bodyDiv w:val="1"/>
      <w:marLeft w:val="0"/>
      <w:marRight w:val="0"/>
      <w:marTop w:val="0"/>
      <w:marBottom w:val="0"/>
      <w:divBdr>
        <w:top w:val="none" w:sz="0" w:space="0" w:color="auto"/>
        <w:left w:val="none" w:sz="0" w:space="0" w:color="auto"/>
        <w:bottom w:val="none" w:sz="0" w:space="0" w:color="auto"/>
        <w:right w:val="none" w:sz="0" w:space="0" w:color="auto"/>
      </w:divBdr>
    </w:div>
    <w:div w:id="630551348">
      <w:bodyDiv w:val="1"/>
      <w:marLeft w:val="0"/>
      <w:marRight w:val="0"/>
      <w:marTop w:val="0"/>
      <w:marBottom w:val="0"/>
      <w:divBdr>
        <w:top w:val="none" w:sz="0" w:space="0" w:color="auto"/>
        <w:left w:val="none" w:sz="0" w:space="0" w:color="auto"/>
        <w:bottom w:val="none" w:sz="0" w:space="0" w:color="auto"/>
        <w:right w:val="none" w:sz="0" w:space="0" w:color="auto"/>
      </w:divBdr>
    </w:div>
    <w:div w:id="638270123">
      <w:bodyDiv w:val="1"/>
      <w:marLeft w:val="0"/>
      <w:marRight w:val="0"/>
      <w:marTop w:val="0"/>
      <w:marBottom w:val="0"/>
      <w:divBdr>
        <w:top w:val="none" w:sz="0" w:space="0" w:color="auto"/>
        <w:left w:val="none" w:sz="0" w:space="0" w:color="auto"/>
        <w:bottom w:val="none" w:sz="0" w:space="0" w:color="auto"/>
        <w:right w:val="none" w:sz="0" w:space="0" w:color="auto"/>
      </w:divBdr>
    </w:div>
    <w:div w:id="647787026">
      <w:bodyDiv w:val="1"/>
      <w:marLeft w:val="0"/>
      <w:marRight w:val="0"/>
      <w:marTop w:val="0"/>
      <w:marBottom w:val="0"/>
      <w:divBdr>
        <w:top w:val="none" w:sz="0" w:space="0" w:color="auto"/>
        <w:left w:val="none" w:sz="0" w:space="0" w:color="auto"/>
        <w:bottom w:val="none" w:sz="0" w:space="0" w:color="auto"/>
        <w:right w:val="none" w:sz="0" w:space="0" w:color="auto"/>
      </w:divBdr>
    </w:div>
    <w:div w:id="648097041">
      <w:bodyDiv w:val="1"/>
      <w:marLeft w:val="0"/>
      <w:marRight w:val="0"/>
      <w:marTop w:val="0"/>
      <w:marBottom w:val="0"/>
      <w:divBdr>
        <w:top w:val="none" w:sz="0" w:space="0" w:color="auto"/>
        <w:left w:val="none" w:sz="0" w:space="0" w:color="auto"/>
        <w:bottom w:val="none" w:sz="0" w:space="0" w:color="auto"/>
        <w:right w:val="none" w:sz="0" w:space="0" w:color="auto"/>
      </w:divBdr>
    </w:div>
    <w:div w:id="675690432">
      <w:bodyDiv w:val="1"/>
      <w:marLeft w:val="0"/>
      <w:marRight w:val="0"/>
      <w:marTop w:val="0"/>
      <w:marBottom w:val="0"/>
      <w:divBdr>
        <w:top w:val="none" w:sz="0" w:space="0" w:color="auto"/>
        <w:left w:val="none" w:sz="0" w:space="0" w:color="auto"/>
        <w:bottom w:val="none" w:sz="0" w:space="0" w:color="auto"/>
        <w:right w:val="none" w:sz="0" w:space="0" w:color="auto"/>
      </w:divBdr>
    </w:div>
    <w:div w:id="686101650">
      <w:bodyDiv w:val="1"/>
      <w:marLeft w:val="0"/>
      <w:marRight w:val="0"/>
      <w:marTop w:val="0"/>
      <w:marBottom w:val="0"/>
      <w:divBdr>
        <w:top w:val="none" w:sz="0" w:space="0" w:color="auto"/>
        <w:left w:val="none" w:sz="0" w:space="0" w:color="auto"/>
        <w:bottom w:val="none" w:sz="0" w:space="0" w:color="auto"/>
        <w:right w:val="none" w:sz="0" w:space="0" w:color="auto"/>
      </w:divBdr>
    </w:div>
    <w:div w:id="704840367">
      <w:bodyDiv w:val="1"/>
      <w:marLeft w:val="0"/>
      <w:marRight w:val="0"/>
      <w:marTop w:val="0"/>
      <w:marBottom w:val="0"/>
      <w:divBdr>
        <w:top w:val="none" w:sz="0" w:space="0" w:color="auto"/>
        <w:left w:val="none" w:sz="0" w:space="0" w:color="auto"/>
        <w:bottom w:val="none" w:sz="0" w:space="0" w:color="auto"/>
        <w:right w:val="none" w:sz="0" w:space="0" w:color="auto"/>
      </w:divBdr>
    </w:div>
    <w:div w:id="724527214">
      <w:bodyDiv w:val="1"/>
      <w:marLeft w:val="0"/>
      <w:marRight w:val="0"/>
      <w:marTop w:val="0"/>
      <w:marBottom w:val="0"/>
      <w:divBdr>
        <w:top w:val="none" w:sz="0" w:space="0" w:color="auto"/>
        <w:left w:val="none" w:sz="0" w:space="0" w:color="auto"/>
        <w:bottom w:val="none" w:sz="0" w:space="0" w:color="auto"/>
        <w:right w:val="none" w:sz="0" w:space="0" w:color="auto"/>
      </w:divBdr>
    </w:div>
    <w:div w:id="759562299">
      <w:bodyDiv w:val="1"/>
      <w:marLeft w:val="0"/>
      <w:marRight w:val="0"/>
      <w:marTop w:val="0"/>
      <w:marBottom w:val="0"/>
      <w:divBdr>
        <w:top w:val="none" w:sz="0" w:space="0" w:color="auto"/>
        <w:left w:val="none" w:sz="0" w:space="0" w:color="auto"/>
        <w:bottom w:val="none" w:sz="0" w:space="0" w:color="auto"/>
        <w:right w:val="none" w:sz="0" w:space="0" w:color="auto"/>
      </w:divBdr>
    </w:div>
    <w:div w:id="760682306">
      <w:bodyDiv w:val="1"/>
      <w:marLeft w:val="0"/>
      <w:marRight w:val="0"/>
      <w:marTop w:val="0"/>
      <w:marBottom w:val="0"/>
      <w:divBdr>
        <w:top w:val="none" w:sz="0" w:space="0" w:color="auto"/>
        <w:left w:val="none" w:sz="0" w:space="0" w:color="auto"/>
        <w:bottom w:val="none" w:sz="0" w:space="0" w:color="auto"/>
        <w:right w:val="none" w:sz="0" w:space="0" w:color="auto"/>
      </w:divBdr>
    </w:div>
    <w:div w:id="780337982">
      <w:bodyDiv w:val="1"/>
      <w:marLeft w:val="0"/>
      <w:marRight w:val="0"/>
      <w:marTop w:val="0"/>
      <w:marBottom w:val="0"/>
      <w:divBdr>
        <w:top w:val="none" w:sz="0" w:space="0" w:color="auto"/>
        <w:left w:val="none" w:sz="0" w:space="0" w:color="auto"/>
        <w:bottom w:val="none" w:sz="0" w:space="0" w:color="auto"/>
        <w:right w:val="none" w:sz="0" w:space="0" w:color="auto"/>
      </w:divBdr>
    </w:div>
    <w:div w:id="875234577">
      <w:bodyDiv w:val="1"/>
      <w:marLeft w:val="0"/>
      <w:marRight w:val="0"/>
      <w:marTop w:val="0"/>
      <w:marBottom w:val="0"/>
      <w:divBdr>
        <w:top w:val="none" w:sz="0" w:space="0" w:color="auto"/>
        <w:left w:val="none" w:sz="0" w:space="0" w:color="auto"/>
        <w:bottom w:val="none" w:sz="0" w:space="0" w:color="auto"/>
        <w:right w:val="none" w:sz="0" w:space="0" w:color="auto"/>
      </w:divBdr>
    </w:div>
    <w:div w:id="895091478">
      <w:bodyDiv w:val="1"/>
      <w:marLeft w:val="0"/>
      <w:marRight w:val="0"/>
      <w:marTop w:val="0"/>
      <w:marBottom w:val="0"/>
      <w:divBdr>
        <w:top w:val="none" w:sz="0" w:space="0" w:color="auto"/>
        <w:left w:val="none" w:sz="0" w:space="0" w:color="auto"/>
        <w:bottom w:val="none" w:sz="0" w:space="0" w:color="auto"/>
        <w:right w:val="none" w:sz="0" w:space="0" w:color="auto"/>
      </w:divBdr>
    </w:div>
    <w:div w:id="953831972">
      <w:bodyDiv w:val="1"/>
      <w:marLeft w:val="0"/>
      <w:marRight w:val="0"/>
      <w:marTop w:val="0"/>
      <w:marBottom w:val="0"/>
      <w:divBdr>
        <w:top w:val="none" w:sz="0" w:space="0" w:color="auto"/>
        <w:left w:val="none" w:sz="0" w:space="0" w:color="auto"/>
        <w:bottom w:val="none" w:sz="0" w:space="0" w:color="auto"/>
        <w:right w:val="none" w:sz="0" w:space="0" w:color="auto"/>
      </w:divBdr>
    </w:div>
    <w:div w:id="985282458">
      <w:bodyDiv w:val="1"/>
      <w:marLeft w:val="0"/>
      <w:marRight w:val="0"/>
      <w:marTop w:val="0"/>
      <w:marBottom w:val="0"/>
      <w:divBdr>
        <w:top w:val="none" w:sz="0" w:space="0" w:color="auto"/>
        <w:left w:val="none" w:sz="0" w:space="0" w:color="auto"/>
        <w:bottom w:val="none" w:sz="0" w:space="0" w:color="auto"/>
        <w:right w:val="none" w:sz="0" w:space="0" w:color="auto"/>
      </w:divBdr>
    </w:div>
    <w:div w:id="1047611217">
      <w:bodyDiv w:val="1"/>
      <w:marLeft w:val="0"/>
      <w:marRight w:val="0"/>
      <w:marTop w:val="0"/>
      <w:marBottom w:val="0"/>
      <w:divBdr>
        <w:top w:val="none" w:sz="0" w:space="0" w:color="auto"/>
        <w:left w:val="none" w:sz="0" w:space="0" w:color="auto"/>
        <w:bottom w:val="none" w:sz="0" w:space="0" w:color="auto"/>
        <w:right w:val="none" w:sz="0" w:space="0" w:color="auto"/>
      </w:divBdr>
    </w:div>
    <w:div w:id="1127160331">
      <w:bodyDiv w:val="1"/>
      <w:marLeft w:val="0"/>
      <w:marRight w:val="0"/>
      <w:marTop w:val="0"/>
      <w:marBottom w:val="0"/>
      <w:divBdr>
        <w:top w:val="none" w:sz="0" w:space="0" w:color="auto"/>
        <w:left w:val="none" w:sz="0" w:space="0" w:color="auto"/>
        <w:bottom w:val="none" w:sz="0" w:space="0" w:color="auto"/>
        <w:right w:val="none" w:sz="0" w:space="0" w:color="auto"/>
      </w:divBdr>
      <w:divsChild>
        <w:div w:id="811749266">
          <w:marLeft w:val="-720"/>
          <w:marRight w:val="0"/>
          <w:marTop w:val="0"/>
          <w:marBottom w:val="0"/>
          <w:divBdr>
            <w:top w:val="none" w:sz="0" w:space="0" w:color="auto"/>
            <w:left w:val="none" w:sz="0" w:space="0" w:color="auto"/>
            <w:bottom w:val="none" w:sz="0" w:space="0" w:color="auto"/>
            <w:right w:val="none" w:sz="0" w:space="0" w:color="auto"/>
          </w:divBdr>
        </w:div>
      </w:divsChild>
    </w:div>
    <w:div w:id="1150487465">
      <w:bodyDiv w:val="1"/>
      <w:marLeft w:val="0"/>
      <w:marRight w:val="0"/>
      <w:marTop w:val="0"/>
      <w:marBottom w:val="0"/>
      <w:divBdr>
        <w:top w:val="none" w:sz="0" w:space="0" w:color="auto"/>
        <w:left w:val="none" w:sz="0" w:space="0" w:color="auto"/>
        <w:bottom w:val="none" w:sz="0" w:space="0" w:color="auto"/>
        <w:right w:val="none" w:sz="0" w:space="0" w:color="auto"/>
      </w:divBdr>
    </w:div>
    <w:div w:id="1158302593">
      <w:bodyDiv w:val="1"/>
      <w:marLeft w:val="0"/>
      <w:marRight w:val="0"/>
      <w:marTop w:val="0"/>
      <w:marBottom w:val="0"/>
      <w:divBdr>
        <w:top w:val="none" w:sz="0" w:space="0" w:color="auto"/>
        <w:left w:val="none" w:sz="0" w:space="0" w:color="auto"/>
        <w:bottom w:val="none" w:sz="0" w:space="0" w:color="auto"/>
        <w:right w:val="none" w:sz="0" w:space="0" w:color="auto"/>
      </w:divBdr>
    </w:div>
    <w:div w:id="1158495860">
      <w:bodyDiv w:val="1"/>
      <w:marLeft w:val="0"/>
      <w:marRight w:val="0"/>
      <w:marTop w:val="0"/>
      <w:marBottom w:val="0"/>
      <w:divBdr>
        <w:top w:val="none" w:sz="0" w:space="0" w:color="auto"/>
        <w:left w:val="none" w:sz="0" w:space="0" w:color="auto"/>
        <w:bottom w:val="none" w:sz="0" w:space="0" w:color="auto"/>
        <w:right w:val="none" w:sz="0" w:space="0" w:color="auto"/>
      </w:divBdr>
    </w:div>
    <w:div w:id="1165128274">
      <w:bodyDiv w:val="1"/>
      <w:marLeft w:val="0"/>
      <w:marRight w:val="0"/>
      <w:marTop w:val="0"/>
      <w:marBottom w:val="0"/>
      <w:divBdr>
        <w:top w:val="none" w:sz="0" w:space="0" w:color="auto"/>
        <w:left w:val="none" w:sz="0" w:space="0" w:color="auto"/>
        <w:bottom w:val="none" w:sz="0" w:space="0" w:color="auto"/>
        <w:right w:val="none" w:sz="0" w:space="0" w:color="auto"/>
      </w:divBdr>
    </w:div>
    <w:div w:id="1171532433">
      <w:bodyDiv w:val="1"/>
      <w:marLeft w:val="0"/>
      <w:marRight w:val="0"/>
      <w:marTop w:val="0"/>
      <w:marBottom w:val="0"/>
      <w:divBdr>
        <w:top w:val="none" w:sz="0" w:space="0" w:color="auto"/>
        <w:left w:val="none" w:sz="0" w:space="0" w:color="auto"/>
        <w:bottom w:val="none" w:sz="0" w:space="0" w:color="auto"/>
        <w:right w:val="none" w:sz="0" w:space="0" w:color="auto"/>
      </w:divBdr>
    </w:div>
    <w:div w:id="1206530345">
      <w:bodyDiv w:val="1"/>
      <w:marLeft w:val="0"/>
      <w:marRight w:val="0"/>
      <w:marTop w:val="0"/>
      <w:marBottom w:val="0"/>
      <w:divBdr>
        <w:top w:val="none" w:sz="0" w:space="0" w:color="auto"/>
        <w:left w:val="none" w:sz="0" w:space="0" w:color="auto"/>
        <w:bottom w:val="none" w:sz="0" w:space="0" w:color="auto"/>
        <w:right w:val="none" w:sz="0" w:space="0" w:color="auto"/>
      </w:divBdr>
    </w:div>
    <w:div w:id="1218009236">
      <w:bodyDiv w:val="1"/>
      <w:marLeft w:val="0"/>
      <w:marRight w:val="0"/>
      <w:marTop w:val="0"/>
      <w:marBottom w:val="0"/>
      <w:divBdr>
        <w:top w:val="none" w:sz="0" w:space="0" w:color="auto"/>
        <w:left w:val="none" w:sz="0" w:space="0" w:color="auto"/>
        <w:bottom w:val="none" w:sz="0" w:space="0" w:color="auto"/>
        <w:right w:val="none" w:sz="0" w:space="0" w:color="auto"/>
      </w:divBdr>
    </w:div>
    <w:div w:id="1218278072">
      <w:bodyDiv w:val="1"/>
      <w:marLeft w:val="0"/>
      <w:marRight w:val="0"/>
      <w:marTop w:val="0"/>
      <w:marBottom w:val="0"/>
      <w:divBdr>
        <w:top w:val="none" w:sz="0" w:space="0" w:color="auto"/>
        <w:left w:val="none" w:sz="0" w:space="0" w:color="auto"/>
        <w:bottom w:val="none" w:sz="0" w:space="0" w:color="auto"/>
        <w:right w:val="none" w:sz="0" w:space="0" w:color="auto"/>
      </w:divBdr>
    </w:div>
    <w:div w:id="1228952602">
      <w:bodyDiv w:val="1"/>
      <w:marLeft w:val="0"/>
      <w:marRight w:val="0"/>
      <w:marTop w:val="0"/>
      <w:marBottom w:val="0"/>
      <w:divBdr>
        <w:top w:val="none" w:sz="0" w:space="0" w:color="auto"/>
        <w:left w:val="none" w:sz="0" w:space="0" w:color="auto"/>
        <w:bottom w:val="none" w:sz="0" w:space="0" w:color="auto"/>
        <w:right w:val="none" w:sz="0" w:space="0" w:color="auto"/>
      </w:divBdr>
    </w:div>
    <w:div w:id="1230113929">
      <w:bodyDiv w:val="1"/>
      <w:marLeft w:val="0"/>
      <w:marRight w:val="0"/>
      <w:marTop w:val="0"/>
      <w:marBottom w:val="0"/>
      <w:divBdr>
        <w:top w:val="none" w:sz="0" w:space="0" w:color="auto"/>
        <w:left w:val="none" w:sz="0" w:space="0" w:color="auto"/>
        <w:bottom w:val="none" w:sz="0" w:space="0" w:color="auto"/>
        <w:right w:val="none" w:sz="0" w:space="0" w:color="auto"/>
      </w:divBdr>
    </w:div>
    <w:div w:id="1254046147">
      <w:bodyDiv w:val="1"/>
      <w:marLeft w:val="0"/>
      <w:marRight w:val="0"/>
      <w:marTop w:val="0"/>
      <w:marBottom w:val="0"/>
      <w:divBdr>
        <w:top w:val="none" w:sz="0" w:space="0" w:color="auto"/>
        <w:left w:val="none" w:sz="0" w:space="0" w:color="auto"/>
        <w:bottom w:val="none" w:sz="0" w:space="0" w:color="auto"/>
        <w:right w:val="none" w:sz="0" w:space="0" w:color="auto"/>
      </w:divBdr>
    </w:div>
    <w:div w:id="1265114453">
      <w:bodyDiv w:val="1"/>
      <w:marLeft w:val="0"/>
      <w:marRight w:val="0"/>
      <w:marTop w:val="0"/>
      <w:marBottom w:val="0"/>
      <w:divBdr>
        <w:top w:val="none" w:sz="0" w:space="0" w:color="auto"/>
        <w:left w:val="none" w:sz="0" w:space="0" w:color="auto"/>
        <w:bottom w:val="none" w:sz="0" w:space="0" w:color="auto"/>
        <w:right w:val="none" w:sz="0" w:space="0" w:color="auto"/>
      </w:divBdr>
    </w:div>
    <w:div w:id="1270896245">
      <w:bodyDiv w:val="1"/>
      <w:marLeft w:val="0"/>
      <w:marRight w:val="0"/>
      <w:marTop w:val="0"/>
      <w:marBottom w:val="0"/>
      <w:divBdr>
        <w:top w:val="none" w:sz="0" w:space="0" w:color="auto"/>
        <w:left w:val="none" w:sz="0" w:space="0" w:color="auto"/>
        <w:bottom w:val="none" w:sz="0" w:space="0" w:color="auto"/>
        <w:right w:val="none" w:sz="0" w:space="0" w:color="auto"/>
      </w:divBdr>
    </w:div>
    <w:div w:id="1271202348">
      <w:bodyDiv w:val="1"/>
      <w:marLeft w:val="0"/>
      <w:marRight w:val="0"/>
      <w:marTop w:val="0"/>
      <w:marBottom w:val="0"/>
      <w:divBdr>
        <w:top w:val="none" w:sz="0" w:space="0" w:color="auto"/>
        <w:left w:val="none" w:sz="0" w:space="0" w:color="auto"/>
        <w:bottom w:val="none" w:sz="0" w:space="0" w:color="auto"/>
        <w:right w:val="none" w:sz="0" w:space="0" w:color="auto"/>
      </w:divBdr>
    </w:div>
    <w:div w:id="1307591225">
      <w:bodyDiv w:val="1"/>
      <w:marLeft w:val="0"/>
      <w:marRight w:val="0"/>
      <w:marTop w:val="0"/>
      <w:marBottom w:val="0"/>
      <w:divBdr>
        <w:top w:val="none" w:sz="0" w:space="0" w:color="auto"/>
        <w:left w:val="none" w:sz="0" w:space="0" w:color="auto"/>
        <w:bottom w:val="none" w:sz="0" w:space="0" w:color="auto"/>
        <w:right w:val="none" w:sz="0" w:space="0" w:color="auto"/>
      </w:divBdr>
    </w:div>
    <w:div w:id="1358430921">
      <w:bodyDiv w:val="1"/>
      <w:marLeft w:val="0"/>
      <w:marRight w:val="0"/>
      <w:marTop w:val="0"/>
      <w:marBottom w:val="0"/>
      <w:divBdr>
        <w:top w:val="none" w:sz="0" w:space="0" w:color="auto"/>
        <w:left w:val="none" w:sz="0" w:space="0" w:color="auto"/>
        <w:bottom w:val="none" w:sz="0" w:space="0" w:color="auto"/>
        <w:right w:val="none" w:sz="0" w:space="0" w:color="auto"/>
      </w:divBdr>
    </w:div>
    <w:div w:id="1412308790">
      <w:bodyDiv w:val="1"/>
      <w:marLeft w:val="0"/>
      <w:marRight w:val="0"/>
      <w:marTop w:val="0"/>
      <w:marBottom w:val="0"/>
      <w:divBdr>
        <w:top w:val="none" w:sz="0" w:space="0" w:color="auto"/>
        <w:left w:val="none" w:sz="0" w:space="0" w:color="auto"/>
        <w:bottom w:val="none" w:sz="0" w:space="0" w:color="auto"/>
        <w:right w:val="none" w:sz="0" w:space="0" w:color="auto"/>
      </w:divBdr>
    </w:div>
    <w:div w:id="1438253527">
      <w:bodyDiv w:val="1"/>
      <w:marLeft w:val="0"/>
      <w:marRight w:val="0"/>
      <w:marTop w:val="0"/>
      <w:marBottom w:val="0"/>
      <w:divBdr>
        <w:top w:val="none" w:sz="0" w:space="0" w:color="auto"/>
        <w:left w:val="none" w:sz="0" w:space="0" w:color="auto"/>
        <w:bottom w:val="none" w:sz="0" w:space="0" w:color="auto"/>
        <w:right w:val="none" w:sz="0" w:space="0" w:color="auto"/>
      </w:divBdr>
    </w:div>
    <w:div w:id="1476294881">
      <w:bodyDiv w:val="1"/>
      <w:marLeft w:val="0"/>
      <w:marRight w:val="0"/>
      <w:marTop w:val="0"/>
      <w:marBottom w:val="0"/>
      <w:divBdr>
        <w:top w:val="none" w:sz="0" w:space="0" w:color="auto"/>
        <w:left w:val="none" w:sz="0" w:space="0" w:color="auto"/>
        <w:bottom w:val="none" w:sz="0" w:space="0" w:color="auto"/>
        <w:right w:val="none" w:sz="0" w:space="0" w:color="auto"/>
      </w:divBdr>
      <w:divsChild>
        <w:div w:id="233198879">
          <w:marLeft w:val="0"/>
          <w:marRight w:val="0"/>
          <w:marTop w:val="0"/>
          <w:marBottom w:val="0"/>
          <w:divBdr>
            <w:top w:val="none" w:sz="0" w:space="0" w:color="auto"/>
            <w:left w:val="none" w:sz="0" w:space="0" w:color="auto"/>
            <w:bottom w:val="none" w:sz="0" w:space="0" w:color="auto"/>
            <w:right w:val="none" w:sz="0" w:space="0" w:color="auto"/>
          </w:divBdr>
        </w:div>
      </w:divsChild>
    </w:div>
    <w:div w:id="1479573004">
      <w:bodyDiv w:val="1"/>
      <w:marLeft w:val="0"/>
      <w:marRight w:val="0"/>
      <w:marTop w:val="0"/>
      <w:marBottom w:val="0"/>
      <w:divBdr>
        <w:top w:val="none" w:sz="0" w:space="0" w:color="auto"/>
        <w:left w:val="none" w:sz="0" w:space="0" w:color="auto"/>
        <w:bottom w:val="none" w:sz="0" w:space="0" w:color="auto"/>
        <w:right w:val="none" w:sz="0" w:space="0" w:color="auto"/>
      </w:divBdr>
    </w:div>
    <w:div w:id="1490831119">
      <w:bodyDiv w:val="1"/>
      <w:marLeft w:val="0"/>
      <w:marRight w:val="0"/>
      <w:marTop w:val="0"/>
      <w:marBottom w:val="0"/>
      <w:divBdr>
        <w:top w:val="none" w:sz="0" w:space="0" w:color="auto"/>
        <w:left w:val="none" w:sz="0" w:space="0" w:color="auto"/>
        <w:bottom w:val="none" w:sz="0" w:space="0" w:color="auto"/>
        <w:right w:val="none" w:sz="0" w:space="0" w:color="auto"/>
      </w:divBdr>
    </w:div>
    <w:div w:id="1523474582">
      <w:bodyDiv w:val="1"/>
      <w:marLeft w:val="0"/>
      <w:marRight w:val="0"/>
      <w:marTop w:val="0"/>
      <w:marBottom w:val="0"/>
      <w:divBdr>
        <w:top w:val="none" w:sz="0" w:space="0" w:color="auto"/>
        <w:left w:val="none" w:sz="0" w:space="0" w:color="auto"/>
        <w:bottom w:val="none" w:sz="0" w:space="0" w:color="auto"/>
        <w:right w:val="none" w:sz="0" w:space="0" w:color="auto"/>
      </w:divBdr>
    </w:div>
    <w:div w:id="1531069063">
      <w:bodyDiv w:val="1"/>
      <w:marLeft w:val="0"/>
      <w:marRight w:val="0"/>
      <w:marTop w:val="0"/>
      <w:marBottom w:val="0"/>
      <w:divBdr>
        <w:top w:val="none" w:sz="0" w:space="0" w:color="auto"/>
        <w:left w:val="none" w:sz="0" w:space="0" w:color="auto"/>
        <w:bottom w:val="none" w:sz="0" w:space="0" w:color="auto"/>
        <w:right w:val="none" w:sz="0" w:space="0" w:color="auto"/>
      </w:divBdr>
    </w:div>
    <w:div w:id="1541236062">
      <w:bodyDiv w:val="1"/>
      <w:marLeft w:val="0"/>
      <w:marRight w:val="0"/>
      <w:marTop w:val="0"/>
      <w:marBottom w:val="0"/>
      <w:divBdr>
        <w:top w:val="none" w:sz="0" w:space="0" w:color="auto"/>
        <w:left w:val="none" w:sz="0" w:space="0" w:color="auto"/>
        <w:bottom w:val="none" w:sz="0" w:space="0" w:color="auto"/>
        <w:right w:val="none" w:sz="0" w:space="0" w:color="auto"/>
      </w:divBdr>
    </w:div>
    <w:div w:id="1542328943">
      <w:bodyDiv w:val="1"/>
      <w:marLeft w:val="0"/>
      <w:marRight w:val="0"/>
      <w:marTop w:val="0"/>
      <w:marBottom w:val="0"/>
      <w:divBdr>
        <w:top w:val="none" w:sz="0" w:space="0" w:color="auto"/>
        <w:left w:val="none" w:sz="0" w:space="0" w:color="auto"/>
        <w:bottom w:val="none" w:sz="0" w:space="0" w:color="auto"/>
        <w:right w:val="none" w:sz="0" w:space="0" w:color="auto"/>
      </w:divBdr>
    </w:div>
    <w:div w:id="1557937452">
      <w:bodyDiv w:val="1"/>
      <w:marLeft w:val="0"/>
      <w:marRight w:val="0"/>
      <w:marTop w:val="0"/>
      <w:marBottom w:val="0"/>
      <w:divBdr>
        <w:top w:val="none" w:sz="0" w:space="0" w:color="auto"/>
        <w:left w:val="none" w:sz="0" w:space="0" w:color="auto"/>
        <w:bottom w:val="none" w:sz="0" w:space="0" w:color="auto"/>
        <w:right w:val="none" w:sz="0" w:space="0" w:color="auto"/>
      </w:divBdr>
    </w:div>
    <w:div w:id="1618640507">
      <w:bodyDiv w:val="1"/>
      <w:marLeft w:val="0"/>
      <w:marRight w:val="0"/>
      <w:marTop w:val="0"/>
      <w:marBottom w:val="0"/>
      <w:divBdr>
        <w:top w:val="none" w:sz="0" w:space="0" w:color="auto"/>
        <w:left w:val="none" w:sz="0" w:space="0" w:color="auto"/>
        <w:bottom w:val="none" w:sz="0" w:space="0" w:color="auto"/>
        <w:right w:val="none" w:sz="0" w:space="0" w:color="auto"/>
      </w:divBdr>
    </w:div>
    <w:div w:id="1631665779">
      <w:bodyDiv w:val="1"/>
      <w:marLeft w:val="0"/>
      <w:marRight w:val="0"/>
      <w:marTop w:val="0"/>
      <w:marBottom w:val="0"/>
      <w:divBdr>
        <w:top w:val="none" w:sz="0" w:space="0" w:color="auto"/>
        <w:left w:val="none" w:sz="0" w:space="0" w:color="auto"/>
        <w:bottom w:val="none" w:sz="0" w:space="0" w:color="auto"/>
        <w:right w:val="none" w:sz="0" w:space="0" w:color="auto"/>
      </w:divBdr>
    </w:div>
    <w:div w:id="1653365844">
      <w:bodyDiv w:val="1"/>
      <w:marLeft w:val="0"/>
      <w:marRight w:val="0"/>
      <w:marTop w:val="0"/>
      <w:marBottom w:val="0"/>
      <w:divBdr>
        <w:top w:val="none" w:sz="0" w:space="0" w:color="auto"/>
        <w:left w:val="none" w:sz="0" w:space="0" w:color="auto"/>
        <w:bottom w:val="none" w:sz="0" w:space="0" w:color="auto"/>
        <w:right w:val="none" w:sz="0" w:space="0" w:color="auto"/>
      </w:divBdr>
    </w:div>
    <w:div w:id="1675571305">
      <w:bodyDiv w:val="1"/>
      <w:marLeft w:val="0"/>
      <w:marRight w:val="0"/>
      <w:marTop w:val="0"/>
      <w:marBottom w:val="0"/>
      <w:divBdr>
        <w:top w:val="none" w:sz="0" w:space="0" w:color="auto"/>
        <w:left w:val="none" w:sz="0" w:space="0" w:color="auto"/>
        <w:bottom w:val="none" w:sz="0" w:space="0" w:color="auto"/>
        <w:right w:val="none" w:sz="0" w:space="0" w:color="auto"/>
      </w:divBdr>
    </w:div>
    <w:div w:id="1734161397">
      <w:bodyDiv w:val="1"/>
      <w:marLeft w:val="0"/>
      <w:marRight w:val="0"/>
      <w:marTop w:val="0"/>
      <w:marBottom w:val="0"/>
      <w:divBdr>
        <w:top w:val="none" w:sz="0" w:space="0" w:color="auto"/>
        <w:left w:val="none" w:sz="0" w:space="0" w:color="auto"/>
        <w:bottom w:val="none" w:sz="0" w:space="0" w:color="auto"/>
        <w:right w:val="none" w:sz="0" w:space="0" w:color="auto"/>
      </w:divBdr>
    </w:div>
    <w:div w:id="1750812352">
      <w:bodyDiv w:val="1"/>
      <w:marLeft w:val="0"/>
      <w:marRight w:val="0"/>
      <w:marTop w:val="0"/>
      <w:marBottom w:val="0"/>
      <w:divBdr>
        <w:top w:val="none" w:sz="0" w:space="0" w:color="auto"/>
        <w:left w:val="none" w:sz="0" w:space="0" w:color="auto"/>
        <w:bottom w:val="none" w:sz="0" w:space="0" w:color="auto"/>
        <w:right w:val="none" w:sz="0" w:space="0" w:color="auto"/>
      </w:divBdr>
    </w:div>
    <w:div w:id="1780830180">
      <w:bodyDiv w:val="1"/>
      <w:marLeft w:val="0"/>
      <w:marRight w:val="0"/>
      <w:marTop w:val="0"/>
      <w:marBottom w:val="0"/>
      <w:divBdr>
        <w:top w:val="none" w:sz="0" w:space="0" w:color="auto"/>
        <w:left w:val="none" w:sz="0" w:space="0" w:color="auto"/>
        <w:bottom w:val="none" w:sz="0" w:space="0" w:color="auto"/>
        <w:right w:val="none" w:sz="0" w:space="0" w:color="auto"/>
      </w:divBdr>
    </w:div>
    <w:div w:id="1783305082">
      <w:bodyDiv w:val="1"/>
      <w:marLeft w:val="0"/>
      <w:marRight w:val="0"/>
      <w:marTop w:val="0"/>
      <w:marBottom w:val="0"/>
      <w:divBdr>
        <w:top w:val="none" w:sz="0" w:space="0" w:color="auto"/>
        <w:left w:val="none" w:sz="0" w:space="0" w:color="auto"/>
        <w:bottom w:val="none" w:sz="0" w:space="0" w:color="auto"/>
        <w:right w:val="none" w:sz="0" w:space="0" w:color="auto"/>
      </w:divBdr>
    </w:div>
    <w:div w:id="1791970307">
      <w:bodyDiv w:val="1"/>
      <w:marLeft w:val="0"/>
      <w:marRight w:val="0"/>
      <w:marTop w:val="0"/>
      <w:marBottom w:val="0"/>
      <w:divBdr>
        <w:top w:val="none" w:sz="0" w:space="0" w:color="auto"/>
        <w:left w:val="none" w:sz="0" w:space="0" w:color="auto"/>
        <w:bottom w:val="none" w:sz="0" w:space="0" w:color="auto"/>
        <w:right w:val="none" w:sz="0" w:space="0" w:color="auto"/>
      </w:divBdr>
    </w:div>
    <w:div w:id="1793548905">
      <w:bodyDiv w:val="1"/>
      <w:marLeft w:val="0"/>
      <w:marRight w:val="0"/>
      <w:marTop w:val="0"/>
      <w:marBottom w:val="0"/>
      <w:divBdr>
        <w:top w:val="none" w:sz="0" w:space="0" w:color="auto"/>
        <w:left w:val="none" w:sz="0" w:space="0" w:color="auto"/>
        <w:bottom w:val="none" w:sz="0" w:space="0" w:color="auto"/>
        <w:right w:val="none" w:sz="0" w:space="0" w:color="auto"/>
      </w:divBdr>
    </w:div>
    <w:div w:id="1815172344">
      <w:bodyDiv w:val="1"/>
      <w:marLeft w:val="0"/>
      <w:marRight w:val="0"/>
      <w:marTop w:val="0"/>
      <w:marBottom w:val="0"/>
      <w:divBdr>
        <w:top w:val="none" w:sz="0" w:space="0" w:color="auto"/>
        <w:left w:val="none" w:sz="0" w:space="0" w:color="auto"/>
        <w:bottom w:val="none" w:sz="0" w:space="0" w:color="auto"/>
        <w:right w:val="none" w:sz="0" w:space="0" w:color="auto"/>
      </w:divBdr>
    </w:div>
    <w:div w:id="1821533491">
      <w:bodyDiv w:val="1"/>
      <w:marLeft w:val="0"/>
      <w:marRight w:val="0"/>
      <w:marTop w:val="0"/>
      <w:marBottom w:val="0"/>
      <w:divBdr>
        <w:top w:val="none" w:sz="0" w:space="0" w:color="auto"/>
        <w:left w:val="none" w:sz="0" w:space="0" w:color="auto"/>
        <w:bottom w:val="none" w:sz="0" w:space="0" w:color="auto"/>
        <w:right w:val="none" w:sz="0" w:space="0" w:color="auto"/>
      </w:divBdr>
    </w:div>
    <w:div w:id="1855143122">
      <w:bodyDiv w:val="1"/>
      <w:marLeft w:val="0"/>
      <w:marRight w:val="0"/>
      <w:marTop w:val="0"/>
      <w:marBottom w:val="0"/>
      <w:divBdr>
        <w:top w:val="none" w:sz="0" w:space="0" w:color="auto"/>
        <w:left w:val="none" w:sz="0" w:space="0" w:color="auto"/>
        <w:bottom w:val="none" w:sz="0" w:space="0" w:color="auto"/>
        <w:right w:val="none" w:sz="0" w:space="0" w:color="auto"/>
      </w:divBdr>
    </w:div>
    <w:div w:id="1879049774">
      <w:bodyDiv w:val="1"/>
      <w:marLeft w:val="0"/>
      <w:marRight w:val="0"/>
      <w:marTop w:val="0"/>
      <w:marBottom w:val="0"/>
      <w:divBdr>
        <w:top w:val="none" w:sz="0" w:space="0" w:color="auto"/>
        <w:left w:val="none" w:sz="0" w:space="0" w:color="auto"/>
        <w:bottom w:val="none" w:sz="0" w:space="0" w:color="auto"/>
        <w:right w:val="none" w:sz="0" w:space="0" w:color="auto"/>
      </w:divBdr>
      <w:divsChild>
        <w:div w:id="222835965">
          <w:marLeft w:val="360"/>
          <w:marRight w:val="0"/>
          <w:marTop w:val="200"/>
          <w:marBottom w:val="0"/>
          <w:divBdr>
            <w:top w:val="none" w:sz="0" w:space="0" w:color="auto"/>
            <w:left w:val="none" w:sz="0" w:space="0" w:color="auto"/>
            <w:bottom w:val="none" w:sz="0" w:space="0" w:color="auto"/>
            <w:right w:val="none" w:sz="0" w:space="0" w:color="auto"/>
          </w:divBdr>
        </w:div>
      </w:divsChild>
    </w:div>
    <w:div w:id="1882284707">
      <w:bodyDiv w:val="1"/>
      <w:marLeft w:val="0"/>
      <w:marRight w:val="0"/>
      <w:marTop w:val="0"/>
      <w:marBottom w:val="0"/>
      <w:divBdr>
        <w:top w:val="none" w:sz="0" w:space="0" w:color="auto"/>
        <w:left w:val="none" w:sz="0" w:space="0" w:color="auto"/>
        <w:bottom w:val="none" w:sz="0" w:space="0" w:color="auto"/>
        <w:right w:val="none" w:sz="0" w:space="0" w:color="auto"/>
      </w:divBdr>
    </w:div>
    <w:div w:id="1889798790">
      <w:bodyDiv w:val="1"/>
      <w:marLeft w:val="0"/>
      <w:marRight w:val="0"/>
      <w:marTop w:val="0"/>
      <w:marBottom w:val="0"/>
      <w:divBdr>
        <w:top w:val="none" w:sz="0" w:space="0" w:color="auto"/>
        <w:left w:val="none" w:sz="0" w:space="0" w:color="auto"/>
        <w:bottom w:val="none" w:sz="0" w:space="0" w:color="auto"/>
        <w:right w:val="none" w:sz="0" w:space="0" w:color="auto"/>
      </w:divBdr>
    </w:div>
    <w:div w:id="1897549467">
      <w:bodyDiv w:val="1"/>
      <w:marLeft w:val="0"/>
      <w:marRight w:val="0"/>
      <w:marTop w:val="0"/>
      <w:marBottom w:val="0"/>
      <w:divBdr>
        <w:top w:val="none" w:sz="0" w:space="0" w:color="auto"/>
        <w:left w:val="none" w:sz="0" w:space="0" w:color="auto"/>
        <w:bottom w:val="none" w:sz="0" w:space="0" w:color="auto"/>
        <w:right w:val="none" w:sz="0" w:space="0" w:color="auto"/>
      </w:divBdr>
    </w:div>
    <w:div w:id="1910964258">
      <w:bodyDiv w:val="1"/>
      <w:marLeft w:val="0"/>
      <w:marRight w:val="0"/>
      <w:marTop w:val="0"/>
      <w:marBottom w:val="0"/>
      <w:divBdr>
        <w:top w:val="none" w:sz="0" w:space="0" w:color="auto"/>
        <w:left w:val="none" w:sz="0" w:space="0" w:color="auto"/>
        <w:bottom w:val="none" w:sz="0" w:space="0" w:color="auto"/>
        <w:right w:val="none" w:sz="0" w:space="0" w:color="auto"/>
      </w:divBdr>
    </w:div>
    <w:div w:id="1911695857">
      <w:bodyDiv w:val="1"/>
      <w:marLeft w:val="0"/>
      <w:marRight w:val="0"/>
      <w:marTop w:val="0"/>
      <w:marBottom w:val="0"/>
      <w:divBdr>
        <w:top w:val="none" w:sz="0" w:space="0" w:color="auto"/>
        <w:left w:val="none" w:sz="0" w:space="0" w:color="auto"/>
        <w:bottom w:val="none" w:sz="0" w:space="0" w:color="auto"/>
        <w:right w:val="none" w:sz="0" w:space="0" w:color="auto"/>
      </w:divBdr>
    </w:div>
    <w:div w:id="1937329251">
      <w:bodyDiv w:val="1"/>
      <w:marLeft w:val="0"/>
      <w:marRight w:val="0"/>
      <w:marTop w:val="0"/>
      <w:marBottom w:val="0"/>
      <w:divBdr>
        <w:top w:val="none" w:sz="0" w:space="0" w:color="auto"/>
        <w:left w:val="none" w:sz="0" w:space="0" w:color="auto"/>
        <w:bottom w:val="none" w:sz="0" w:space="0" w:color="auto"/>
        <w:right w:val="none" w:sz="0" w:space="0" w:color="auto"/>
      </w:divBdr>
    </w:div>
    <w:div w:id="1938905158">
      <w:bodyDiv w:val="1"/>
      <w:marLeft w:val="0"/>
      <w:marRight w:val="0"/>
      <w:marTop w:val="0"/>
      <w:marBottom w:val="0"/>
      <w:divBdr>
        <w:top w:val="none" w:sz="0" w:space="0" w:color="auto"/>
        <w:left w:val="none" w:sz="0" w:space="0" w:color="auto"/>
        <w:bottom w:val="none" w:sz="0" w:space="0" w:color="auto"/>
        <w:right w:val="none" w:sz="0" w:space="0" w:color="auto"/>
      </w:divBdr>
    </w:div>
    <w:div w:id="1964118806">
      <w:bodyDiv w:val="1"/>
      <w:marLeft w:val="0"/>
      <w:marRight w:val="0"/>
      <w:marTop w:val="0"/>
      <w:marBottom w:val="0"/>
      <w:divBdr>
        <w:top w:val="none" w:sz="0" w:space="0" w:color="auto"/>
        <w:left w:val="none" w:sz="0" w:space="0" w:color="auto"/>
        <w:bottom w:val="none" w:sz="0" w:space="0" w:color="auto"/>
        <w:right w:val="none" w:sz="0" w:space="0" w:color="auto"/>
      </w:divBdr>
    </w:div>
    <w:div w:id="1970746051">
      <w:bodyDiv w:val="1"/>
      <w:marLeft w:val="0"/>
      <w:marRight w:val="0"/>
      <w:marTop w:val="0"/>
      <w:marBottom w:val="0"/>
      <w:divBdr>
        <w:top w:val="none" w:sz="0" w:space="0" w:color="auto"/>
        <w:left w:val="none" w:sz="0" w:space="0" w:color="auto"/>
        <w:bottom w:val="none" w:sz="0" w:space="0" w:color="auto"/>
        <w:right w:val="none" w:sz="0" w:space="0" w:color="auto"/>
      </w:divBdr>
      <w:divsChild>
        <w:div w:id="436953051">
          <w:marLeft w:val="360"/>
          <w:marRight w:val="0"/>
          <w:marTop w:val="200"/>
          <w:marBottom w:val="0"/>
          <w:divBdr>
            <w:top w:val="none" w:sz="0" w:space="0" w:color="auto"/>
            <w:left w:val="none" w:sz="0" w:space="0" w:color="auto"/>
            <w:bottom w:val="none" w:sz="0" w:space="0" w:color="auto"/>
            <w:right w:val="none" w:sz="0" w:space="0" w:color="auto"/>
          </w:divBdr>
        </w:div>
      </w:divsChild>
    </w:div>
    <w:div w:id="2049840909">
      <w:bodyDiv w:val="1"/>
      <w:marLeft w:val="0"/>
      <w:marRight w:val="0"/>
      <w:marTop w:val="0"/>
      <w:marBottom w:val="0"/>
      <w:divBdr>
        <w:top w:val="none" w:sz="0" w:space="0" w:color="auto"/>
        <w:left w:val="none" w:sz="0" w:space="0" w:color="auto"/>
        <w:bottom w:val="none" w:sz="0" w:space="0" w:color="auto"/>
        <w:right w:val="none" w:sz="0" w:space="0" w:color="auto"/>
      </w:divBdr>
    </w:div>
    <w:div w:id="2067415958">
      <w:bodyDiv w:val="1"/>
      <w:marLeft w:val="0"/>
      <w:marRight w:val="0"/>
      <w:marTop w:val="0"/>
      <w:marBottom w:val="0"/>
      <w:divBdr>
        <w:top w:val="none" w:sz="0" w:space="0" w:color="auto"/>
        <w:left w:val="none" w:sz="0" w:space="0" w:color="auto"/>
        <w:bottom w:val="none" w:sz="0" w:space="0" w:color="auto"/>
        <w:right w:val="none" w:sz="0" w:space="0" w:color="auto"/>
      </w:divBdr>
    </w:div>
    <w:div w:id="2106075739">
      <w:bodyDiv w:val="1"/>
      <w:marLeft w:val="0"/>
      <w:marRight w:val="0"/>
      <w:marTop w:val="0"/>
      <w:marBottom w:val="0"/>
      <w:divBdr>
        <w:top w:val="none" w:sz="0" w:space="0" w:color="auto"/>
        <w:left w:val="none" w:sz="0" w:space="0" w:color="auto"/>
        <w:bottom w:val="none" w:sz="0" w:space="0" w:color="auto"/>
        <w:right w:val="none" w:sz="0" w:space="0" w:color="auto"/>
      </w:divBdr>
      <w:divsChild>
        <w:div w:id="3497695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EFB3C2D518C483990DFCD26A12DE07A"/>
        <w:category>
          <w:name w:val="General"/>
          <w:gallery w:val="placeholder"/>
        </w:category>
        <w:types>
          <w:type w:val="bbPlcHdr"/>
        </w:types>
        <w:behaviors>
          <w:behavior w:val="content"/>
        </w:behaviors>
        <w:guid w:val="{4CC7315D-E452-4673-8EF0-4EC31828FA95}"/>
      </w:docPartPr>
      <w:docPartBody>
        <w:p w:rsidR="00742B56" w:rsidRDefault="002D0CFE" w:rsidP="002D0CFE">
          <w:pPr>
            <w:pStyle w:val="2EFB3C2D518C483990DFCD26A12DE07A"/>
          </w:pPr>
          <w:r>
            <w:rPr>
              <w:color w:val="0F4761" w:themeColor="accent1" w:themeShade="BF"/>
              <w:sz w:val="24"/>
              <w:szCs w:val="24"/>
            </w:rPr>
            <w:t>[Company name]</w:t>
          </w:r>
        </w:p>
      </w:docPartBody>
    </w:docPart>
    <w:docPart>
      <w:docPartPr>
        <w:name w:val="7BBF96D588034F7C9B5B1384BF7687E8"/>
        <w:category>
          <w:name w:val="General"/>
          <w:gallery w:val="placeholder"/>
        </w:category>
        <w:types>
          <w:type w:val="bbPlcHdr"/>
        </w:types>
        <w:behaviors>
          <w:behavior w:val="content"/>
        </w:behaviors>
        <w:guid w:val="{14DC1E04-AB79-4F4B-B040-AC28CC2E1C90}"/>
      </w:docPartPr>
      <w:docPartBody>
        <w:p w:rsidR="00742B56" w:rsidRDefault="002D0CFE" w:rsidP="002D0CFE">
          <w:pPr>
            <w:pStyle w:val="7BBF96D588034F7C9B5B1384BF7687E8"/>
          </w:pPr>
          <w:r>
            <w:rPr>
              <w:rFonts w:asciiTheme="majorHAnsi" w:eastAsiaTheme="majorEastAsia" w:hAnsiTheme="majorHAnsi" w:cstheme="majorBidi"/>
              <w:color w:val="156082" w:themeColor="accent1"/>
              <w:sz w:val="88"/>
              <w:szCs w:val="88"/>
            </w:rPr>
            <w:t>[Document title]</w:t>
          </w:r>
        </w:p>
      </w:docPartBody>
    </w:docPart>
    <w:docPart>
      <w:docPartPr>
        <w:name w:val="128995AA6C8E4C00AC5C506E3CB7A8C6"/>
        <w:category>
          <w:name w:val="General"/>
          <w:gallery w:val="placeholder"/>
        </w:category>
        <w:types>
          <w:type w:val="bbPlcHdr"/>
        </w:types>
        <w:behaviors>
          <w:behavior w:val="content"/>
        </w:behaviors>
        <w:guid w:val="{582C1EB4-E744-4930-B207-FCAD9D76732B}"/>
      </w:docPartPr>
      <w:docPartBody>
        <w:p w:rsidR="00742B56" w:rsidRDefault="002D0CFE" w:rsidP="002D0CFE">
          <w:pPr>
            <w:pStyle w:val="128995AA6C8E4C00AC5C506E3CB7A8C6"/>
          </w:pPr>
          <w:r>
            <w:rPr>
              <w:color w:val="156082" w:themeColor="accent1"/>
              <w:sz w:val="28"/>
              <w:szCs w:val="28"/>
            </w:rPr>
            <w:t>[Author name]</w:t>
          </w:r>
        </w:p>
      </w:docPartBody>
    </w:docPart>
    <w:docPart>
      <w:docPartPr>
        <w:name w:val="2DBA519A5C50494AB7231190AE524EEB"/>
        <w:category>
          <w:name w:val="General"/>
          <w:gallery w:val="placeholder"/>
        </w:category>
        <w:types>
          <w:type w:val="bbPlcHdr"/>
        </w:types>
        <w:behaviors>
          <w:behavior w:val="content"/>
        </w:behaviors>
        <w:guid w:val="{C7031F31-C6F5-43CD-B76C-A9839E112722}"/>
      </w:docPartPr>
      <w:docPartBody>
        <w:p w:rsidR="00742B56" w:rsidRDefault="002D0CFE" w:rsidP="002D0CFE">
          <w:pPr>
            <w:pStyle w:val="2DBA519A5C50494AB7231190AE524EE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CFE"/>
    <w:rsid w:val="000326FC"/>
    <w:rsid w:val="00065B26"/>
    <w:rsid w:val="00096E39"/>
    <w:rsid w:val="000F512C"/>
    <w:rsid w:val="00165D08"/>
    <w:rsid w:val="001A2933"/>
    <w:rsid w:val="001E6558"/>
    <w:rsid w:val="001F43D6"/>
    <w:rsid w:val="00201170"/>
    <w:rsid w:val="0025242B"/>
    <w:rsid w:val="00261CC1"/>
    <w:rsid w:val="00265B75"/>
    <w:rsid w:val="00292DE2"/>
    <w:rsid w:val="002D0CFE"/>
    <w:rsid w:val="00316369"/>
    <w:rsid w:val="003466FD"/>
    <w:rsid w:val="00364A2A"/>
    <w:rsid w:val="003A6BBB"/>
    <w:rsid w:val="003C44D0"/>
    <w:rsid w:val="003C6D87"/>
    <w:rsid w:val="004A0AB4"/>
    <w:rsid w:val="005507BD"/>
    <w:rsid w:val="005836E2"/>
    <w:rsid w:val="005D7165"/>
    <w:rsid w:val="00653C8D"/>
    <w:rsid w:val="0066106D"/>
    <w:rsid w:val="00725CFE"/>
    <w:rsid w:val="00730860"/>
    <w:rsid w:val="00742B56"/>
    <w:rsid w:val="007C5F3F"/>
    <w:rsid w:val="007D4410"/>
    <w:rsid w:val="008518B0"/>
    <w:rsid w:val="00870660"/>
    <w:rsid w:val="00875BDE"/>
    <w:rsid w:val="00922B39"/>
    <w:rsid w:val="00926E15"/>
    <w:rsid w:val="00930EF1"/>
    <w:rsid w:val="009B3BAE"/>
    <w:rsid w:val="009B4F64"/>
    <w:rsid w:val="00AB57F5"/>
    <w:rsid w:val="00AC7ED1"/>
    <w:rsid w:val="00AD3C02"/>
    <w:rsid w:val="00B21867"/>
    <w:rsid w:val="00B434D6"/>
    <w:rsid w:val="00B449F1"/>
    <w:rsid w:val="00B67C94"/>
    <w:rsid w:val="00BB5609"/>
    <w:rsid w:val="00BC53B8"/>
    <w:rsid w:val="00BE0423"/>
    <w:rsid w:val="00C21357"/>
    <w:rsid w:val="00C50B14"/>
    <w:rsid w:val="00D15455"/>
    <w:rsid w:val="00D17F2A"/>
    <w:rsid w:val="00D24C0F"/>
    <w:rsid w:val="00D77258"/>
    <w:rsid w:val="00D779B5"/>
    <w:rsid w:val="00D8161B"/>
    <w:rsid w:val="00DC6DCB"/>
    <w:rsid w:val="00EC6051"/>
    <w:rsid w:val="00ED0DA4"/>
    <w:rsid w:val="00F8570B"/>
    <w:rsid w:val="00F94DA0"/>
    <w:rsid w:val="00F9615A"/>
    <w:rsid w:val="00FE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FB3C2D518C483990DFCD26A12DE07A">
    <w:name w:val="2EFB3C2D518C483990DFCD26A12DE07A"/>
    <w:rsid w:val="002D0CFE"/>
  </w:style>
  <w:style w:type="paragraph" w:customStyle="1" w:styleId="7BBF96D588034F7C9B5B1384BF7687E8">
    <w:name w:val="7BBF96D588034F7C9B5B1384BF7687E8"/>
    <w:rsid w:val="002D0CFE"/>
  </w:style>
  <w:style w:type="paragraph" w:customStyle="1" w:styleId="128995AA6C8E4C00AC5C506E3CB7A8C6">
    <w:name w:val="128995AA6C8E4C00AC5C506E3CB7A8C6"/>
    <w:rsid w:val="002D0CFE"/>
  </w:style>
  <w:style w:type="paragraph" w:customStyle="1" w:styleId="2DBA519A5C50494AB7231190AE524EEB">
    <w:name w:val="2DBA519A5C50494AB7231190AE524EEB"/>
    <w:rsid w:val="002D0CFE"/>
  </w:style>
  <w:style w:type="character" w:styleId="PlaceholderText">
    <w:name w:val="Placeholder Text"/>
    <w:basedOn w:val="DefaultParagraphFont"/>
    <w:uiPriority w:val="99"/>
    <w:semiHidden/>
    <w:rsid w:val="00FE790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40BA2-698E-435A-95BA-3A3D8A013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9903</TotalTime>
  <Pages>17</Pages>
  <Words>4313</Words>
  <Characters>24587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Targeting Emissions:  Comparing California Climate Policy Impacts</vt:lpstr>
    </vt:vector>
  </TitlesOfParts>
  <Company>California Lutheran University</Company>
  <LinksUpToDate>false</LinksUpToDate>
  <CharactersWithSpaces>28843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Targeting Emissions:  Comparing California Climate Policy Impacts</dc:title>
  <dc:creator>Shaun Levenson</dc:creator>
  <cp:lastModifiedBy>shaun levenson</cp:lastModifiedBy>
  <cp:revision>213</cp:revision>
  <cp:lastPrinted>2025-04-20T21:06:00Z</cp:lastPrinted>
  <dcterms:created xsi:type="dcterms:W3CDTF">2024-01-19T06:28:00Z</dcterms:created>
  <dcterms:modified xsi:type="dcterms:W3CDTF">2025-08-08T22:27:00Z</dcterms:modified>
</cp:coreProperties>
</file>