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Pr="00D92532" w:rsidRDefault="00DC4EEF" w:rsidP="00434C6F">
      <w:pPr>
        <w:spacing w:after="60" w:line="240" w:lineRule="auto"/>
        <w:ind w:left="426"/>
        <w:jc w:val="center"/>
        <w:rPr>
          <w:rFonts w:ascii="Arial" w:hAnsi="Arial" w:cs="Arial"/>
          <w:b/>
          <w:sz w:val="24"/>
        </w:rPr>
      </w:pPr>
      <w:r w:rsidRPr="00D92532">
        <w:rPr>
          <w:rFonts w:ascii="Arial" w:hAnsi="Arial" w:cs="Arial"/>
          <w:b/>
          <w:sz w:val="24"/>
        </w:rPr>
        <w:t>Quadro-</w:t>
      </w:r>
      <w:r w:rsidR="009328F0">
        <w:rPr>
          <w:rFonts w:ascii="Arial" w:hAnsi="Arial" w:cs="Arial"/>
          <w:b/>
          <w:sz w:val="24"/>
        </w:rPr>
        <w:t>legenda</w:t>
      </w:r>
      <w:r w:rsidRPr="00D92532">
        <w:rPr>
          <w:rFonts w:ascii="Arial" w:hAnsi="Arial" w:cs="Arial"/>
          <w:b/>
          <w:sz w:val="24"/>
        </w:rPr>
        <w:t xml:space="preserve"> </w:t>
      </w:r>
      <w:r w:rsidR="00DB0688">
        <w:rPr>
          <w:rFonts w:ascii="Arial" w:hAnsi="Arial" w:cs="Arial"/>
          <w:b/>
          <w:sz w:val="24"/>
        </w:rPr>
        <w:t>A</w:t>
      </w:r>
      <w:r w:rsidR="00380808" w:rsidRPr="00D92532">
        <w:rPr>
          <w:rFonts w:ascii="Arial" w:hAnsi="Arial" w:cs="Arial"/>
          <w:b/>
          <w:sz w:val="24"/>
        </w:rPr>
        <w:t xml:space="preserve"> - </w:t>
      </w:r>
      <w:r w:rsidR="00C9222D" w:rsidRPr="00D92532">
        <w:rPr>
          <w:rFonts w:ascii="Arial" w:hAnsi="Arial" w:cs="Arial"/>
          <w:b/>
          <w:sz w:val="24"/>
        </w:rPr>
        <w:t>S</w:t>
      </w:r>
      <w:r w:rsidR="00567433" w:rsidRPr="00D92532">
        <w:rPr>
          <w:rFonts w:ascii="Arial" w:hAnsi="Arial" w:cs="Arial"/>
          <w:b/>
          <w:sz w:val="24"/>
        </w:rPr>
        <w:t>usceti</w:t>
      </w:r>
      <w:r w:rsidR="00614E94" w:rsidRPr="00D92532">
        <w:rPr>
          <w:rFonts w:ascii="Arial" w:hAnsi="Arial" w:cs="Arial"/>
          <w:b/>
          <w:sz w:val="24"/>
        </w:rPr>
        <w:t xml:space="preserve">bilidade a </w:t>
      </w:r>
      <w:r w:rsidR="00D0772D">
        <w:rPr>
          <w:rFonts w:ascii="Arial" w:hAnsi="Arial" w:cs="Arial"/>
          <w:b/>
          <w:sz w:val="24"/>
        </w:rPr>
        <w:t xml:space="preserve">movimentos </w:t>
      </w:r>
      <w:r w:rsidR="00361101">
        <w:rPr>
          <w:rFonts w:ascii="Arial" w:hAnsi="Arial" w:cs="Arial"/>
          <w:b/>
          <w:sz w:val="24"/>
        </w:rPr>
        <w:t xml:space="preserve">gravitacionais </w:t>
      </w:r>
      <w:r w:rsidR="00D0772D">
        <w:rPr>
          <w:rFonts w:ascii="Arial" w:hAnsi="Arial" w:cs="Arial"/>
          <w:b/>
          <w:sz w:val="24"/>
        </w:rPr>
        <w:t>de massa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26"/>
        <w:gridCol w:w="3969"/>
        <w:gridCol w:w="5670"/>
        <w:gridCol w:w="610"/>
        <w:gridCol w:w="611"/>
        <w:gridCol w:w="610"/>
        <w:gridCol w:w="611"/>
      </w:tblGrid>
      <w:tr w:rsidR="008F43BF" w:rsidRPr="00D92532" w:rsidTr="00410849">
        <w:trPr>
          <w:trHeight w:hRule="exact" w:val="851"/>
          <w:jc w:val="center"/>
        </w:trPr>
        <w:tc>
          <w:tcPr>
            <w:tcW w:w="1826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D4261" w:rsidRDefault="008F43BF" w:rsidP="00254CD0">
            <w:pPr>
              <w:jc w:val="center"/>
              <w:rPr>
                <w:rFonts w:ascii="Arial" w:hAnsi="Arial" w:cs="Arial"/>
                <w:b/>
                <w:sz w:val="18"/>
                <w:szCs w:val="20"/>
                <w:vertAlign w:val="superscript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B60A9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Foto ilustrativa</w:t>
            </w:r>
          </w:p>
        </w:tc>
        <w:tc>
          <w:tcPr>
            <w:tcW w:w="56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D92532" w:rsidRDefault="008F43BF" w:rsidP="005151DB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Características predominantes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744793" w:rsidRDefault="008F43BF" w:rsidP="00192A55">
            <w:pPr>
              <w:jc w:val="center"/>
              <w:rPr>
                <w:rFonts w:ascii="Arial" w:hAnsi="Arial" w:cs="Arial"/>
                <w:b/>
                <w:sz w:val="18"/>
                <w:szCs w:val="17"/>
              </w:rPr>
            </w:pPr>
            <w:r w:rsidRPr="00744793">
              <w:rPr>
                <w:rFonts w:ascii="Arial" w:hAnsi="Arial" w:cs="Arial"/>
                <w:b/>
                <w:sz w:val="18"/>
                <w:szCs w:val="17"/>
              </w:rPr>
              <w:t>Área</w:t>
            </w:r>
          </w:p>
        </w:tc>
        <w:tc>
          <w:tcPr>
            <w:tcW w:w="1221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8F43BF" w:rsidRPr="008F43BF" w:rsidRDefault="008F43BF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8F43BF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3D14DA" w:rsidRPr="00D92532" w:rsidTr="00410849">
        <w:trPr>
          <w:trHeight w:hRule="exact" w:val="377"/>
          <w:jc w:val="center"/>
        </w:trPr>
        <w:tc>
          <w:tcPr>
            <w:tcW w:w="1826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D92532" w:rsidRDefault="00614E94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396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614E94" w:rsidRPr="00D92532" w:rsidRDefault="00614E94" w:rsidP="00BF6252">
            <w:pPr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0EF" w:rsidP="006140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k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614E94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614E94" w:rsidRPr="001D3ECC" w:rsidRDefault="00614E94" w:rsidP="00254CD0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1D3ECC">
              <w:rPr>
                <w:rFonts w:ascii="Arial" w:hAnsi="Arial" w:cs="Arial"/>
                <w:b/>
                <w:sz w:val="17"/>
                <w:szCs w:val="17"/>
              </w:rPr>
              <w:t>%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254CD0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="00BF6252" w:rsidRPr="001D3ECC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C33D4C" w:rsidRPr="00C33D4C" w:rsidTr="00112709">
        <w:trPr>
          <w:trHeight w:hRule="exact" w:val="2977"/>
          <w:jc w:val="center"/>
        </w:trPr>
        <w:tc>
          <w:tcPr>
            <w:tcW w:w="18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B170D2" w:rsidRDefault="00F158F3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C67E2" w:rsidRPr="00B170D2">
              <w:rPr>
                <w:rFonts w:ascii="Arial" w:hAnsi="Arial" w:cs="Arial"/>
                <w:sz w:val="18"/>
                <w:szCs w:val="17"/>
              </w:rPr>
              <w:t xml:space="preserve">escarpas e </w:t>
            </w:r>
            <w:r w:rsidR="00C93CCA" w:rsidRPr="00B170D2">
              <w:rPr>
                <w:rFonts w:ascii="Arial" w:hAnsi="Arial" w:cs="Arial"/>
                <w:sz w:val="18"/>
                <w:szCs w:val="17"/>
              </w:rPr>
              <w:t>s</w:t>
            </w:r>
            <w:r w:rsidRPr="00B170D2">
              <w:rPr>
                <w:rFonts w:ascii="Arial" w:hAnsi="Arial" w:cs="Arial"/>
                <w:sz w:val="18"/>
                <w:szCs w:val="17"/>
              </w:rPr>
              <w:t>erras</w:t>
            </w:r>
            <w:r w:rsidR="00C93CCA" w:rsidRPr="00B170D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Forma das encostas: retilíneas e côncavas, com anfiteatros de cabeceiras de drenagem abruptos;</w:t>
            </w:r>
          </w:p>
          <w:p w:rsidR="00C93CCA" w:rsidRPr="00B170D2" w:rsidRDefault="00FA6E6E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4C45C7" w:rsidRPr="00B170D2">
              <w:rPr>
                <w:rFonts w:ascii="Arial" w:hAnsi="Arial" w:cs="Arial"/>
                <w:sz w:val="18"/>
                <w:szCs w:val="17"/>
              </w:rPr>
              <w:t>4</w:t>
            </w:r>
            <w:r w:rsidRPr="00B170D2">
              <w:rPr>
                <w:rFonts w:ascii="Arial" w:hAnsi="Arial" w:cs="Arial"/>
                <w:sz w:val="18"/>
                <w:szCs w:val="17"/>
              </w:rPr>
              <w:t xml:space="preserve">0 </w:t>
            </w:r>
            <w:r w:rsidR="00C93CCA" w:rsidRPr="00B170D2">
              <w:rPr>
                <w:rFonts w:ascii="Arial" w:hAnsi="Arial" w:cs="Arial"/>
                <w:sz w:val="18"/>
                <w:szCs w:val="17"/>
              </w:rPr>
              <w:t xml:space="preserve">a </w:t>
            </w:r>
            <w:r w:rsidR="004C45C7" w:rsidRPr="00B170D2">
              <w:rPr>
                <w:rFonts w:ascii="Arial" w:hAnsi="Arial" w:cs="Arial"/>
                <w:sz w:val="18"/>
                <w:szCs w:val="17"/>
              </w:rPr>
              <w:t>32</w:t>
            </w:r>
            <w:r w:rsidR="00C93CCA" w:rsidRPr="00B170D2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Declividades: &gt; 25°;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Litologia:</w:t>
            </w:r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 basaltos, </w:t>
            </w:r>
            <w:proofErr w:type="spellStart"/>
            <w:r w:rsidR="006E34E2" w:rsidRPr="00B170D2">
              <w:rPr>
                <w:rFonts w:ascii="Arial" w:hAnsi="Arial" w:cs="Arial"/>
                <w:sz w:val="18"/>
                <w:szCs w:val="17"/>
              </w:rPr>
              <w:t>riolitos</w:t>
            </w:r>
            <w:proofErr w:type="spellEnd"/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 e/ou </w:t>
            </w:r>
            <w:proofErr w:type="spellStart"/>
            <w:r w:rsidR="006E34E2" w:rsidRPr="00B170D2">
              <w:rPr>
                <w:rFonts w:ascii="Arial" w:hAnsi="Arial" w:cs="Arial"/>
                <w:sz w:val="18"/>
                <w:szCs w:val="17"/>
              </w:rPr>
              <w:t>riodacitos</w:t>
            </w:r>
            <w:proofErr w:type="spellEnd"/>
            <w:r w:rsidRPr="00B170D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Densidade de lineamentos/estruturas: alta;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Solos: pouco evoluídos e rasos; e</w:t>
            </w:r>
          </w:p>
          <w:p w:rsidR="00C93CCA" w:rsidRPr="00B170D2" w:rsidRDefault="00C93CCA" w:rsidP="00427297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F10A6F" w:rsidRPr="00B170D2">
              <w:rPr>
                <w:rFonts w:ascii="Arial" w:hAnsi="Arial" w:cs="Arial"/>
                <w:sz w:val="18"/>
                <w:szCs w:val="17"/>
              </w:rPr>
              <w:t xml:space="preserve">, </w:t>
            </w:r>
            <w:bookmarkStart w:id="0" w:name="_GoBack"/>
            <w:bookmarkEnd w:id="0"/>
            <w:r w:rsidR="00F10A6F" w:rsidRPr="00B170D2">
              <w:rPr>
                <w:rFonts w:ascii="Arial" w:hAnsi="Arial" w:cs="Arial"/>
                <w:sz w:val="18"/>
                <w:szCs w:val="17"/>
              </w:rPr>
              <w:t>queda de rocha</w:t>
            </w:r>
            <w:r w:rsidRPr="00B170D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93CCA" w:rsidRPr="00E70977" w:rsidRDefault="004C45C7" w:rsidP="004C45C7">
            <w:pPr>
              <w:ind w:left="-8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24,0</w:t>
            </w:r>
          </w:p>
        </w:tc>
        <w:tc>
          <w:tcPr>
            <w:tcW w:w="61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11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C33D4C" w:rsidRPr="00C33D4C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Relevo: </w:t>
            </w:r>
            <w:r w:rsidR="002C67E2" w:rsidRPr="00B170D2">
              <w:rPr>
                <w:rFonts w:ascii="Arial" w:hAnsi="Arial" w:cs="Arial"/>
                <w:sz w:val="18"/>
                <w:szCs w:val="17"/>
              </w:rPr>
              <w:t xml:space="preserve">escarpas e </w:t>
            </w:r>
            <w:r w:rsidR="00F158F3" w:rsidRPr="00B170D2">
              <w:rPr>
                <w:rFonts w:ascii="Arial" w:hAnsi="Arial" w:cs="Arial"/>
                <w:sz w:val="18"/>
                <w:szCs w:val="17"/>
              </w:rPr>
              <w:t>serras</w:t>
            </w:r>
            <w:r w:rsidRPr="00B170D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Forma das encostas: convexas a retilíneas e côncavas, com anfiteatros de cabeceira de drenagem;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Amplitudes: </w:t>
            </w:r>
            <w:r w:rsidR="004C45C7" w:rsidRPr="00B170D2">
              <w:rPr>
                <w:rFonts w:ascii="Arial" w:hAnsi="Arial" w:cs="Arial"/>
                <w:sz w:val="18"/>
                <w:szCs w:val="17"/>
              </w:rPr>
              <w:t>4</w:t>
            </w:r>
            <w:r w:rsidRPr="00B170D2">
              <w:rPr>
                <w:rFonts w:ascii="Arial" w:hAnsi="Arial" w:cs="Arial"/>
                <w:sz w:val="18"/>
                <w:szCs w:val="17"/>
              </w:rPr>
              <w:t>0 a</w:t>
            </w:r>
            <w:r w:rsidR="00FA6E6E" w:rsidRPr="00B170D2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53C70" w:rsidRPr="00B170D2">
              <w:rPr>
                <w:rFonts w:ascii="Arial" w:hAnsi="Arial" w:cs="Arial"/>
                <w:sz w:val="18"/>
                <w:szCs w:val="17"/>
              </w:rPr>
              <w:t>2</w:t>
            </w:r>
            <w:r w:rsidR="004C45C7" w:rsidRPr="00B170D2">
              <w:rPr>
                <w:rFonts w:ascii="Arial" w:hAnsi="Arial" w:cs="Arial"/>
                <w:sz w:val="18"/>
                <w:szCs w:val="17"/>
              </w:rPr>
              <w:t>2</w:t>
            </w:r>
            <w:r w:rsidRPr="00B170D2">
              <w:rPr>
                <w:rFonts w:ascii="Arial" w:hAnsi="Arial" w:cs="Arial"/>
                <w:sz w:val="18"/>
                <w:szCs w:val="17"/>
              </w:rPr>
              <w:t>0 m;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Declividades: 10 a 30°;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Litologia:</w:t>
            </w:r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 basaltos;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Densidade de lineamentos/estruturas: média;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Solos: evoluídos e moderadamente profundos; </w:t>
            </w:r>
            <w:proofErr w:type="gramStart"/>
            <w:r w:rsidRPr="00B170D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Processos: deslizamento</w:t>
            </w:r>
            <w:r w:rsidR="00F10A6F" w:rsidRPr="00B170D2">
              <w:rPr>
                <w:rFonts w:ascii="Arial" w:hAnsi="Arial" w:cs="Arial"/>
                <w:sz w:val="18"/>
                <w:szCs w:val="17"/>
              </w:rPr>
              <w:t>, queda de rocha</w:t>
            </w:r>
            <w:r w:rsidRPr="00B170D2">
              <w:rPr>
                <w:rFonts w:ascii="Arial" w:hAnsi="Arial" w:cs="Arial"/>
                <w:sz w:val="18"/>
                <w:szCs w:val="17"/>
              </w:rPr>
              <w:t xml:space="preserve"> e rastejo.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93CCA" w:rsidRPr="00E70977" w:rsidRDefault="004C45C7" w:rsidP="004C45C7">
            <w:pPr>
              <w:ind w:left="-8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20,3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4,7</w:t>
            </w:r>
          </w:p>
        </w:tc>
        <w:tc>
          <w:tcPr>
            <w:tcW w:w="610" w:type="dxa"/>
            <w:tcBorders>
              <w:left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  <w:tc>
          <w:tcPr>
            <w:tcW w:w="611" w:type="dxa"/>
            <w:tcBorders>
              <w:right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0,0</w:t>
            </w:r>
          </w:p>
        </w:tc>
      </w:tr>
      <w:tr w:rsidR="00C33D4C" w:rsidRPr="00C33D4C" w:rsidTr="00112709">
        <w:trPr>
          <w:trHeight w:hRule="exact" w:val="2977"/>
          <w:jc w:val="center"/>
        </w:trPr>
        <w:tc>
          <w:tcPr>
            <w:tcW w:w="182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4D0BEA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D92532"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D92532" w:rsidRDefault="00C93CCA" w:rsidP="00BF6252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67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Relevo: planícies </w:t>
            </w:r>
            <w:r w:rsidR="00572FBF" w:rsidRPr="00B170D2">
              <w:rPr>
                <w:rFonts w:ascii="Arial" w:hAnsi="Arial" w:cs="Arial"/>
                <w:sz w:val="18"/>
                <w:szCs w:val="17"/>
              </w:rPr>
              <w:t>e terraços f</w:t>
            </w:r>
            <w:r w:rsidRPr="00B170D2">
              <w:rPr>
                <w:rFonts w:ascii="Arial" w:hAnsi="Arial" w:cs="Arial"/>
                <w:sz w:val="18"/>
                <w:szCs w:val="17"/>
              </w:rPr>
              <w:t>luviais;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Forma das encostas: convexas suavizadas e topos amplos;</w:t>
            </w:r>
          </w:p>
          <w:p w:rsidR="00C93CCA" w:rsidRPr="00B170D2" w:rsidRDefault="00FA6E6E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Amplitudes: &lt; </w:t>
            </w:r>
            <w:r w:rsidR="004C45C7" w:rsidRPr="00B170D2">
              <w:rPr>
                <w:rFonts w:ascii="Arial" w:hAnsi="Arial" w:cs="Arial"/>
                <w:sz w:val="18"/>
                <w:szCs w:val="17"/>
              </w:rPr>
              <w:t>14</w:t>
            </w:r>
            <w:r w:rsidR="00053C70" w:rsidRPr="00B170D2">
              <w:rPr>
                <w:rFonts w:ascii="Arial" w:hAnsi="Arial" w:cs="Arial"/>
                <w:sz w:val="18"/>
                <w:szCs w:val="17"/>
              </w:rPr>
              <w:t>0</w:t>
            </w:r>
            <w:r w:rsidR="00C93CCA" w:rsidRPr="00B170D2">
              <w:rPr>
                <w:rFonts w:ascii="Arial" w:hAnsi="Arial" w:cs="Arial"/>
                <w:sz w:val="18"/>
                <w:szCs w:val="17"/>
              </w:rPr>
              <w:t> m;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Declividades: &lt; 15°;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Litologia:</w:t>
            </w:r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="006E34E2" w:rsidRPr="00B170D2">
              <w:rPr>
                <w:rFonts w:ascii="Arial" w:hAnsi="Arial" w:cs="Arial"/>
                <w:sz w:val="18"/>
                <w:szCs w:val="17"/>
              </w:rPr>
              <w:t>colúvios</w:t>
            </w:r>
            <w:proofErr w:type="spellEnd"/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, </w:t>
            </w:r>
            <w:proofErr w:type="spellStart"/>
            <w:r w:rsidR="006E34E2" w:rsidRPr="00B170D2">
              <w:rPr>
                <w:rFonts w:ascii="Arial" w:hAnsi="Arial" w:cs="Arial"/>
                <w:sz w:val="18"/>
                <w:szCs w:val="17"/>
              </w:rPr>
              <w:t>tálus</w:t>
            </w:r>
            <w:proofErr w:type="spellEnd"/>
            <w:r w:rsidR="006E34E2" w:rsidRPr="00B170D2">
              <w:rPr>
                <w:rFonts w:ascii="Arial" w:hAnsi="Arial" w:cs="Arial"/>
                <w:sz w:val="18"/>
                <w:szCs w:val="17"/>
              </w:rPr>
              <w:t xml:space="preserve"> e basaltos</w:t>
            </w:r>
            <w:r w:rsidRPr="00B170D2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C93CCA" w:rsidRPr="00B170D2" w:rsidRDefault="00C93CCA" w:rsidP="00D85D7F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Densidade de lineamentos/estruturas: baixa;</w:t>
            </w:r>
          </w:p>
          <w:p w:rsidR="00F158F3" w:rsidRPr="00B170D2" w:rsidRDefault="00C93CCA" w:rsidP="00D85D7F">
            <w:pPr>
              <w:pStyle w:val="PargrafodaLista"/>
              <w:numPr>
                <w:ilvl w:val="0"/>
                <w:numId w:val="6"/>
              </w:numPr>
              <w:spacing w:after="200" w:line="276" w:lineRule="auto"/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 xml:space="preserve">Solos: </w:t>
            </w:r>
            <w:r w:rsidR="003C14D6">
              <w:rPr>
                <w:rFonts w:ascii="Arial" w:hAnsi="Arial" w:cs="Arial"/>
                <w:sz w:val="18"/>
                <w:szCs w:val="17"/>
              </w:rPr>
              <w:t>aluviai</w:t>
            </w:r>
            <w:r w:rsidR="006E34E2" w:rsidRPr="00B170D2">
              <w:rPr>
                <w:rFonts w:ascii="Arial" w:hAnsi="Arial" w:cs="Arial"/>
                <w:sz w:val="18"/>
                <w:szCs w:val="17"/>
              </w:rPr>
              <w:t>s</w:t>
            </w:r>
            <w:r w:rsidR="00F158F3" w:rsidRPr="00B170D2">
              <w:rPr>
                <w:rFonts w:ascii="Arial" w:hAnsi="Arial" w:cs="Arial"/>
                <w:sz w:val="18"/>
                <w:szCs w:val="17"/>
              </w:rPr>
              <w:t xml:space="preserve">; </w:t>
            </w:r>
            <w:proofErr w:type="gramStart"/>
            <w:r w:rsidR="00F158F3" w:rsidRPr="00B170D2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  <w:r w:rsidR="00F158F3" w:rsidRPr="00B170D2">
              <w:rPr>
                <w:rFonts w:ascii="Arial" w:hAnsi="Arial" w:cs="Arial"/>
                <w:sz w:val="18"/>
                <w:szCs w:val="17"/>
              </w:rPr>
              <w:t xml:space="preserve"> </w:t>
            </w:r>
          </w:p>
          <w:p w:rsidR="00C93CCA" w:rsidRPr="00B170D2" w:rsidRDefault="004C45C7" w:rsidP="00053C70">
            <w:pPr>
              <w:pStyle w:val="PargrafodaLista"/>
              <w:numPr>
                <w:ilvl w:val="0"/>
                <w:numId w:val="11"/>
              </w:numPr>
              <w:ind w:left="317" w:hanging="283"/>
              <w:rPr>
                <w:rFonts w:ascii="Arial" w:hAnsi="Arial" w:cs="Arial"/>
                <w:sz w:val="18"/>
                <w:szCs w:val="17"/>
              </w:rPr>
            </w:pPr>
            <w:r w:rsidRPr="00B170D2">
              <w:rPr>
                <w:rFonts w:ascii="Arial" w:hAnsi="Arial" w:cs="Arial"/>
                <w:sz w:val="18"/>
                <w:szCs w:val="17"/>
              </w:rPr>
              <w:t>Processos: deslizamento, queda de rocha e rastejo.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93CCA" w:rsidRPr="00E70977" w:rsidRDefault="004C45C7" w:rsidP="004C45C7">
            <w:pPr>
              <w:ind w:left="-8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307,1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E70977" w:rsidRDefault="004C45C7" w:rsidP="003C14D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71,</w:t>
            </w:r>
            <w:r w:rsidR="003C14D6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61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C93CCA" w:rsidRPr="00E70977" w:rsidRDefault="004C45C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7,64</w:t>
            </w:r>
          </w:p>
        </w:tc>
        <w:tc>
          <w:tcPr>
            <w:tcW w:w="611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C93CCA" w:rsidRPr="00E70977" w:rsidRDefault="004C45C7" w:rsidP="004C45C7">
            <w:pPr>
              <w:ind w:left="-71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E7097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</w:tr>
    </w:tbl>
    <w:p w:rsidR="00254CD0" w:rsidRPr="00F919C6" w:rsidRDefault="00254CD0" w:rsidP="00254CD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3D14DA" w:rsidRPr="00537D31" w:rsidRDefault="003D14DA" w:rsidP="00537D31">
      <w:pPr>
        <w:rPr>
          <w:rFonts w:ascii="Arial" w:hAnsi="Arial" w:cs="Arial"/>
          <w:sz w:val="18"/>
          <w:szCs w:val="18"/>
        </w:rPr>
      </w:pPr>
    </w:p>
    <w:sectPr w:rsidR="003D14DA" w:rsidRPr="00537D31" w:rsidSect="00176BF5">
      <w:pgSz w:w="16840" w:h="11907" w:orient="landscape" w:code="9"/>
      <w:pgMar w:top="284" w:right="113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03AB0"/>
    <w:rsid w:val="000100AA"/>
    <w:rsid w:val="00013D62"/>
    <w:rsid w:val="00016B5F"/>
    <w:rsid w:val="00016CD5"/>
    <w:rsid w:val="00053C70"/>
    <w:rsid w:val="00055262"/>
    <w:rsid w:val="00056131"/>
    <w:rsid w:val="0005655C"/>
    <w:rsid w:val="00065A53"/>
    <w:rsid w:val="00074FC5"/>
    <w:rsid w:val="000805CB"/>
    <w:rsid w:val="00080792"/>
    <w:rsid w:val="00081FB1"/>
    <w:rsid w:val="000923D8"/>
    <w:rsid w:val="00093D40"/>
    <w:rsid w:val="0009645F"/>
    <w:rsid w:val="000A06C1"/>
    <w:rsid w:val="000A36B5"/>
    <w:rsid w:val="000A7096"/>
    <w:rsid w:val="000B2832"/>
    <w:rsid w:val="000C551E"/>
    <w:rsid w:val="000E0F7A"/>
    <w:rsid w:val="000F4072"/>
    <w:rsid w:val="00112709"/>
    <w:rsid w:val="00113466"/>
    <w:rsid w:val="001403FF"/>
    <w:rsid w:val="00140B3E"/>
    <w:rsid w:val="001502E8"/>
    <w:rsid w:val="00164520"/>
    <w:rsid w:val="001726D8"/>
    <w:rsid w:val="00173CFF"/>
    <w:rsid w:val="00176BF5"/>
    <w:rsid w:val="00176FA6"/>
    <w:rsid w:val="00191335"/>
    <w:rsid w:val="00192A55"/>
    <w:rsid w:val="00195D55"/>
    <w:rsid w:val="001A007A"/>
    <w:rsid w:val="001A214B"/>
    <w:rsid w:val="001A29AA"/>
    <w:rsid w:val="001A2E6E"/>
    <w:rsid w:val="001A5309"/>
    <w:rsid w:val="001B37C6"/>
    <w:rsid w:val="001B47F1"/>
    <w:rsid w:val="001B718B"/>
    <w:rsid w:val="001D044C"/>
    <w:rsid w:val="001D3ECC"/>
    <w:rsid w:val="001D7358"/>
    <w:rsid w:val="001D78C2"/>
    <w:rsid w:val="001F3A2C"/>
    <w:rsid w:val="00200ADF"/>
    <w:rsid w:val="0022131E"/>
    <w:rsid w:val="00222F4B"/>
    <w:rsid w:val="002257B6"/>
    <w:rsid w:val="002279EB"/>
    <w:rsid w:val="00230C8A"/>
    <w:rsid w:val="002329EB"/>
    <w:rsid w:val="00251375"/>
    <w:rsid w:val="00254CD0"/>
    <w:rsid w:val="00256A6D"/>
    <w:rsid w:val="0027083F"/>
    <w:rsid w:val="00271C52"/>
    <w:rsid w:val="0027546C"/>
    <w:rsid w:val="00280BBF"/>
    <w:rsid w:val="002A1765"/>
    <w:rsid w:val="002C08B5"/>
    <w:rsid w:val="002C67E2"/>
    <w:rsid w:val="002E58C2"/>
    <w:rsid w:val="002F2652"/>
    <w:rsid w:val="0030653A"/>
    <w:rsid w:val="00316FF5"/>
    <w:rsid w:val="00327A38"/>
    <w:rsid w:val="00336F85"/>
    <w:rsid w:val="003477B5"/>
    <w:rsid w:val="00347F8D"/>
    <w:rsid w:val="00361101"/>
    <w:rsid w:val="00380808"/>
    <w:rsid w:val="00387449"/>
    <w:rsid w:val="00390078"/>
    <w:rsid w:val="00395AE2"/>
    <w:rsid w:val="00397B61"/>
    <w:rsid w:val="003A0205"/>
    <w:rsid w:val="003B0489"/>
    <w:rsid w:val="003B1B45"/>
    <w:rsid w:val="003B1B6B"/>
    <w:rsid w:val="003B1E58"/>
    <w:rsid w:val="003B68E2"/>
    <w:rsid w:val="003C14D6"/>
    <w:rsid w:val="003C26D0"/>
    <w:rsid w:val="003D14DA"/>
    <w:rsid w:val="003E2004"/>
    <w:rsid w:val="003F1EAF"/>
    <w:rsid w:val="003F46D6"/>
    <w:rsid w:val="004025AC"/>
    <w:rsid w:val="004034AC"/>
    <w:rsid w:val="00410849"/>
    <w:rsid w:val="00412AFC"/>
    <w:rsid w:val="00414A48"/>
    <w:rsid w:val="00427297"/>
    <w:rsid w:val="00430C4C"/>
    <w:rsid w:val="00434C6F"/>
    <w:rsid w:val="004368F9"/>
    <w:rsid w:val="004473F5"/>
    <w:rsid w:val="0045254F"/>
    <w:rsid w:val="00462706"/>
    <w:rsid w:val="004659E3"/>
    <w:rsid w:val="004C3B66"/>
    <w:rsid w:val="004C45C7"/>
    <w:rsid w:val="004D0BEA"/>
    <w:rsid w:val="004D6310"/>
    <w:rsid w:val="004E583E"/>
    <w:rsid w:val="00511001"/>
    <w:rsid w:val="005151DB"/>
    <w:rsid w:val="00515366"/>
    <w:rsid w:val="0053145F"/>
    <w:rsid w:val="00537D31"/>
    <w:rsid w:val="0055242D"/>
    <w:rsid w:val="00561045"/>
    <w:rsid w:val="005622EE"/>
    <w:rsid w:val="00563AAF"/>
    <w:rsid w:val="0056635C"/>
    <w:rsid w:val="00567433"/>
    <w:rsid w:val="00572FBF"/>
    <w:rsid w:val="00577FC0"/>
    <w:rsid w:val="005822EF"/>
    <w:rsid w:val="005A45B1"/>
    <w:rsid w:val="005A6883"/>
    <w:rsid w:val="005C01FB"/>
    <w:rsid w:val="005D666D"/>
    <w:rsid w:val="005D75B8"/>
    <w:rsid w:val="005D7799"/>
    <w:rsid w:val="005E0483"/>
    <w:rsid w:val="005F144A"/>
    <w:rsid w:val="005F48EA"/>
    <w:rsid w:val="00604C0F"/>
    <w:rsid w:val="006066F7"/>
    <w:rsid w:val="00610FD3"/>
    <w:rsid w:val="00613585"/>
    <w:rsid w:val="006140EF"/>
    <w:rsid w:val="00614E94"/>
    <w:rsid w:val="00617B4F"/>
    <w:rsid w:val="006249F4"/>
    <w:rsid w:val="0063440E"/>
    <w:rsid w:val="006418AA"/>
    <w:rsid w:val="006459FF"/>
    <w:rsid w:val="00654475"/>
    <w:rsid w:val="00657BB1"/>
    <w:rsid w:val="00676C11"/>
    <w:rsid w:val="00683147"/>
    <w:rsid w:val="00686F04"/>
    <w:rsid w:val="006927AD"/>
    <w:rsid w:val="00693EB1"/>
    <w:rsid w:val="00695C15"/>
    <w:rsid w:val="006C1CF1"/>
    <w:rsid w:val="006C5815"/>
    <w:rsid w:val="006E34E2"/>
    <w:rsid w:val="0070356C"/>
    <w:rsid w:val="0071133E"/>
    <w:rsid w:val="00723A9A"/>
    <w:rsid w:val="00723D96"/>
    <w:rsid w:val="00744793"/>
    <w:rsid w:val="007566D2"/>
    <w:rsid w:val="00761696"/>
    <w:rsid w:val="00765DB1"/>
    <w:rsid w:val="00773DC4"/>
    <w:rsid w:val="0079246E"/>
    <w:rsid w:val="007C6504"/>
    <w:rsid w:val="007C77E7"/>
    <w:rsid w:val="007E3DDF"/>
    <w:rsid w:val="007F0BCC"/>
    <w:rsid w:val="007F70BB"/>
    <w:rsid w:val="00814939"/>
    <w:rsid w:val="0085760C"/>
    <w:rsid w:val="008934F8"/>
    <w:rsid w:val="008A50ED"/>
    <w:rsid w:val="008B7BDB"/>
    <w:rsid w:val="008C43C4"/>
    <w:rsid w:val="008D4261"/>
    <w:rsid w:val="008D5D83"/>
    <w:rsid w:val="008E14F4"/>
    <w:rsid w:val="008E5F85"/>
    <w:rsid w:val="008F43BF"/>
    <w:rsid w:val="00912E63"/>
    <w:rsid w:val="00921E50"/>
    <w:rsid w:val="009328F0"/>
    <w:rsid w:val="009404B0"/>
    <w:rsid w:val="00955BDA"/>
    <w:rsid w:val="00992072"/>
    <w:rsid w:val="009A10DA"/>
    <w:rsid w:val="009A3E1A"/>
    <w:rsid w:val="009A7D72"/>
    <w:rsid w:val="009C1B15"/>
    <w:rsid w:val="009D2A22"/>
    <w:rsid w:val="009D64EB"/>
    <w:rsid w:val="009D6E04"/>
    <w:rsid w:val="009E24C7"/>
    <w:rsid w:val="009F5C38"/>
    <w:rsid w:val="009F6F3F"/>
    <w:rsid w:val="00A0181F"/>
    <w:rsid w:val="00A01A7B"/>
    <w:rsid w:val="00A05292"/>
    <w:rsid w:val="00A06C27"/>
    <w:rsid w:val="00A06C37"/>
    <w:rsid w:val="00A07744"/>
    <w:rsid w:val="00A533B1"/>
    <w:rsid w:val="00A54B52"/>
    <w:rsid w:val="00A6783F"/>
    <w:rsid w:val="00A850AA"/>
    <w:rsid w:val="00A9122A"/>
    <w:rsid w:val="00A9175D"/>
    <w:rsid w:val="00A92EC1"/>
    <w:rsid w:val="00AB0074"/>
    <w:rsid w:val="00AB655D"/>
    <w:rsid w:val="00AC0249"/>
    <w:rsid w:val="00AD01E3"/>
    <w:rsid w:val="00AD3385"/>
    <w:rsid w:val="00AD6AA3"/>
    <w:rsid w:val="00AE0C8D"/>
    <w:rsid w:val="00AE2F7F"/>
    <w:rsid w:val="00AE52C5"/>
    <w:rsid w:val="00AF160F"/>
    <w:rsid w:val="00AF3C0E"/>
    <w:rsid w:val="00AF4E1E"/>
    <w:rsid w:val="00B02546"/>
    <w:rsid w:val="00B035B6"/>
    <w:rsid w:val="00B036E9"/>
    <w:rsid w:val="00B170D2"/>
    <w:rsid w:val="00B23B98"/>
    <w:rsid w:val="00B417E9"/>
    <w:rsid w:val="00B56389"/>
    <w:rsid w:val="00B60A99"/>
    <w:rsid w:val="00B62A3F"/>
    <w:rsid w:val="00B70777"/>
    <w:rsid w:val="00B7540C"/>
    <w:rsid w:val="00B8439F"/>
    <w:rsid w:val="00B851B1"/>
    <w:rsid w:val="00B90C9D"/>
    <w:rsid w:val="00B91DC8"/>
    <w:rsid w:val="00B95E0C"/>
    <w:rsid w:val="00BA2F6D"/>
    <w:rsid w:val="00BB0E95"/>
    <w:rsid w:val="00BC254E"/>
    <w:rsid w:val="00BD0076"/>
    <w:rsid w:val="00BD66BC"/>
    <w:rsid w:val="00BE0148"/>
    <w:rsid w:val="00BF0854"/>
    <w:rsid w:val="00BF6252"/>
    <w:rsid w:val="00C00ECB"/>
    <w:rsid w:val="00C03443"/>
    <w:rsid w:val="00C0643D"/>
    <w:rsid w:val="00C075EC"/>
    <w:rsid w:val="00C17CD6"/>
    <w:rsid w:val="00C211FC"/>
    <w:rsid w:val="00C27FB2"/>
    <w:rsid w:val="00C33BB2"/>
    <w:rsid w:val="00C33D4C"/>
    <w:rsid w:val="00C35C8A"/>
    <w:rsid w:val="00C4240E"/>
    <w:rsid w:val="00C7703E"/>
    <w:rsid w:val="00C8141E"/>
    <w:rsid w:val="00C9222D"/>
    <w:rsid w:val="00C93CCA"/>
    <w:rsid w:val="00C96CE0"/>
    <w:rsid w:val="00CA3443"/>
    <w:rsid w:val="00CB19D0"/>
    <w:rsid w:val="00CB1FDD"/>
    <w:rsid w:val="00CB59B8"/>
    <w:rsid w:val="00CD4E01"/>
    <w:rsid w:val="00CF3B90"/>
    <w:rsid w:val="00D0772D"/>
    <w:rsid w:val="00D07B9D"/>
    <w:rsid w:val="00D17A75"/>
    <w:rsid w:val="00D23BF9"/>
    <w:rsid w:val="00D43430"/>
    <w:rsid w:val="00D532E1"/>
    <w:rsid w:val="00D539AD"/>
    <w:rsid w:val="00D5791C"/>
    <w:rsid w:val="00D7711C"/>
    <w:rsid w:val="00D85821"/>
    <w:rsid w:val="00D85D7F"/>
    <w:rsid w:val="00D92532"/>
    <w:rsid w:val="00DA06D6"/>
    <w:rsid w:val="00DB0688"/>
    <w:rsid w:val="00DB42EF"/>
    <w:rsid w:val="00DC28EA"/>
    <w:rsid w:val="00DC46A5"/>
    <w:rsid w:val="00DC4EEF"/>
    <w:rsid w:val="00DE2103"/>
    <w:rsid w:val="00DE31D0"/>
    <w:rsid w:val="00DF3320"/>
    <w:rsid w:val="00DF53A5"/>
    <w:rsid w:val="00E05D2B"/>
    <w:rsid w:val="00E2193F"/>
    <w:rsid w:val="00E31728"/>
    <w:rsid w:val="00E33971"/>
    <w:rsid w:val="00E54364"/>
    <w:rsid w:val="00E5601A"/>
    <w:rsid w:val="00E673C7"/>
    <w:rsid w:val="00E70977"/>
    <w:rsid w:val="00E70B46"/>
    <w:rsid w:val="00E71944"/>
    <w:rsid w:val="00E94465"/>
    <w:rsid w:val="00EA4540"/>
    <w:rsid w:val="00EA69E4"/>
    <w:rsid w:val="00ED6A10"/>
    <w:rsid w:val="00EF10E3"/>
    <w:rsid w:val="00F015A4"/>
    <w:rsid w:val="00F10889"/>
    <w:rsid w:val="00F10A6F"/>
    <w:rsid w:val="00F154F2"/>
    <w:rsid w:val="00F158F3"/>
    <w:rsid w:val="00F173D1"/>
    <w:rsid w:val="00F20500"/>
    <w:rsid w:val="00F2653A"/>
    <w:rsid w:val="00F45F08"/>
    <w:rsid w:val="00F72A78"/>
    <w:rsid w:val="00F87584"/>
    <w:rsid w:val="00FA6E6E"/>
    <w:rsid w:val="00FB61F1"/>
    <w:rsid w:val="00FD05D5"/>
    <w:rsid w:val="00FD1469"/>
    <w:rsid w:val="00FD183F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DC230-FF40-4CD3-83D0-4B6BF20C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Priscilla Moreira Argentin</cp:lastModifiedBy>
  <cp:revision>17</cp:revision>
  <cp:lastPrinted>2013-07-29T16:09:00Z</cp:lastPrinted>
  <dcterms:created xsi:type="dcterms:W3CDTF">2014-07-24T21:29:00Z</dcterms:created>
  <dcterms:modified xsi:type="dcterms:W3CDTF">2015-04-06T18:28:00Z</dcterms:modified>
</cp:coreProperties>
</file>