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gentclassroom"/>
    <w:p>
      <w:pPr>
        <w:pStyle w:val="Heading1"/>
      </w:pPr>
      <w:r>
        <w:t xml:space="preserve">AgentClassroom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baseline_report.md</w:t>
      </w:r>
      <w:r>
        <w:rPr>
          <w:i/>
          <w:iCs/>
        </w:rPr>
        <w:t xml:space="preserve"> </w:t>
      </w:r>
      <w:r>
        <w:rPr>
          <w:i/>
          <w:iCs/>
        </w:rPr>
        <w:t xml:space="preserve">for the long version.</w:t>
      </w:r>
    </w:p>
    <w:p>
      <w:pPr>
        <w:pStyle w:val="BodyText"/>
      </w:pPr>
      <w:r>
        <w:rPr>
          <w:b/>
          <w:bCs/>
        </w:rPr>
        <w:t xml:space="preserve">Capability ≠ teaching.</w:t>
      </w:r>
    </w:p>
    <w:p>
      <w:pPr>
        <w:pStyle w:val="BodyText"/>
      </w:pPr>
      <w:r>
        <w:t xml:space="preserve">Capability benchmarks (used to) crown GPT-5.4. This teaching eval shows it loses to GPT-5.4-nano.</w:t>
      </w:r>
    </w:p>
    <w:p>
      <w:pPr>
        <w:pStyle w:val="BodyText"/>
      </w:pPr>
      <w:r>
        <w:t xml:space="preserve">Models know the material. They’ve read all the textbooks. So when teaching, they open with</w:t>
      </w:r>
      <w:r>
        <w:t xml:space="preserve"> </w:t>
      </w:r>
      <w:r>
        <w:t xml:space="preserve">“Great question!”</w:t>
      </w:r>
      <w:r>
        <w:t xml:space="preserve">, write a textbook chapter about the topic that covers everything the student could possibly want to learn up to grad school, and end with</w:t>
      </w:r>
      <w:r>
        <w:t xml:space="preserve"> </w:t>
      </w:r>
      <w:r>
        <w:t xml:space="preserve">“want me to cover W, X, Y, Z next?”</w:t>
      </w:r>
    </w:p>
    <w:p>
      <w:pPr>
        <w:pStyle w:val="BodyText"/>
      </w:pPr>
      <w:r>
        <w:t xml:space="preserve">Students bounce.</w:t>
      </w:r>
    </w:p>
    <w:bookmarkStart w:id="20" w:name="what-we-built"/>
    <w:p>
      <w:pPr>
        <w:pStyle w:val="Heading2"/>
      </w:pPr>
      <w:r>
        <w:t xml:space="preserve">What we built</w:t>
      </w:r>
    </w:p>
    <w:p>
      <w:pPr>
        <w:pStyle w:val="Compact"/>
        <w:numPr>
          <w:ilvl w:val="0"/>
          <w:numId w:val="1001"/>
        </w:numPr>
      </w:pPr>
      <w:r>
        <w:t xml:space="preserve">57 Math and CS teaching tasks; 15 with uploaded reference materials (textbook pages, lecture notes, handwritten homework)</w:t>
      </w:r>
    </w:p>
    <w:p>
      <w:pPr>
        <w:pStyle w:val="Compact"/>
        <w:numPr>
          <w:ilvl w:val="0"/>
          <w:numId w:val="1001"/>
        </w:numPr>
      </w:pPr>
      <w:r>
        <w:t xml:space="preserve">LLM-LLM rollouts. LLM teacher, simulated student, and a judge.</w:t>
      </w:r>
    </w:p>
    <w:p>
      <w:pPr>
        <w:pStyle w:val="Compact"/>
        <w:numPr>
          <w:ilvl w:val="0"/>
          <w:numId w:val="1001"/>
        </w:numPr>
      </w:pPr>
      <w:r>
        <w:t xml:space="preserve">An 8-criterion rubric that penalizes common LLM teaching failure patterns. The equation for the overall score captures non-linear relationships and is tunable after judging.</w:t>
      </w:r>
    </w:p>
    <w:p>
      <w:pPr>
        <w:pStyle w:val="Compact"/>
        <w:numPr>
          <w:ilvl w:val="0"/>
          <w:numId w:val="1001"/>
        </w:numPr>
      </w:pPr>
      <w:r>
        <w:t xml:space="preserve">Tested 4 models from multiple providers (OpenAI + Anthropic) for a total of 228 rollouts.</w:t>
      </w:r>
    </w:p>
    <w:p>
      <w:pPr>
        <w:pStyle w:val="Compact"/>
        <w:numPr>
          <w:ilvl w:val="0"/>
          <w:numId w:val="1001"/>
        </w:numPr>
      </w:pPr>
      <w:r>
        <w:t xml:space="preserve">Modular. Drop in your model. Drop in your rubric.</w:t>
      </w:r>
    </w:p>
    <w:bookmarkEnd w:id="20"/>
    <w:bookmarkStart w:id="21" w:name="results-n228-full-dataset"/>
    <w:p>
      <w:pPr>
        <w:pStyle w:val="Heading2"/>
      </w:pPr>
      <w:r>
        <w:t xml:space="preserve">Results (n=228, full dataset)</w:t>
      </w:r>
    </w:p>
    <w:p>
      <w:pPr>
        <w:pStyle w:val="FirstParagraph"/>
      </w:pPr>
      <w:r>
        <w:rPr>
          <w:i/>
          <w:iCs/>
        </w:rPr>
        <w:t xml:space="preserve">Table 1: Criterion and composite scores by model (mean across 57 tasks); Student simulated by GPT-5.4-mini in all trials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GPT-5.4-nano</w:t>
            </w:r>
          </w:p>
        </w:tc>
        <w:tc>
          <w:tcPr/>
          <w:p>
            <w:pPr>
              <w:pStyle w:val="Compact"/>
            </w:pPr>
            <w:r>
              <w:t xml:space="preserve">GPT-5.4-mini</w:t>
            </w:r>
          </w:p>
        </w:tc>
        <w:tc>
          <w:tcPr/>
          <w:p>
            <w:pPr>
              <w:pStyle w:val="Compact"/>
            </w:pPr>
            <w:r>
              <w:t xml:space="preserve">GPT-5.4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Opus 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the question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Factual correctness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Engages with materials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firehosing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</w:t>
            </w:r>
            <w:r>
              <w:t xml:space="preserve"> </w:t>
            </w:r>
            <w:r>
              <w:t xml:space="preserve">←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Matches student’s level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Scaffolds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Clarity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sycophancy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</w:t>
            </w:r>
            <w:r>
              <w:t xml:space="preserve"> </w:t>
            </w:r>
            <w:r>
              <w:t xml:space="preserve">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0.635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rollout</w:t>
            </w:r>
          </w:p>
        </w:tc>
        <w:tc>
          <w:tcPr/>
          <w:p>
            <w:pPr>
              <w:pStyle w:val="Compact"/>
            </w:pPr>
            <w:r>
              <w:t xml:space="preserve">~$0.005</w:t>
            </w:r>
          </w:p>
        </w:tc>
        <w:tc>
          <w:tcPr/>
          <w:p>
            <w:pPr>
              <w:pStyle w:val="Compact"/>
            </w:pPr>
            <w:r>
              <w:t xml:space="preserve">~$0.015</w:t>
            </w:r>
          </w:p>
        </w:tc>
        <w:tc>
          <w:tcPr/>
          <w:p>
            <w:pPr>
              <w:pStyle w:val="Compact"/>
            </w:pPr>
            <w:r>
              <w:t xml:space="preserve">~$0.10</w:t>
            </w:r>
          </w:p>
        </w:tc>
        <w:tc>
          <w:tcPr/>
          <w:p>
            <w:pPr>
              <w:pStyle w:val="Compact"/>
            </w:pPr>
            <w:r>
              <w:t xml:space="preserve">~$0.22</w:t>
            </w:r>
          </w:p>
        </w:tc>
      </w:tr>
    </w:tbl>
    <w:p>
      <w:pPr>
        <w:pStyle w:val="BodyText"/>
      </w:pPr>
      <w:r>
        <w:t xml:space="preserve">The cheapest and most expensive models are tied.</w:t>
      </w:r>
    </w:p>
    <w:p>
      <w:pPr>
        <w:pStyle w:val="BodyText"/>
      </w:pPr>
      <w:r>
        <w:t xml:space="preserve">Individual criteria tell a different story: 0.14 gap between best and worst on firehosing (GPT-5.4 vs GPT-5.4-nano), and 0.30 on sycophancy (Opus 4.7 vs GPT-5.4) — both statistically significant. The eval rewards teaching, not raw capability.</w:t>
      </w:r>
    </w:p>
    <w:bookmarkEnd w:id="21"/>
    <w:bookmarkStart w:id="22" w:name="failure-modes"/>
    <w:p>
      <w:pPr>
        <w:pStyle w:val="Heading2"/>
      </w:pPr>
      <w:r>
        <w:t xml:space="preserve">Failure modes</w:t>
      </w:r>
    </w:p>
    <w:p>
      <w:pPr>
        <w:pStyle w:val="FirstParagraph"/>
      </w:pPr>
      <w:r>
        <w:rPr>
          <w:b/>
          <w:bCs/>
        </w:rPr>
        <w:t xml:space="preserve">All models dump too much information.</w:t>
      </w:r>
      <w:r>
        <w:t xml:space="preserve"> </w:t>
      </w:r>
      <w:r>
        <w:t xml:space="preserve">Average firehose score across all models is 0.23. The best (GPT-5.4-nano) tops out at 0.29. GPT-5.4 is the worst at 0.15: on</w:t>
      </w:r>
      <w:r>
        <w:t xml:space="preserve"> </w:t>
      </w:r>
      <w:r>
        <w:rPr>
          <w:rStyle w:val="VerbatimChar"/>
        </w:rPr>
        <w:t xml:space="preserve">halting_problem</w:t>
      </w:r>
      <w:r>
        <w:t xml:space="preserve"> </w:t>
      </w:r>
      <w:r>
        <w:t xml:space="preserve">it answered one conceptual question with five long sections and an unsolicited</w:t>
      </w:r>
      <w:r>
        <w:t xml:space="preserve"> </w:t>
      </w:r>
      <w:r>
        <w:t xml:space="preserve">“want me to also cover Rice’s theorem?”</w:t>
      </w:r>
      <w:r>
        <w:t xml:space="preserve"> </w:t>
      </w:r>
      <w:r>
        <w:t xml:space="preserve">invitation. I would like to note that the pattern is systemic and has been around since GPT-3.5.</w:t>
      </w:r>
    </w:p>
    <w:p>
      <w:pPr>
        <w:pStyle w:val="BodyText"/>
      </w:pPr>
      <w:r>
        <w:rPr>
          <w:b/>
          <w:bCs/>
        </w:rPr>
        <w:t xml:space="preserve">Opus 4.7 would be clearly the best teacher if not for sycophancy.</w:t>
      </w:r>
      <w:r>
        <w:t xml:space="preserve"> </w:t>
      </w:r>
      <w:r>
        <w:t xml:space="preserve">~30% of Opus 4.7 replies open with</w:t>
      </w:r>
      <w:r>
        <w:t xml:space="preserve"> </w:t>
      </w:r>
      <w:r>
        <w:t xml:space="preserve">“Great question!”</w:t>
      </w:r>
      <w:r>
        <w:t xml:space="preserve">,</w:t>
      </w:r>
      <w:r>
        <w:t xml:space="preserve"> </w:t>
      </w:r>
      <w:r>
        <w:t xml:space="preserve">“Totally fair”</w:t>
      </w:r>
      <w:r>
        <w:t xml:space="preserve">,</w:t>
      </w:r>
      <w:r>
        <w:t xml:space="preserve"> </w:t>
      </w:r>
      <w:r>
        <w:t xml:space="preserve">“What a thoughtful observation.”</w:t>
      </w:r>
      <w:r>
        <w:t xml:space="preserve"> </w:t>
      </w:r>
      <w:r>
        <w:t xml:space="preserve">Score on sycophancy:</w:t>
      </w:r>
      <w:r>
        <w:t xml:space="preserve"> </w:t>
      </w:r>
      <w:r>
        <w:rPr>
          <w:b/>
          <w:bCs/>
        </w:rPr>
        <w:t xml:space="preserve">0.60</w:t>
      </w:r>
      <w:r>
        <w:t xml:space="preserve"> </w:t>
      </w:r>
      <w:r>
        <w:t xml:space="preserve">(worst in corpus). Without the criterion, Opus 4.7 would be unambiguously first.</w:t>
      </w:r>
    </w:p>
    <w:p>
      <w:pPr>
        <w:pStyle w:val="BodyText"/>
      </w:pPr>
      <w:r>
        <w:rPr>
          <w:b/>
          <w:bCs/>
        </w:rPr>
        <w:t xml:space="preserve">Capability can reduce performance.</w:t>
      </w:r>
      <w:r>
        <w:t xml:space="preserve"> </w:t>
      </w:r>
      <w:r>
        <w:t xml:space="preserve">On a missing-comma SQL syntax error, Opus 4.7 identified the fix correctly, then second-guessed its own explanation mid-sentence:</w:t>
      </w:r>
      <w:r>
        <w:t xml:space="preserve"> </w:t>
      </w:r>
      <w:r>
        <w:rPr>
          <w:i/>
          <w:iCs/>
        </w:rPr>
        <w:t xml:space="preserve">“actually, the real parse issue is…”</w:t>
      </w:r>
      <w:r>
        <w:t xml:space="preserve"> </w:t>
      </w:r>
      <w:r>
        <w:t xml:space="preserve">and never recovered, achieving an overall score of</w:t>
      </w:r>
      <w:r>
        <w:t xml:space="preserve"> </w:t>
      </w:r>
      <w:r>
        <w:rPr>
          <w:b/>
          <w:bCs/>
        </w:rPr>
        <w:t xml:space="preserve">0.36</w:t>
      </w:r>
      <w:r>
        <w:t xml:space="preserve"> </w:t>
      </w:r>
      <w:r>
        <w:t xml:space="preserve">on a task where all cheaper models scored 0.91+. Capability can be bad for simple tasks.</w:t>
      </w:r>
    </w:p>
    <w:bookmarkEnd w:id="22"/>
    <w:bookmarkStart w:id="23" w:name="the-signal-is-real"/>
    <w:p>
      <w:pPr>
        <w:pStyle w:val="Heading2"/>
      </w:pPr>
      <w:r>
        <w:t xml:space="preserve">The signal is real</w:t>
      </w:r>
    </w:p>
    <w:p>
      <w:pPr>
        <w:pStyle w:val="Compact"/>
        <w:numPr>
          <w:ilvl w:val="0"/>
          <w:numId w:val="1002"/>
        </w:numPr>
      </w:pPr>
      <w:r>
        <w:t xml:space="preserve">Same transcript, judge replayed 5 times: composite CV</w:t>
      </w:r>
      <w:r>
        <w:t xml:space="preserve"> </w:t>
      </w:r>
      <w:r>
        <w:rPr>
          <w:b/>
          <w:bCs/>
        </w:rPr>
        <w:t xml:space="preserve">0.003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Same task, full rollout repeated 5 times: composite CV</w:t>
      </w:r>
      <w:r>
        <w:t xml:space="preserve"> </w:t>
      </w:r>
      <w:r>
        <w:rPr>
          <w:b/>
          <w:bCs/>
        </w:rPr>
        <w:t xml:space="preserve">0.010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 tasks, same tutor: composite range</w:t>
      </w:r>
      <w:r>
        <w:t xml:space="preserve"> </w:t>
      </w:r>
      <w:r>
        <w:rPr>
          <w:b/>
          <w:bCs/>
        </w:rPr>
        <w:t xml:space="preserve">0.48 to 0.96</w:t>
      </w:r>
      <w:r>
        <w:t xml:space="preserve"> </w:t>
      </w:r>
      <w:r>
        <w:t xml:space="preserve">(the eval discriminates).</w:t>
      </w:r>
    </w:p>
    <w:p>
      <w:pPr>
        <w:pStyle w:val="Compact"/>
        <w:numPr>
          <w:ilvl w:val="0"/>
          <w:numId w:val="1002"/>
        </w:numPr>
      </w:pPr>
      <w:r>
        <w:t xml:space="preserve">Different judge models: tutor ranking holds; absolute scores shift. Smaller judges saturate. We use Opus 4.7.</w:t>
      </w:r>
    </w:p>
    <w:bookmarkEnd w:id="23"/>
    <w:bookmarkStart w:id="24" w:name="caveats"/>
    <w:p>
      <w:pPr>
        <w:pStyle w:val="Heading2"/>
      </w:pPr>
      <w:r>
        <w:t xml:space="preserve">Caveats</w:t>
      </w:r>
    </w:p>
    <w:p>
      <w:pPr>
        <w:pStyle w:val="FirstParagraph"/>
      </w:pPr>
      <w:r>
        <w:t xml:space="preserve">LLM-simulated students aren’t real students and miss the messy way real users phrase things even with our prompting. Real students would give a cleaner signal and verify the benchmark. Potential improvements with real students: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Auto-generated quizzes</w:t>
      </w:r>
      <w:r>
        <w:t xml:space="preserve"> </w:t>
      </w:r>
      <w:r>
        <w:t xml:space="preserve">at the end of each rollout to measure what students actually learned.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 self-rating</w:t>
      </w:r>
      <w:r>
        <w:t xml:space="preserve">. Ask real users to rate clarity / confusion / usefulness of conversations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judging of actual conversation transcripts too</w:t>
      </w:r>
    </w:p>
    <w:bookmarkEnd w:id="24"/>
    <w:bookmarkStart w:id="25" w:name="market"/>
    <w:p>
      <w:pPr>
        <w:pStyle w:val="Heading2"/>
      </w:pPr>
      <w:r>
        <w:t xml:space="preserve">Market</w:t>
      </w:r>
    </w:p>
    <w:p>
      <w:pPr>
        <w:pStyle w:val="FirstParagraph"/>
      </w:pPr>
      <w:r>
        <w:t xml:space="preserve">AgentClassroom is one of the only benchmarks built for teaching quality. Potential markets for Deep24:</w:t>
      </w:r>
    </w:p>
    <w:p>
      <w:pPr>
        <w:pStyle w:val="BodyText"/>
      </w:pPr>
      <w:r>
        <w:rPr>
          <w:b/>
          <w:bCs/>
        </w:rPr>
        <w:t xml:space="preserve">AI tutoring companies</w:t>
      </w:r>
      <w:r>
        <w:t xml:space="preserve"> </w:t>
      </w:r>
      <w:r>
        <w:t xml:space="preserve">(Khan’s Khanmigo, Synthesis, MagicSchool, Numerade). They pick a model and Deep24 tells them GPT-5.4-mini gives ~97% of Opus 4.7’s teaching quality at 7% the cost.</w:t>
      </w:r>
    </w:p>
    <w:p>
      <w:pPr>
        <w:pStyle w:val="BodyText"/>
      </w:pPr>
      <w:r>
        <w:rPr>
          <w:b/>
          <w:bCs/>
        </w:rPr>
        <w:t xml:space="preserve">Frontier labs doing RLHF on teaching.</w:t>
      </w:r>
      <w:r>
        <w:t xml:space="preserve"> </w:t>
      </w:r>
      <w:r>
        <w:t xml:space="preserve">They need a teaching reward signal and human ratings are slow and expensive. Single-turn teaching benchmarks that focus on factual accuracy measure nothing useful.</w:t>
      </w:r>
    </w:p>
    <w:bookmarkEnd w:id="25"/>
    <w:bookmarkStart w:id="26" w:name="teaching-is-low-hanging-fruit"/>
    <w:p>
      <w:pPr>
        <w:pStyle w:val="Heading2"/>
      </w:pPr>
      <w:r>
        <w:t xml:space="preserve">Teaching is low-hanging fruit</w:t>
      </w:r>
    </w:p>
    <w:p>
      <w:pPr>
        <w:pStyle w:val="FirstParagraph"/>
      </w:pPr>
      <w:r>
        <w:t xml:space="preserve">Models already know the material. Content criteria —</w:t>
      </w:r>
      <w:r>
        <w:t xml:space="preserve"> </w:t>
      </w:r>
      <w:r>
        <w:rPr>
          <w:i/>
          <w:iCs/>
        </w:rPr>
        <w:t xml:space="preserve">answering the question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factual correctness</w:t>
      </w:r>
      <w:r>
        <w:t xml:space="preserve"> </w:t>
      </w:r>
      <w:r>
        <w:t xml:space="preserve">— are nearly saturated across the lineup.</w:t>
      </w:r>
    </w:p>
    <w:p>
      <w:pPr>
        <w:pStyle w:val="BodyText"/>
      </w:pPr>
      <w:r>
        <w:t xml:space="preserve">The problem is presentation, especially avoiding firehosing and sycophancy. These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capability problems. A targeted RL pass against this rubric can flip them in a single training run. AgentClassroom makes that training possible.</w:t>
      </w:r>
    </w:p>
    <w:bookmarkEnd w:id="26"/>
    <w:bookmarkStart w:id="27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4"/>
        </w:numPr>
      </w:pPr>
      <w:r>
        <w:t xml:space="preserve">I didn’t implement image generation because it’s expensive and rarely helpful. Code execution and making graphs may be more helpful, but this will require human students</w:t>
      </w:r>
    </w:p>
    <w:bookmarkEnd w:id="27"/>
    <w:bookmarkStart w:id="28" w:name="todos"/>
    <w:p>
      <w:pPr>
        <w:pStyle w:val="Heading2"/>
      </w:pPr>
      <w:r>
        <w:t xml:space="preserve">TODOs</w:t>
      </w:r>
    </w:p>
    <w:p>
      <w:pPr>
        <w:pStyle w:val="Compact"/>
        <w:numPr>
          <w:ilvl w:val="0"/>
          <w:numId w:val="1005"/>
        </w:numPr>
      </w:pPr>
      <w:r>
        <w:t xml:space="preserve">RL training loop. fine-tune a weak base model to teach well.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2026-05-11T17:12:23Z</dcterms:created>
  <dcterms:modified xsi:type="dcterms:W3CDTF">2026-05-11T17:12:23Z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