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60"/>
        </w:rPr>
        <w:t>VECL-QB</w:t>
      </w:r>
    </w:p>
    <w:p>
      <w:pPr>
        <w:jc w:val="center"/>
      </w:pPr>
      <w:r>
        <w:rPr>
          <w:b/>
          <w:sz w:val="38"/>
        </w:rPr>
        <w:t>Consolidated Research and Product Document</w:t>
      </w:r>
    </w:p>
    <w:p>
      <w:pPr>
        <w:jc w:val="center"/>
      </w:pPr>
      <w:r>
        <w:rPr>
          <w:i/>
          <w:sz w:val="24"/>
        </w:rPr>
        <w:t>Updated proof sketches, strategic-adversary analysis, and VECL-QB product synthesis</w:t>
      </w:r>
    </w:p>
    <w:p>
      <w:pPr>
        <w:jc w:val="center"/>
      </w:pPr>
      <w:r>
        <w:rPr>
          <w:color w:val="505050"/>
          <w:sz w:val="20"/>
        </w:rPr>
        <w:t>Prepared from the uploaded VECL notes, TLA+ specifications, and follow-up proof critique.</w:t>
      </w:r>
    </w:p>
    <w:p>
      <w:pPr>
        <w:jc w:val="center"/>
      </w:pPr>
      <w:r>
        <w:rPr>
          <w:b/>
          <w:sz w:val="20"/>
        </w:rPr>
        <w:t>Document status: consolidated working draft</w:t>
      </w:r>
    </w:p>
    <w:p>
      <w:r>
        <w:br w:type="page"/>
      </w:r>
    </w:p>
    <w:p>
      <w:pPr>
        <w:pStyle w:val="Heading1"/>
      </w:pPr>
      <w:r>
        <w:t>Contents</w:t>
      </w:r>
    </w:p>
    <w:p>
      <w:pPr>
        <w:pStyle w:val="CompactBullet"/>
      </w:pPr>
      <w:r>
        <w:t xml:space="preserve">• </w:t>
      </w:r>
      <w:r>
        <w:t>1. Executive summary</w:t>
      </w:r>
    </w:p>
    <w:p>
      <w:pPr>
        <w:pStyle w:val="CompactBullet"/>
      </w:pPr>
      <w:r>
        <w:t xml:space="preserve">• </w:t>
      </w:r>
      <w:r>
        <w:t>2. System framing and boundary</w:t>
      </w:r>
    </w:p>
    <w:p>
      <w:pPr>
        <w:pStyle w:val="CompactBullet"/>
      </w:pPr>
      <w:r>
        <w:t xml:space="preserve">• </w:t>
      </w:r>
      <w:r>
        <w:t>3. Updated formal argument package</w:t>
      </w:r>
    </w:p>
    <w:p>
      <w:pPr>
        <w:pStyle w:val="CompactBullet"/>
      </w:pPr>
      <w:r>
        <w:t xml:space="preserve">• </w:t>
      </w:r>
      <w:r>
        <w:t>4. Strategic long-game adversary threat model</w:t>
      </w:r>
    </w:p>
    <w:p>
      <w:pPr>
        <w:pStyle w:val="CompactBullet"/>
      </w:pPr>
      <w:r>
        <w:t xml:space="preserve">• </w:t>
      </w:r>
      <w:r>
        <w:t>5. VECL-QB product research synthesis</w:t>
      </w:r>
    </w:p>
    <w:p>
      <w:pPr>
        <w:pStyle w:val="CompactBullet"/>
      </w:pPr>
      <w:r>
        <w:t xml:space="preserve">• </w:t>
      </w:r>
      <w:r>
        <w:t>6. Deployment thesis for Magellan and regulated workflows</w:t>
      </w:r>
    </w:p>
    <w:p>
      <w:pPr>
        <w:pStyle w:val="CompactBullet"/>
      </w:pPr>
      <w:r>
        <w:t xml:space="preserve">• </w:t>
      </w:r>
      <w:r>
        <w:t>7. Evaluation and benchmark plan</w:t>
      </w:r>
    </w:p>
    <w:p>
      <w:pPr>
        <w:pStyle w:val="CompactBullet"/>
      </w:pPr>
      <w:r>
        <w:t xml:space="preserve">• </w:t>
      </w:r>
      <w:r>
        <w:t>8. Implementation and specification roadmap</w:t>
      </w:r>
    </w:p>
    <w:p>
      <w:pPr>
        <w:pStyle w:val="CompactBullet"/>
      </w:pPr>
      <w:r>
        <w:t xml:space="preserve">• </w:t>
      </w:r>
      <w:r>
        <w:t>9. Open design questions</w:t>
      </w:r>
    </w:p>
    <w:p>
      <w:pPr>
        <w:pStyle w:val="CompactBullet"/>
      </w:pPr>
      <w:r>
        <w:t xml:space="preserve">• </w:t>
      </w:r>
      <w:r>
        <w:t>Appendix A. Proposed formal-spec deltas</w:t>
      </w:r>
    </w:p>
    <w:p>
      <w:pPr>
        <w:pStyle w:val="CompactBullet"/>
      </w:pPr>
      <w:r>
        <w:t xml:space="preserve">• </w:t>
      </w:r>
      <w:r>
        <w:t>Appendix B. Source map</w:t>
      </w:r>
    </w:p>
    <w:p>
      <w:pPr>
        <w:pStyle w:val="SmallNote"/>
      </w:pPr>
      <w:r>
        <w:t>Note: This is a static table of contents for portability. Word/LibreOffice can generate a dynamic TOC later if desired.</w:t>
      </w:r>
    </w:p>
    <w:p>
      <w:r>
        <w:br w:type="page"/>
      </w:r>
    </w:p>
    <w:p>
      <w:pPr>
        <w:pStyle w:val="Heading1"/>
      </w:pPr>
      <w:r>
        <w:t>1. Executive summary</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pPr>
              <w:spacing w:after="40"/>
            </w:pPr>
            <w:r>
              <w:rPr>
                <w:b/>
                <w:color w:val="1F4E79"/>
              </w:rPr>
              <w:t>Core conclusion</w:t>
            </w:r>
          </w:p>
          <w:p>
            <w:pPr>
              <w:spacing w:before="40" w:after="40"/>
            </w:pPr>
            <w:r>
              <w:t>VECL-QB is most credible when framed as auditable specialist orchestration with bounded, provenance-tracked, reversible learning between audited snapshots. Generic VECL has conditional provenance-stability; Magellan-on-VECL can make a stronger claim because key trust anchors are external credentials and operational records.</w:t>
            </w:r>
          </w:p>
        </w:tc>
      </w:tr>
    </w:tbl>
    <w:p/>
    <w:p>
      <w:r>
        <w:t>This document consolidates the updated formal proof sketches and the product research synthesis for VECL-QB. It treats VECL not merely as a continual-learning mechanism, but as a trust-management substrate whose learning is sparse, authority-weighted, governance-bounded, provenance-tracked, and rollback-aware. The QB layer is the deployable orchestration surface: a frozen trunk coordinates typed specialists, receives claims with provenance, verifies them where possible, synthesizes an answer, and emits an auditable decision record. [S1]</w:t>
      </w:r>
    </w:p>
    <w:p>
      <w:r>
        <w:t>The updated technical position is deliberately two-tiered. VECL-as-a-general-framework does not automatically defeat a strategic long-game adversary. If trust signals are learned endogenously from the same replay and consolidation machinery they control, the system becomes a recursive fixed-point problem. A strategic adversary will attack trust weights, replay composition, verification triggers, specialist credibility, and rollback behavior rather than only attacking semantic payloads. [S2]</w:t>
      </w:r>
    </w:p>
    <w:p>
      <w:r>
        <w:t>However, Magellan-on-VECL is better positioned than a generic open-web learner because its trust roots can be tied to external, auditable artifacts: verified shipper identity, carrier/broker authority, DOT/MC records, GxP qualification, FDA/regulated establishment records where applicable, TMS-timestamped outcomes, and curated internal records. In that setting, the adversary cannot select the trust fixed point merely by flooding model replay; it must compromise or simulate external credential and operational evidence. [S2]</w:t>
      </w:r>
    </w:p>
    <w:p>
      <w:r>
        <w:t>The revised theorem should therefore avoid claims of absolute immunity. The defensible claim is bounded deviation: under thresholded or authority-scaled sparse updates, source-diverse replay, exogenous trust roots, contractive trust updates, anti-Sybil provenance, no self-promotion of authority, and bounded-error provenance compression, adversarial influence is limited by the adversary’s credentialed budget, verification escape rate, and the contraction margin of the trust updater. [S2]</w:t>
      </w:r>
    </w:p>
    <w:p>
      <w:r>
        <w:br w:type="page"/>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1944"/>
            <w:shd w:fill="D9EAF7"/>
          </w:tcPr>
          <w:p>
            <w:r/>
            <w:r>
              <w:rPr>
                <w:b/>
              </w:rPr>
              <w:t>Dimension</w:t>
            </w:r>
          </w:p>
        </w:tc>
        <w:tc>
          <w:tcPr>
            <w:tcW w:type="dxa" w:w="4320"/>
            <w:shd w:fill="D9EAF7"/>
          </w:tcPr>
          <w:p>
            <w:r/>
            <w:r>
              <w:rPr>
                <w:b/>
              </w:rPr>
              <w:t>Working conclusion</w:t>
            </w:r>
          </w:p>
        </w:tc>
        <w:tc>
          <w:tcPr>
            <w:tcW w:type="dxa" w:w="4320"/>
            <w:shd w:fill="D9EAF7"/>
          </w:tcPr>
          <w:p>
            <w:r/>
            <w:r>
              <w:rPr>
                <w:b/>
              </w:rPr>
              <w:t>Implication</w:t>
            </w:r>
          </w:p>
        </w:tc>
      </w:tr>
      <w:tr>
        <w:trPr>
          <w:cantSplit/>
        </w:trPr>
        <w:tc>
          <w:tcPr>
            <w:tcW w:type="dxa" w:w="1944"/>
          </w:tcPr>
          <w:p>
            <w:pPr>
              <w:spacing w:after="40"/>
            </w:pPr>
            <w:r/>
            <w:r>
              <w:rPr>
                <w:b w:val="0"/>
              </w:rPr>
              <w:t>Architecture</w:t>
            </w:r>
          </w:p>
        </w:tc>
        <w:tc>
          <w:tcPr>
            <w:tcW w:type="dxa" w:w="4320"/>
          </w:tcPr>
          <w:p>
            <w:pPr>
              <w:spacing w:after="40"/>
            </w:pPr>
            <w:r/>
            <w:r>
              <w:rPr>
                <w:b w:val="0"/>
              </w:rPr>
              <w:t>QB is the deployable live layer; VECL is the off-field learning substrate.</w:t>
            </w:r>
          </w:p>
        </w:tc>
        <w:tc>
          <w:tcPr>
            <w:tcW w:type="dxa" w:w="4320"/>
          </w:tcPr>
          <w:p>
            <w:pPr>
              <w:spacing w:after="40"/>
            </w:pPr>
            <w:r/>
            <w:r>
              <w:rPr>
                <w:b w:val="0"/>
              </w:rPr>
              <w:t>Lead with auditable orchestration, not “self-modifying AI.”</w:t>
            </w:r>
          </w:p>
        </w:tc>
      </w:tr>
      <w:tr>
        <w:trPr>
          <w:cantSplit/>
        </w:trPr>
        <w:tc>
          <w:tcPr>
            <w:tcW w:type="dxa" w:w="1944"/>
          </w:tcPr>
          <w:p>
            <w:pPr>
              <w:spacing w:after="40"/>
            </w:pPr>
            <w:r/>
            <w:r>
              <w:rPr>
                <w:b w:val="0"/>
              </w:rPr>
              <w:t>Learning</w:t>
            </w:r>
          </w:p>
        </w:tc>
        <w:tc>
          <w:tcPr>
            <w:tcW w:type="dxa" w:w="4320"/>
          </w:tcPr>
          <w:p>
            <w:pPr>
              <w:spacing w:after="40"/>
            </w:pPr>
            <w:r/>
            <w:r>
              <w:rPr>
                <w:b w:val="0"/>
              </w:rPr>
              <w:t>Sleep-cycle consolidation should be delayed, bounded, provenance-tracked, and rollbackable.</w:t>
            </w:r>
          </w:p>
        </w:tc>
        <w:tc>
          <w:tcPr>
            <w:tcW w:type="dxa" w:w="4320"/>
          </w:tcPr>
          <w:p>
            <w:pPr>
              <w:spacing w:after="40"/>
            </w:pPr>
            <w:r/>
            <w:r>
              <w:rPr>
                <w:b w:val="0"/>
              </w:rPr>
              <w:t>Tomorrow’s QB can improve; today’s QB stays frozen during inference.</w:t>
            </w:r>
          </w:p>
        </w:tc>
      </w:tr>
      <w:tr>
        <w:trPr>
          <w:cantSplit/>
        </w:trPr>
        <w:tc>
          <w:tcPr>
            <w:tcW w:type="dxa" w:w="1944"/>
          </w:tcPr>
          <w:p>
            <w:pPr>
              <w:spacing w:after="40"/>
            </w:pPr>
            <w:r/>
            <w:r>
              <w:rPr>
                <w:b w:val="0"/>
              </w:rPr>
              <w:t>Proof status</w:t>
            </w:r>
          </w:p>
        </w:tc>
        <w:tc>
          <w:tcPr>
            <w:tcW w:type="dxa" w:w="4320"/>
          </w:tcPr>
          <w:p>
            <w:pPr>
              <w:spacing w:after="40"/>
            </w:pPr>
            <w:r/>
            <w:r>
              <w:rPr>
                <w:b w:val="0"/>
              </w:rPr>
              <w:t>Current TLA+ specs support local sparse-update, ethics-gate, governance, and basic provenance invariants, but not full strategic-adversary stability.</w:t>
            </w:r>
          </w:p>
        </w:tc>
        <w:tc>
          <w:tcPr>
            <w:tcW w:type="dxa" w:w="4320"/>
          </w:tcPr>
          <w:p>
            <w:pPr>
              <w:spacing w:after="40"/>
            </w:pPr>
            <w:r/>
            <w:r>
              <w:rPr>
                <w:b w:val="0"/>
              </w:rPr>
              <w:t>Add trust-anchor, replay-diversity, no-self-promotion, and provenance-compression modules.</w:t>
            </w:r>
          </w:p>
        </w:tc>
      </w:tr>
      <w:tr>
        <w:trPr>
          <w:cantSplit/>
        </w:trPr>
        <w:tc>
          <w:tcPr>
            <w:tcW w:type="dxa" w:w="1944"/>
          </w:tcPr>
          <w:p>
            <w:pPr>
              <w:spacing w:after="40"/>
            </w:pPr>
            <w:r/>
            <w:r>
              <w:rPr>
                <w:b w:val="0"/>
              </w:rPr>
              <w:t>Threat model</w:t>
            </w:r>
          </w:p>
        </w:tc>
        <w:tc>
          <w:tcPr>
            <w:tcW w:type="dxa" w:w="4320"/>
          </w:tcPr>
          <w:p>
            <w:pPr>
              <w:spacing w:after="40"/>
            </w:pPr>
            <w:r/>
            <w:r>
              <w:rPr>
                <w:b w:val="0"/>
              </w:rPr>
              <w:t>Trust signals are the efficient attack surface.</w:t>
            </w:r>
          </w:p>
        </w:tc>
        <w:tc>
          <w:tcPr>
            <w:tcW w:type="dxa" w:w="4320"/>
          </w:tcPr>
          <w:p>
            <w:pPr>
              <w:spacing w:after="40"/>
            </w:pPr>
            <w:r/>
            <w:r>
              <w:rPr>
                <w:b w:val="0"/>
              </w:rPr>
              <w:t>Design defenses around authority laundering, replay flooding, verification suppression, and rollback poisoning.</w:t>
            </w:r>
          </w:p>
        </w:tc>
      </w:tr>
      <w:tr>
        <w:trPr>
          <w:cantSplit/>
        </w:trPr>
        <w:tc>
          <w:tcPr>
            <w:tcW w:type="dxa" w:w="1944"/>
          </w:tcPr>
          <w:p>
            <w:pPr>
              <w:spacing w:after="40"/>
            </w:pPr>
            <w:r/>
            <w:r>
              <w:rPr>
                <w:b w:val="0"/>
              </w:rPr>
              <w:t>Product thesis</w:t>
            </w:r>
          </w:p>
        </w:tc>
        <w:tc>
          <w:tcPr>
            <w:tcW w:type="dxa" w:w="4320"/>
          </w:tcPr>
          <w:p>
            <w:pPr>
              <w:spacing w:after="40"/>
            </w:pPr>
            <w:r/>
            <w:r>
              <w:rPr>
                <w:b w:val="0"/>
              </w:rPr>
              <w:t>VECL-QB is a trust-management system that happens to learn.</w:t>
            </w:r>
          </w:p>
        </w:tc>
        <w:tc>
          <w:tcPr>
            <w:tcW w:type="dxa" w:w="4320"/>
          </w:tcPr>
          <w:p>
            <w:pPr>
              <w:spacing w:after="40"/>
            </w:pPr>
            <w:r/>
            <w:r>
              <w:rPr>
                <w:b w:val="0"/>
              </w:rPr>
              <w:t>Best initial markets are regulated workflows where attributable correctness matters.</w:t>
            </w:r>
          </w:p>
        </w:tc>
      </w:tr>
    </w:tbl>
    <w:p/>
    <w:p>
      <w:pPr>
        <w:pStyle w:val="Heading1"/>
      </w:pPr>
      <w:r>
        <w:t>2. System framing and boundary</w:t>
      </w:r>
    </w:p>
    <w:p>
      <w:pPr>
        <w:pStyle w:val="Heading2"/>
      </w:pPr>
      <w:r>
        <w:t>2.1 What VECL-QB is</w:t>
      </w:r>
    </w:p>
    <w:p>
      <w:r>
        <w:t>VECL-QB combines two separable ideas. The QB architecture is the orchestration layer: a frozen capable trunk model coordinates a roster of specialists through typed protocol boundaries, receives specialist claims with confidence and provenance, and synthesizes an audited answer. VECL is the learning substrate: hierarchical memory, sparse semantic updates, episodic replay, provenance logging, governance controls, and rollback mechanics. [S1]</w:t>
      </w:r>
    </w:p>
    <w:p>
      <w:r>
        <w:t>The clean separation is temporal as well as architectural. The live QB used for inference is frozen and audited. VECL modifies sparse semantic memory or auxiliary learning surfaces only during controlled sleep cycles, with provenance logs and release governance. In product language: today’s QB is unchanged from this morning; tomorrow’s QB can have a better playbook. [S1]</w:t>
      </w:r>
    </w:p>
    <w:p>
      <w:r>
        <w:t>The VECL 2.0 notes define the hierarchy as: immutable ethics kernel, frozen trunk/base LLM, sparse semantic and policy modules, episodic memory, and working memory. The named modules include VECLWrappedLLM, SparseMemoryLayer, EpisodicStore, EthicsKernel, LearningPolicy, ProvenanceLogger, and SleepCycleRunner. [S3]</w:t>
      </w:r>
    </w:p>
    <w:p>
      <w:pPr>
        <w:pStyle w:val="Heading2"/>
      </w:pPr>
      <w:r>
        <w:t>2.2 Live decision path versus learning path</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1944"/>
            <w:shd w:fill="D9EAF7"/>
          </w:tcPr>
          <w:p>
            <w:r/>
            <w:r>
              <w:rPr>
                <w:b/>
              </w:rPr>
              <w:t>Layer</w:t>
            </w:r>
          </w:p>
        </w:tc>
        <w:tc>
          <w:tcPr>
            <w:tcW w:type="dxa" w:w="3312"/>
            <w:shd w:fill="D9EAF7"/>
          </w:tcPr>
          <w:p>
            <w:r/>
            <w:r>
              <w:rPr>
                <w:b/>
              </w:rPr>
              <w:t>Live/wake role</w:t>
            </w:r>
          </w:p>
        </w:tc>
        <w:tc>
          <w:tcPr>
            <w:tcW w:type="dxa" w:w="3600"/>
            <w:shd w:fill="D9EAF7"/>
          </w:tcPr>
          <w:p>
            <w:r/>
            <w:r>
              <w:rPr>
                <w:b/>
              </w:rPr>
              <w:t>Sleep/learning role</w:t>
            </w:r>
          </w:p>
        </w:tc>
        <w:tc>
          <w:tcPr>
            <w:tcW w:type="dxa" w:w="2880"/>
            <w:shd w:fill="D9EAF7"/>
          </w:tcPr>
          <w:p>
            <w:r/>
            <w:r>
              <w:rPr>
                <w:b/>
              </w:rPr>
              <w:t>Primary risk</w:t>
            </w:r>
          </w:p>
        </w:tc>
      </w:tr>
      <w:tr>
        <w:trPr>
          <w:cantSplit/>
        </w:trPr>
        <w:tc>
          <w:tcPr>
            <w:tcW w:type="dxa" w:w="1944"/>
          </w:tcPr>
          <w:p>
            <w:pPr>
              <w:spacing w:after="40"/>
            </w:pPr>
            <w:r/>
            <w:r>
              <w:rPr>
                <w:b w:val="0"/>
              </w:rPr>
              <w:t>Ethics kernel</w:t>
            </w:r>
          </w:p>
        </w:tc>
        <w:tc>
          <w:tcPr>
            <w:tcW w:type="dxa" w:w="3312"/>
          </w:tcPr>
          <w:p>
            <w:pPr>
              <w:spacing w:after="40"/>
            </w:pPr>
            <w:r/>
            <w:r>
              <w:rPr>
                <w:b w:val="0"/>
              </w:rPr>
              <w:t>Rejects unsafe actions before emission.</w:t>
            </w:r>
          </w:p>
        </w:tc>
        <w:tc>
          <w:tcPr>
            <w:tcW w:type="dxa" w:w="3600"/>
          </w:tcPr>
          <w:p>
            <w:pPr>
              <w:spacing w:after="40"/>
            </w:pPr>
            <w:r/>
            <w:r>
              <w:rPr>
                <w:b w:val="0"/>
              </w:rPr>
              <w:t>Changed only by governance, not gradient.</w:t>
            </w:r>
          </w:p>
        </w:tc>
        <w:tc>
          <w:tcPr>
            <w:tcW w:type="dxa" w:w="2880"/>
          </w:tcPr>
          <w:p>
            <w:pPr>
              <w:spacing w:after="40"/>
            </w:pPr>
            <w:r/>
            <w:r>
              <w:rPr>
                <w:b w:val="0"/>
              </w:rPr>
              <w:t>Governance capture or policy mismatch.</w:t>
            </w:r>
          </w:p>
        </w:tc>
      </w:tr>
      <w:tr>
        <w:trPr>
          <w:cantSplit/>
        </w:trPr>
        <w:tc>
          <w:tcPr>
            <w:tcW w:type="dxa" w:w="1944"/>
          </w:tcPr>
          <w:p>
            <w:pPr>
              <w:spacing w:after="40"/>
            </w:pPr>
            <w:r/>
            <w:r>
              <w:rPr>
                <w:b w:val="0"/>
              </w:rPr>
              <w:t>Frozen trunk/QB</w:t>
            </w:r>
          </w:p>
        </w:tc>
        <w:tc>
          <w:tcPr>
            <w:tcW w:type="dxa" w:w="3312"/>
          </w:tcPr>
          <w:p>
            <w:pPr>
              <w:spacing w:after="40"/>
            </w:pPr>
            <w:r/>
            <w:r>
              <w:rPr>
                <w:b w:val="0"/>
              </w:rPr>
              <w:t>Routes, invokes specialists, interprets, synthesizes.</w:t>
            </w:r>
          </w:p>
        </w:tc>
        <w:tc>
          <w:tcPr>
            <w:tcW w:type="dxa" w:w="3600"/>
          </w:tcPr>
          <w:p>
            <w:pPr>
              <w:spacing w:after="40"/>
            </w:pPr>
            <w:r/>
            <w:r>
              <w:rPr>
                <w:b w:val="0"/>
              </w:rPr>
              <w:t>Usually unchanged; may be evaluated for future release.</w:t>
            </w:r>
          </w:p>
        </w:tc>
        <w:tc>
          <w:tcPr>
            <w:tcW w:type="dxa" w:w="2880"/>
          </w:tcPr>
          <w:p>
            <w:pPr>
              <w:spacing w:after="40"/>
            </w:pPr>
            <w:r/>
            <w:r>
              <w:rPr>
                <w:b w:val="0"/>
              </w:rPr>
              <w:t>Wrong synthesis from correct claims.</w:t>
            </w:r>
          </w:p>
        </w:tc>
      </w:tr>
      <w:tr>
        <w:trPr>
          <w:cantSplit/>
        </w:trPr>
        <w:tc>
          <w:tcPr>
            <w:tcW w:type="dxa" w:w="1944"/>
          </w:tcPr>
          <w:p>
            <w:pPr>
              <w:spacing w:after="40"/>
            </w:pPr>
            <w:r/>
            <w:r>
              <w:rPr>
                <w:b w:val="0"/>
              </w:rPr>
              <w:t>Specialists</w:t>
            </w:r>
          </w:p>
        </w:tc>
        <w:tc>
          <w:tcPr>
            <w:tcW w:type="dxa" w:w="3312"/>
          </w:tcPr>
          <w:p>
            <w:pPr>
              <w:spacing w:after="40"/>
            </w:pPr>
            <w:r/>
            <w:r>
              <w:rPr>
                <w:b w:val="0"/>
              </w:rPr>
              <w:t>Return typed claims, confidence, evidence, and provenance.</w:t>
            </w:r>
          </w:p>
        </w:tc>
        <w:tc>
          <w:tcPr>
            <w:tcW w:type="dxa" w:w="3600"/>
          </w:tcPr>
          <w:p>
            <w:pPr>
              <w:spacing w:after="40"/>
            </w:pPr>
            <w:r/>
            <w:r>
              <w:rPr>
                <w:b w:val="0"/>
              </w:rPr>
              <w:t>Trust scores and specialist versions may be audited or recalibrated.</w:t>
            </w:r>
          </w:p>
        </w:tc>
        <w:tc>
          <w:tcPr>
            <w:tcW w:type="dxa" w:w="2880"/>
          </w:tcPr>
          <w:p>
            <w:pPr>
              <w:spacing w:after="40"/>
            </w:pPr>
            <w:r/>
            <w:r>
              <w:rPr>
                <w:b w:val="0"/>
              </w:rPr>
              <w:t>Version drift, source compromise, cost-quality gaming.</w:t>
            </w:r>
          </w:p>
        </w:tc>
      </w:tr>
      <w:tr>
        <w:trPr>
          <w:cantSplit/>
        </w:trPr>
        <w:tc>
          <w:tcPr>
            <w:tcW w:type="dxa" w:w="1944"/>
          </w:tcPr>
          <w:p>
            <w:pPr>
              <w:spacing w:after="40"/>
            </w:pPr>
            <w:r/>
            <w:r>
              <w:rPr>
                <w:b w:val="0"/>
              </w:rPr>
              <w:t>Sparse semantic memory</w:t>
            </w:r>
          </w:p>
        </w:tc>
        <w:tc>
          <w:tcPr>
            <w:tcW w:type="dxa" w:w="3312"/>
          </w:tcPr>
          <w:p>
            <w:pPr>
              <w:spacing w:after="40"/>
            </w:pPr>
            <w:r/>
            <w:r>
              <w:rPr>
                <w:b w:val="0"/>
              </w:rPr>
              <w:t>Provides retrieval-augmented or memory-conditioned signal.</w:t>
            </w:r>
          </w:p>
        </w:tc>
        <w:tc>
          <w:tcPr>
            <w:tcW w:type="dxa" w:w="3600"/>
          </w:tcPr>
          <w:p>
            <w:pPr>
              <w:spacing w:after="40"/>
            </w:pPr>
            <w:r/>
            <w:r>
              <w:rPr>
                <w:b w:val="0"/>
              </w:rPr>
              <w:t>Receives sparse authority-gated updates.</w:t>
            </w:r>
          </w:p>
        </w:tc>
        <w:tc>
          <w:tcPr>
            <w:tcW w:type="dxa" w:w="2880"/>
          </w:tcPr>
          <w:p>
            <w:pPr>
              <w:spacing w:after="40"/>
            </w:pPr>
            <w:r/>
            <w:r>
              <w:rPr>
                <w:b w:val="0"/>
              </w:rPr>
              <w:t>Poisoned consolidation or attribution drift.</w:t>
            </w:r>
          </w:p>
        </w:tc>
      </w:tr>
      <w:tr>
        <w:trPr>
          <w:cantSplit/>
        </w:trPr>
        <w:tc>
          <w:tcPr>
            <w:tcW w:type="dxa" w:w="1944"/>
          </w:tcPr>
          <w:p>
            <w:pPr>
              <w:spacing w:after="40"/>
            </w:pPr>
            <w:r/>
            <w:r>
              <w:rPr>
                <w:b w:val="0"/>
              </w:rPr>
              <w:t>Episodic store</w:t>
            </w:r>
          </w:p>
        </w:tc>
        <w:tc>
          <w:tcPr>
            <w:tcW w:type="dxa" w:w="3312"/>
          </w:tcPr>
          <w:p>
            <w:pPr>
              <w:spacing w:after="40"/>
            </w:pPr>
            <w:r/>
            <w:r>
              <w:rPr>
                <w:b w:val="0"/>
              </w:rPr>
              <w:t>Stores raw interactions, documents, outcomes, and provenance.</w:t>
            </w:r>
          </w:p>
        </w:tc>
        <w:tc>
          <w:tcPr>
            <w:tcW w:type="dxa" w:w="3600"/>
          </w:tcPr>
          <w:p>
            <w:pPr>
              <w:spacing w:after="40"/>
            </w:pPr>
            <w:r/>
            <w:r>
              <w:rPr>
                <w:b w:val="0"/>
              </w:rPr>
              <w:t>Replay source for consolidation and rollback.</w:t>
            </w:r>
          </w:p>
        </w:tc>
        <w:tc>
          <w:tcPr>
            <w:tcW w:type="dxa" w:w="2880"/>
          </w:tcPr>
          <w:p>
            <w:pPr>
              <w:spacing w:after="40"/>
            </w:pPr>
            <w:r/>
            <w:r>
              <w:rPr>
                <w:b w:val="0"/>
              </w:rPr>
              <w:t>Trace poisoning, privacy leakage, replay domination.</w:t>
            </w:r>
          </w:p>
        </w:tc>
      </w:tr>
    </w:tbl>
    <w:p/>
    <w:p>
      <w:r>
        <w:t>This distinction should remain explicit in pitch, spec, and implementation. It is the difference between a high-risk “continuously self-modifying model” and a controlled release process for an auditable orchestration system.</w:t>
      </w:r>
    </w:p>
    <w:p>
      <w:pPr>
        <w:pStyle w:val="Heading2"/>
      </w:pPr>
      <w:r>
        <w:t>2.3 Claims this document does not make</w:t>
      </w:r>
    </w:p>
    <w:p>
      <w:pPr>
        <w:pStyle w:val="CompactBullet"/>
      </w:pPr>
      <w:r>
        <w:t xml:space="preserve">• </w:t>
      </w:r>
      <w:r>
        <w:rPr>
          <w:b/>
        </w:rPr>
        <w:t xml:space="preserve">No absolute immunity. </w:t>
      </w:r>
      <w:r>
        <w:t>The stability claims are bounded-deviation claims, not guarantees that adversaries have zero effect.</w:t>
      </w:r>
    </w:p>
    <w:p>
      <w:pPr>
        <w:pStyle w:val="CompactBullet"/>
      </w:pPr>
      <w:r>
        <w:t xml:space="preserve">• </w:t>
      </w:r>
      <w:r>
        <w:rPr>
          <w:b/>
        </w:rPr>
        <w:t xml:space="preserve">No generic trust magic. </w:t>
      </w:r>
      <w:r>
        <w:t>Trust must be anchored in credentials, governance, or externally verified outcomes; otherwise it becomes an attack target.</w:t>
      </w:r>
    </w:p>
    <w:p>
      <w:pPr>
        <w:pStyle w:val="CompactBullet"/>
      </w:pPr>
      <w:r>
        <w:t xml:space="preserve">• </w:t>
      </w:r>
      <w:r>
        <w:rPr>
          <w:b/>
        </w:rPr>
        <w:t xml:space="preserve">No free composition. </w:t>
      </w:r>
      <w:r>
        <w:t>Correct specialist claims do not automatically imply a correct synthesized conclusion.</w:t>
      </w:r>
    </w:p>
    <w:p>
      <w:pPr>
        <w:pStyle w:val="CompactBullet"/>
      </w:pPr>
      <w:r>
        <w:t xml:space="preserve">• </w:t>
      </w:r>
      <w:r>
        <w:rPr>
          <w:b/>
        </w:rPr>
        <w:t xml:space="preserve">No cross-tenant default. </w:t>
      </w:r>
      <w:r>
        <w:t>Per-tenant isolation should be the default until a mature federated or governed sharing policy exists.</w:t>
      </w:r>
    </w:p>
    <w:p>
      <w:pPr>
        <w:pStyle w:val="CompactBullet"/>
      </w:pPr>
      <w:r>
        <w:t xml:space="preserve">• </w:t>
      </w:r>
      <w:r>
        <w:rPr>
          <w:b/>
        </w:rPr>
        <w:t xml:space="preserve">No immediate need for parameter-level updates in v0. </w:t>
      </w:r>
      <w:r>
        <w:t>The first product prototype can prove the QB and provenance value before attempting sparse parametric learning.</w:t>
      </w:r>
    </w:p>
    <w:p>
      <w:pPr>
        <w:pStyle w:val="Heading1"/>
      </w:pPr>
      <w:r>
        <w:t>3. Updated formal argument package</w:t>
      </w:r>
    </w:p>
    <w:p>
      <w:r>
        <w:t>The formal position should be sharpened around six arguments: local sparse-update stability, the TopK correction, endogenous trust fixed points, adversarial contraction, provenance compression, and a two-tier deployment theorem. The existing SparseMemory TLA+ spec checks top-t selection, sparse update correctness, bounded update size, and a conceptual zero-score/no-update property; the integrated VECL spec checks ethics, governance, sparse update size, basic provenance, and minimum-policy safety. [S4] [S5]</w:t>
      </w:r>
    </w:p>
    <w:p>
      <w:pPr>
        <w:pStyle w:val="Heading2"/>
      </w:pPr>
      <w:r>
        <w:t>3.1 Local sparse-update theorem, repaired</w:t>
      </w:r>
    </w:p>
    <w:p>
      <w:r>
        <w:t>Original intuition: score each memory slot by activation, rarity, and source authority; update only the top-t selected slots; low-authority sources therefore should not materially affect semantic memory. The VECL notes instantiate this as score_i = activation_i * rarity_i * authority_i, followed by top-t masked updates. [S3]</w:t>
      </w:r>
    </w:p>
    <w:p>
      <w:r>
        <w:t>The bug is that TopK is rank-based. In a single-source or source-dominated replay batch, multiplying every score by a small positive alpha does not change the selected set:</w:t>
      </w:r>
    </w:p>
    <w:p>
      <w:pPr>
        <w:pStyle w:val="EquationBlock"/>
      </w:pPr>
      <w:r>
        <w:t>TopK(alpha * a * r) = TopK(a * r), for every alpha &gt; 0.</w:t>
      </w:r>
    </w:p>
    <w:p>
      <w:r>
        <w:t>Therefore, authority weighting by ranking alone is insufficient. It provides cross-source ranking pressure in mixed batches, but it does not guarantee that low-authority evidence produces low update mass in source-homogeneous batches. The realistic attack is replay-batch domination: flood or shape replay so the batch is dominated by one source class. [S2]</w:t>
      </w:r>
    </w:p>
    <w:p>
      <w:r>
        <w:t>The local theorem should be repaired by adding at least one of the following mechanisms:</w:t>
      </w:r>
    </w:p>
    <w:p>
      <w:pPr>
        <w:pStyle w:val="CompactBullet"/>
      </w:pPr>
      <w:r>
        <w:t xml:space="preserve">• </w:t>
      </w:r>
      <w:r>
        <w:t>A hard minimum authority threshold: alpha_i &gt;= tau_alpha.</w:t>
      </w:r>
    </w:p>
    <w:p>
      <w:pPr>
        <w:pStyle w:val="CompactBullet"/>
      </w:pPr>
      <w:r>
        <w:t xml:space="preserve">• </w:t>
      </w:r>
      <w:r>
        <w:t>A hard minimum score threshold: score_i &gt;= tau_s.</w:t>
      </w:r>
    </w:p>
    <w:p>
      <w:pPr>
        <w:pStyle w:val="CompactBullet"/>
      </w:pPr>
      <w:r>
        <w:t xml:space="preserve">• </w:t>
      </w:r>
      <w:r>
        <w:t>Authority-scaled update magnitude: Delta V_i is multiplied by gamma(alpha_i), with gamma(0) = 0.</w:t>
      </w:r>
    </w:p>
    <w:p>
      <w:pPr>
        <w:pStyle w:val="CompactBullet"/>
      </w:pPr>
      <w:r>
        <w:t xml:space="preserve">• </w:t>
      </w:r>
      <w:r>
        <w:t>Trust-capped or source-diverse replay so no low-trust source can dominate the consolidation batch.</w:t>
      </w:r>
    </w:p>
    <w:p>
      <w:pPr>
        <w:pStyle w:val="EquationBlock"/>
      </w:pPr>
      <w:r>
        <w:t>score_i = a_i * r_i * alpha_i</w:t>
      </w:r>
    </w:p>
    <w:p>
      <w:pPr>
        <w:pStyle w:val="EquationBlock"/>
      </w:pPr>
      <w:r>
        <w:t>Eligible_i = (alpha_i &gt;= tau_alpha) and (score_i &gt;= tau_s)</w:t>
      </w:r>
    </w:p>
    <w:p>
      <w:pPr>
        <w:pStyle w:val="EquationBlock"/>
      </w:pPr>
      <w:r>
        <w:t>M_i = 1[i in TopK(score)] * 1[Eligible_i]</w:t>
      </w:r>
    </w:p>
    <w:p>
      <w:pPr>
        <w:pStyle w:val="EquationBlock"/>
      </w:pPr>
      <w:r>
        <w:t>V_{t+1,i} = V_{t,i} - eta * gamma(alpha_i) * M_i * grad_i</w:t>
      </w:r>
    </w:p>
    <w:p>
      <w:pPr>
        <w:pStyle w:val="Heading3"/>
      </w:pPr>
      <w:r>
        <w:t>Theorem 1: authority-bounded sparse update</w:t>
      </w:r>
    </w:p>
    <w:p>
      <w:r>
        <w:rPr>
          <w:b/>
        </w:rPr>
        <w:t>Statement.</w:t>
      </w:r>
      <w:r/>
    </w:p>
    <w:p>
      <w:r>
        <w:t>Assume each gradient norm is bounded by G, each replay batch has finite size, gamma is nondecreasing with gamma(0)=0, and the selection mask is restricted to eligible slots. If every adversarial source has alpha &lt;= epsilon, then the adversarial update mass is bounded by a constant times gamma(epsilon). If epsilon &lt; tau_alpha, the adversarial parametric update is zero.</w:t>
      </w:r>
    </w:p>
    <w:p>
      <w:r>
        <w:rPr>
          <w:b/>
        </w:rPr>
        <w:t>Proof sketch.</w:t>
      </w:r>
      <w:r/>
    </w:p>
    <w:p>
      <w:r>
        <w:t>For any selected adversarial slot i, the update norm is at most eta * gamma(alpha_i) * G. Since alpha_i &lt;= epsilon and gamma is nondecreasing, this is at most eta * gamma(epsilon) * G per selected slot. At most t slots are selected, so the batch-level adversarial update norm is bounded by eta * t * G * gamma(epsilon), up to the chosen vector norm constant. If epsilon &lt; tau_alpha, no adversarial slot is eligible and the update is exactly zero. This proves continuity or thresholded exclusion, depending on the mechanism selected.</w:t>
      </w:r>
    </w:p>
    <w:p>
      <w:pPr>
        <w:pStyle w:val="Heading2"/>
      </w:pPr>
      <w:r>
        <w:t>3.2 Endogenous trust creates a fixed-point problem</w:t>
      </w:r>
    </w:p>
    <w:p>
      <w:r>
        <w:t>The strategic long-game adversary does not merely try to inject false facts. It tries to affect the machinery that decides which future facts become trusted, replayed, and consolidated. Let V_t denote sparse semantic memory, B_t beliefs, P_t provenance, E_t episodic evidence, and w_t source or specialist trust weights. A generic sleep-learning system has joint dynamics of the form:</w:t>
      </w:r>
    </w:p>
    <w:p>
      <w:pPr>
        <w:pStyle w:val="EquationBlock"/>
      </w:pPr>
      <w:r>
        <w:t>V_{t+1} = H(V_t, B_t, E_t, w_t)</w:t>
      </w:r>
    </w:p>
    <w:p>
      <w:pPr>
        <w:pStyle w:val="EquationBlock"/>
      </w:pPr>
      <w:r>
        <w:t>w_{t+1} = F(w_t, V_t, B_t, E_t, outcomes_t)</w:t>
      </w:r>
    </w:p>
    <w:p>
      <w:pPr>
        <w:pStyle w:val="EquationBlock"/>
      </w:pPr>
      <w:r>
        <w:t>P_{t+1} = R(P_t, E_t, updates_t)</w:t>
      </w:r>
    </w:p>
    <w:p>
      <w:r>
        <w:t>If trust is updated from internal agreement, replay success, routing outcomes, user interactions, or prior beliefs, then w_t is endogenous. The system is trying to learn with trust weights while also learning the trust weights. The equilibrium condition is a fixed point:</w:t>
      </w:r>
    </w:p>
    <w:p>
      <w:pPr>
        <w:pStyle w:val="EquationBlock"/>
      </w:pPr>
      <w:r>
        <w:t>(V*, B*, P*, w*) = Phi(V*, B*, P*, w*)</w:t>
      </w:r>
    </w:p>
    <w:p>
      <w:r>
        <w:t>Without external anchors or contraction, there may be many fixed points, including adversarially chosen ones. A long-game adversary can build credibility on easy queries, flood replay with mutually reinforcing traces, suppress verification triggers, induce attribution drift, or cause unnecessary rollbacks of legitimate learning. These attacks can satisfy weak provenance invariants because every belief can still have a provenance record; the issue is whether the provenance graph is independent, causally faithful, and non-circular. [S1] [S2]</w:t>
      </w:r>
    </w:p>
    <w:p>
      <w:pPr>
        <w:pStyle w:val="Heading3"/>
      </w:pPr>
      <w:r>
        <w:t>Theorem 2: unanchored recursive trust admits adversarial fixed points</w:t>
      </w:r>
    </w:p>
    <w:p>
      <w:r>
        <w:rPr>
          <w:b/>
        </w:rPr>
        <w:t>Statement.</w:t>
      </w:r>
      <w:r/>
    </w:p>
    <w:p>
      <w:r>
        <w:t>Suppose trust updates can increase source weight based on apparent agreement with existing beliefs or successful replay, and suppose those beliefs can be influenced by the same source set whose trust is being updated. Then the system can converge to a self-supporting fixed point in which adversarial claims and adversarial trust weights reinforce each other, even when sparse-update and basic provenance invariants hold.</w:t>
      </w:r>
    </w:p>
    <w:p>
      <w:r>
        <w:rPr>
          <w:b/>
        </w:rPr>
        <w:t>Proof sketch.</w:t>
      </w:r>
      <w:r/>
    </w:p>
    <w:p>
      <w:r>
        <w:t>Construct a source set A with small positive initial trust. Use high-rarity, high-activation claims so A enters replay or selection whenever batches are source-dominated. Repeated sleep cycles create beliefs whose dependencies point to A or to Sybil-correlated sources derived from A. If the trust updater rewards consistency with existing beliefs or successful retrieval, then w(A) increases. Higher w(A) increases future replay/selection probability and further strengthens the beliefs. The resulting equilibrium satisfies “belief has provenance” and “only sparse slots were updated,” but provenance is circular and the trust fixed point is adversarially selected.</w:t>
      </w:r>
    </w:p>
    <w:p>
      <w:pPr>
        <w:pStyle w:val="Heading2"/>
      </w:pPr>
      <w:r>
        <w:t>3.3 Contractive trust update with adversarial Lipschitz bound</w:t>
      </w:r>
    </w:p>
    <w:p>
      <w:r>
        <w:t>The stability theorem should use an adversarial, budgeted Lipschitz quantity rather than a generic global Lipschitz constant. Let w_0 be externally anchored root trust. Let learned trust be bounded by a projection onto credential and governance constraints:</w:t>
      </w:r>
    </w:p>
    <w:p>
      <w:pPr>
        <w:pStyle w:val="EquationBlock"/>
      </w:pPr>
      <w:r>
        <w:t>w_{t+1} = Pi_C((1 - lambda) * w_0 + lambda * F(w_t, Z_t))</w:t>
      </w:r>
    </w:p>
    <w:p>
      <w:r>
        <w:t>The relevant quantity is the maximum effect of adversary-feasible sequences under a realistic budget B:</w:t>
      </w:r>
    </w:p>
    <w:p>
      <w:pPr>
        <w:pStyle w:val="EquationBlock"/>
      </w:pPr>
      <w:r>
        <w:t>L_adv = sup_{D_adv in B} ||F(w, D_clean U D_adv) - F(w, D_clean)|| / d(D_adv, D_clean)</w:t>
      </w:r>
    </w:p>
    <w:p>
      <w:pPr>
        <w:pStyle w:val="Heading3"/>
      </w:pPr>
      <w:r>
        <w:t>Theorem 3: bounded adversarial trust drift</w:t>
      </w:r>
    </w:p>
    <w:p>
      <w:r>
        <w:rPr>
          <w:b/>
        </w:rPr>
        <w:t>Statement.</w:t>
      </w:r>
      <w:r/>
    </w:p>
    <w:p>
      <w:r>
        <w:t>Assume the learned-trust updater satisfies a budgeted adversarial perturbation bound: ||F(w_t^A, Z_t^A) - F(w_t^0, Z_t^0)|| &lt;= L_w ||w_t^A - w_t^0|| + L_adv B, and the projected update is non-expansive. If rho = lambda * L_w &lt; 1, then trust drift obeys limsup_t ||w_t^A - w_t^0|| &lt;= (lambda * L_adv * B + epsilon_root) / (1 - rho), where epsilon_root captures root-credential compromise or measurement error.</w:t>
      </w:r>
    </w:p>
    <w:p>
      <w:r>
        <w:rPr>
          <w:b/>
        </w:rPr>
        <w:t>Proof sketch.</w:t>
      </w:r>
      <w:r/>
    </w:p>
    <w:p>
      <w:r>
        <w:t>Apply the non-expansiveness of Pi_C and subtract the clean update from the adversarial update. The anchored term (1 - lambda)w_0 cancels when roots are identical; root mismatch contributes epsilon_root. The remaining learned term is scaled by lambda and bounded by L_w times the prior drift plus L_adv B. This yields the recurrence delta_{t+1} &lt;= rho * delta_t + lambda * L_adv * B + epsilon_root. Unrolling the recurrence gives a convergent geometric series when rho &lt; 1, producing the stated limsup bound.</w:t>
      </w:r>
    </w:p>
    <w:p>
      <w:pPr>
        <w:pStyle w:val="Heading2"/>
      </w:pPr>
      <w:r>
        <w:t>3.4 Provenance compression is the distinctive theorem</w:t>
      </w:r>
    </w:p>
    <w:p>
      <w:r>
        <w:t>The harder and more distinctive VECL theorem is not merely “bad updates do not happen.” Sparse memory compresses many evidence units into a fixed slot budget. Therefore, the provenance graph must remain a faithful causal attribution of each compressed slot update, not merely a heuristic association. [S2]</w:t>
      </w:r>
    </w:p>
    <w:p>
      <w:pPr>
        <w:pStyle w:val="EquationBlock"/>
      </w:pPr>
      <w:r>
        <w:t>Delta v_i^t = sum_{e in Batch_t} Delta v_{i,e}^t + zeta_i^t</w:t>
      </w:r>
    </w:p>
    <w:p>
      <w:pPr>
        <w:pStyle w:val="EquationBlock"/>
      </w:pPr>
      <w:r>
        <w:t>Certificate_i^t records approximations hat_Delta v_{i,e}^t for contributing evidence.</w:t>
      </w:r>
    </w:p>
    <w:p>
      <w:pPr>
        <w:pStyle w:val="Heading3"/>
      </w:pPr>
      <w:r>
        <w:t>Theorem 4: bounded-error provenance compression</w:t>
      </w:r>
    </w:p>
    <w:p>
      <w:r>
        <w:rPr>
          <w:b/>
        </w:rPr>
        <w:t>Statement.</w:t>
      </w:r>
      <w:r/>
    </w:p>
    <w:p>
      <w:r>
        <w:t>For each sparse memory slot i and update step t, suppose the provenance logger records a contribution certificate C_i^t such that ||Delta v_i^t - sum_{e in P_i^t} hat_Delta v_{i,e}^t|| &lt;= delta_i^t. Then the provenance graph remains causally faithful up to accumulated error sum_t delta_i^t plus nonlinear replay-interaction error.</w:t>
      </w:r>
    </w:p>
    <w:p>
      <w:r>
        <w:rPr>
          <w:b/>
        </w:rPr>
        <w:t>Proof sketch.</w:t>
      </w:r>
      <w:r/>
    </w:p>
    <w:p>
      <w:r>
        <w:t>By definition, the slot update is decomposed into evidence-level contributions plus approximation residual. The provenance certificate records the recoverable contribution estimates. Summing over update steps gives total slot movement as the sum of logged contributions plus accumulated residuals. Rolling back a source set A subtracts all logged contributions whose source is in A. The rollback error is therefore bounded by the accumulated compression residual and by any nonlinear interaction caused by the fact that future replay trajectories would have differed had A never been present.</w:t>
      </w:r>
    </w:p>
    <w:p>
      <w:r>
        <w:t>This theorem is the bridge from “we logged an update event” to “we can explain and approximately undo compressed parametric learning.” It distinguishes VECL from generic RLHF-with-logging or agent trace capture.</w:t>
      </w:r>
    </w:p>
    <w:p>
      <w:pPr>
        <w:pStyle w:val="Heading2"/>
      </w:pPr>
      <w:r>
        <w:t>3.5 Two-tier provenance-stability theorem</w:t>
      </w:r>
    </w:p>
    <w:p>
      <w:r>
        <w:t>The strongest presentation separates framework-level and deployment-level claims. Generic VECL needs a conditional theorem. Magellan-on-VECL gets a tighter bound because the trust-anchor problem is narrowed by the regulated operating environment. [S2]</w:t>
      </w:r>
    </w:p>
    <w:p>
      <w:pPr>
        <w:pStyle w:val="Heading3"/>
      </w:pPr>
      <w:r>
        <w:t>Theorem 5A: conditional VECL provenance-stability</w:t>
      </w:r>
    </w:p>
    <w:p>
      <w:r>
        <w:rPr>
          <w:b/>
        </w:rPr>
        <w:t>Statement.</w:t>
      </w:r>
      <w:r/>
    </w:p>
    <w:p>
      <w:r>
        <w:t>Given authority-thresholded or authority-scaled sparse updates, source-diverse or trust-capped replay, exogenous root trust, contractive trust updates with adversarial budget bound, anti-Sybil provenance support, no self-promotion of trust through circular belief agreement, and bounded-error provenance compression, VECL satisfies bounded adversarial deviation from the clean trajectory.</w:t>
      </w:r>
    </w:p>
    <w:p>
      <w:r>
        <w:rPr>
          <w:b/>
        </w:rPr>
        <w:t>Proof sketch.</w:t>
      </w:r>
      <w:r/>
    </w:p>
    <w:p>
      <w:r>
        <w:t>Combine Theorem 1 for local update mass, Theorem 3 for trust-drift contraction, replay caps for bounded adversarial exposure, and Theorem 4 for rollback/provenance accounting. The resulting state deviation is bounded by a term proportional to adversarial budget and credential escape, divided by the contraction margin 1 - rho, plus provenance-compression error.</w:t>
      </w:r>
    </w:p>
    <w:p>
      <w:pPr>
        <w:pStyle w:val="EquationBlock"/>
      </w:pPr>
      <w:r>
        <w:t>limsup_t d(State_t^A, State_t^0)</w:t>
      </w:r>
    </w:p>
    <w:p>
      <w:pPr>
        <w:pStyle w:val="EquationBlock"/>
      </w:pPr>
      <w:r>
        <w:t xml:space="preserve">  &lt;= O((lambda * L_adv * B + epsilon_root + delta_prov) / (1 - rho))</w:t>
      </w:r>
    </w:p>
    <w:p>
      <w:pPr>
        <w:pStyle w:val="Heading3"/>
      </w:pPr>
      <w:r>
        <w:t>Theorem 5B: Magellan credential-anchored stability</w:t>
      </w:r>
    </w:p>
    <w:p>
      <w:r>
        <w:rPr>
          <w:b/>
        </w:rPr>
        <w:t>Statement.</w:t>
      </w:r>
      <w:r/>
    </w:p>
    <w:p>
      <w:r>
        <w:t>In a regulated freight deployment, if effective trust is cryptographically and procedurally linked to external credentials and verified operational records, sleep-cycle replay alone cannot drive trust weights to arbitrary adversarial values. The adversary must compromise, forge, or manipulate the external credential/outcome channels.</w:t>
      </w:r>
    </w:p>
    <w:p>
      <w:r>
        <w:rPr>
          <w:b/>
        </w:rPr>
        <w:t>Proof sketch.</w:t>
      </w:r>
      <w:r/>
    </w:p>
    <w:p>
      <w:r>
        <w:t>Effective trust is constrained by root credentials and projected into credential-defined bounds. Model-internal agreement or replay success can recalibrate only within those bounds. Therefore, an adversary who controls only model inputs and replay traces cannot move trust beyond the allowed drift interval. Any larger movement requires an external credential event, verified outcome, governance action, or failure of those controls. This reduces the attack surface from arbitrary semantic poisoning to credential and operational evidence compromise.</w:t>
      </w:r>
    </w:p>
    <w:p>
      <w:pPr>
        <w:pStyle w:val="Heading2"/>
      </w:pPr>
      <w:r>
        <w:t>3.6 Ethics and governance safety remain useful but separate</w:t>
      </w:r>
    </w:p>
    <w:p>
      <w:r>
        <w:t>The EthicsGate spec establishes the intended action-emission property: raw model output is checked against active policies; if it violates a policy, the gate emits a pre-verified safe refusal. The model-checking configuration gives finite action/policy sets and violation predicates for TLC exploration. [S6] [S7]</w:t>
      </w:r>
    </w:p>
    <w:p>
      <w:r>
        <w:t>The integrated VECL spec similarly models governance proposals, signatures, policy application, sparse memory updates, information ingestion, belief creation, and system-level invariants. Its current provenance condition requires beliefs to have nonempty dependencies, but it does not yet establish anti-Sybil independence, no circular support, or causally faithful compressed provenance. [S5] [S8]</w:t>
      </w:r>
    </w:p>
    <w:p>
      <w:r>
        <w:t>This distinction is important for reviewers: ethics gating protects the emitted-action path; it does not by itself solve adversarial trust bootstrapping inside sleep-cycle memory consolidation.</w:t>
      </w:r>
    </w:p>
    <w:p>
      <w:pPr>
        <w:pStyle w:val="Heading1"/>
      </w:pPr>
      <w:r>
        <w:t>4. Strategic long-game adversary threat model</w:t>
      </w:r>
    </w:p>
    <w:p>
      <w:r>
        <w:t>The threat model worth naming is: strategic long-game adversaries against provenance-aware online learners. Standard adversarial ML often focuses on inference-time perturbations; data poisoning often assumes batch training; online-learning robustness typically lacks a provenance machinery to attack. VECL-QB sits at the intersection. [S1]</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232"/>
            <w:shd w:fill="D9EAF7"/>
          </w:tcPr>
          <w:p>
            <w:r/>
            <w:r>
              <w:rPr>
                <w:b/>
              </w:rPr>
              <w:t>Attack archetype</w:t>
            </w:r>
          </w:p>
        </w:tc>
        <w:tc>
          <w:tcPr>
            <w:tcW w:type="dxa" w:w="4680"/>
            <w:shd w:fill="D9EAF7"/>
          </w:tcPr>
          <w:p>
            <w:r/>
            <w:r>
              <w:rPr>
                <w:b/>
              </w:rPr>
              <w:t>Mechanism</w:t>
            </w:r>
          </w:p>
        </w:tc>
        <w:tc>
          <w:tcPr>
            <w:tcW w:type="dxa" w:w="4320"/>
            <w:shd w:fill="D9EAF7"/>
          </w:tcPr>
          <w:p>
            <w:r/>
            <w:r>
              <w:rPr>
                <w:b/>
              </w:rPr>
              <w:t>Primary defense</w:t>
            </w:r>
          </w:p>
        </w:tc>
      </w:tr>
      <w:tr>
        <w:trPr>
          <w:cantSplit/>
        </w:trPr>
        <w:tc>
          <w:tcPr>
            <w:tcW w:type="dxa" w:w="2232"/>
          </w:tcPr>
          <w:p>
            <w:pPr>
              <w:spacing w:after="40"/>
            </w:pPr>
            <w:r/>
            <w:r>
              <w:rPr>
                <w:b w:val="0"/>
              </w:rPr>
              <w:t>Authority laundering</w:t>
            </w:r>
          </w:p>
        </w:tc>
        <w:tc>
          <w:tcPr>
            <w:tcW w:type="dxa" w:w="4680"/>
          </w:tcPr>
          <w:p>
            <w:pPr>
              <w:spacing w:after="40"/>
            </w:pPr>
            <w:r/>
            <w:r>
              <w:rPr>
                <w:b w:val="0"/>
              </w:rPr>
              <w:t>Build trust on easy or low-stakes claims, then spend it on a consequential claim.</w:t>
            </w:r>
          </w:p>
        </w:tc>
        <w:tc>
          <w:tcPr>
            <w:tcW w:type="dxa" w:w="4320"/>
          </w:tcPr>
          <w:p>
            <w:pPr>
              <w:spacing w:after="40"/>
            </w:pPr>
            <w:r/>
            <w:r>
              <w:rPr>
                <w:b w:val="0"/>
              </w:rPr>
              <w:t>Credential-bounded trust, drift monitoring, stake-sensitive verification.</w:t>
            </w:r>
          </w:p>
        </w:tc>
      </w:tr>
      <w:tr>
        <w:trPr>
          <w:cantSplit/>
        </w:trPr>
        <w:tc>
          <w:tcPr>
            <w:tcW w:type="dxa" w:w="2232"/>
          </w:tcPr>
          <w:p>
            <w:pPr>
              <w:spacing w:after="40"/>
            </w:pPr>
            <w:r/>
            <w:r>
              <w:rPr>
                <w:b w:val="0"/>
              </w:rPr>
              <w:t>Replay flooding</w:t>
            </w:r>
          </w:p>
        </w:tc>
        <w:tc>
          <w:tcPr>
            <w:tcW w:type="dxa" w:w="4680"/>
          </w:tcPr>
          <w:p>
            <w:pPr>
              <w:spacing w:after="40"/>
            </w:pPr>
            <w:r/>
            <w:r>
              <w:rPr>
                <w:b w:val="0"/>
              </w:rPr>
              <w:t>Dominate sleep batches so TopK sees source-homogeneous evidence.</w:t>
            </w:r>
          </w:p>
        </w:tc>
        <w:tc>
          <w:tcPr>
            <w:tcW w:type="dxa" w:w="4320"/>
          </w:tcPr>
          <w:p>
            <w:pPr>
              <w:spacing w:after="40"/>
            </w:pPr>
            <w:r/>
            <w:r>
              <w:rPr>
                <w:b w:val="0"/>
              </w:rPr>
              <w:t>Source-diverse replay caps and trust-weighted replay mass.</w:t>
            </w:r>
          </w:p>
        </w:tc>
      </w:tr>
      <w:tr>
        <w:trPr>
          <w:cantSplit/>
        </w:trPr>
        <w:tc>
          <w:tcPr>
            <w:tcW w:type="dxa" w:w="2232"/>
          </w:tcPr>
          <w:p>
            <w:pPr>
              <w:spacing w:after="40"/>
            </w:pPr>
            <w:r/>
            <w:r>
              <w:rPr>
                <w:b w:val="0"/>
              </w:rPr>
              <w:t>Verification-trigger suppression</w:t>
            </w:r>
          </w:p>
        </w:tc>
        <w:tc>
          <w:tcPr>
            <w:tcW w:type="dxa" w:w="4680"/>
          </w:tcPr>
          <w:p>
            <w:pPr>
              <w:spacing w:after="40"/>
            </w:pPr>
            <w:r/>
            <w:r>
              <w:rPr>
                <w:b w:val="0"/>
              </w:rPr>
              <w:t>Train the router to treat a query class as low-risk or not worth checking.</w:t>
            </w:r>
          </w:p>
        </w:tc>
        <w:tc>
          <w:tcPr>
            <w:tcW w:type="dxa" w:w="4320"/>
          </w:tcPr>
          <w:p>
            <w:pPr>
              <w:spacing w:after="40"/>
            </w:pPr>
            <w:r/>
            <w:r>
              <w:rPr>
                <w:b w:val="0"/>
              </w:rPr>
              <w:t>Verification policy with nonlearned minimum checks for high-impact classes.</w:t>
            </w:r>
          </w:p>
        </w:tc>
      </w:tr>
      <w:tr>
        <w:trPr>
          <w:cantSplit/>
        </w:trPr>
        <w:tc>
          <w:tcPr>
            <w:tcW w:type="dxa" w:w="2232"/>
          </w:tcPr>
          <w:p>
            <w:pPr>
              <w:spacing w:after="40"/>
            </w:pPr>
            <w:r/>
            <w:r>
              <w:rPr>
                <w:b w:val="0"/>
              </w:rPr>
              <w:t>Specialist trust reshaping</w:t>
            </w:r>
          </w:p>
        </w:tc>
        <w:tc>
          <w:tcPr>
            <w:tcW w:type="dxa" w:w="4680"/>
          </w:tcPr>
          <w:p>
            <w:pPr>
              <w:spacing w:after="40"/>
            </w:pPr>
            <w:r/>
            <w:r>
              <w:rPr>
                <w:b w:val="0"/>
              </w:rPr>
              <w:t>Make competitors look unreliable or induce false negative outcomes.</w:t>
            </w:r>
          </w:p>
        </w:tc>
        <w:tc>
          <w:tcPr>
            <w:tcW w:type="dxa" w:w="4320"/>
          </w:tcPr>
          <w:p>
            <w:pPr>
              <w:spacing w:after="40"/>
            </w:pPr>
            <w:r/>
            <w:r>
              <w:rPr>
                <w:b w:val="0"/>
              </w:rPr>
              <w:t>Versioned specialist identity, independent outcome validation, anomaly detection.</w:t>
            </w:r>
          </w:p>
        </w:tc>
      </w:tr>
      <w:tr>
        <w:trPr>
          <w:cantSplit/>
        </w:trPr>
        <w:tc>
          <w:tcPr>
            <w:tcW w:type="dxa" w:w="2232"/>
          </w:tcPr>
          <w:p>
            <w:pPr>
              <w:spacing w:after="40"/>
            </w:pPr>
            <w:r/>
            <w:r>
              <w:rPr>
                <w:b w:val="0"/>
              </w:rPr>
              <w:t>Attribution drift induction</w:t>
            </w:r>
          </w:p>
        </w:tc>
        <w:tc>
          <w:tcPr>
            <w:tcW w:type="dxa" w:w="4680"/>
          </w:tcPr>
          <w:p>
            <w:pPr>
              <w:spacing w:after="40"/>
            </w:pPr>
            <w:r/>
            <w:r>
              <w:rPr>
                <w:b w:val="0"/>
              </w:rPr>
              <w:t>Cause compressed memory slots to blur causal source contributions.</w:t>
            </w:r>
          </w:p>
        </w:tc>
        <w:tc>
          <w:tcPr>
            <w:tcW w:type="dxa" w:w="4320"/>
          </w:tcPr>
          <w:p>
            <w:pPr>
              <w:spacing w:after="40"/>
            </w:pPr>
            <w:r/>
            <w:r>
              <w:rPr>
                <w:b w:val="0"/>
              </w:rPr>
              <w:t>Per-update contribution certificates and provenance-compression budgets.</w:t>
            </w:r>
          </w:p>
        </w:tc>
      </w:tr>
      <w:tr>
        <w:trPr>
          <w:cantSplit/>
        </w:trPr>
        <w:tc>
          <w:tcPr>
            <w:tcW w:type="dxa" w:w="2232"/>
          </w:tcPr>
          <w:p>
            <w:pPr>
              <w:spacing w:after="40"/>
            </w:pPr>
            <w:r/>
            <w:r>
              <w:rPr>
                <w:b w:val="0"/>
              </w:rPr>
              <w:t>Rollback poisoning</w:t>
            </w:r>
          </w:p>
        </w:tc>
        <w:tc>
          <w:tcPr>
            <w:tcW w:type="dxa" w:w="4680"/>
          </w:tcPr>
          <w:p>
            <w:pPr>
              <w:spacing w:after="40"/>
            </w:pPr>
            <w:r/>
            <w:r>
              <w:rPr>
                <w:b w:val="0"/>
              </w:rPr>
              <w:t>Force unnecessary rollbacks of legitimate learning or make rollback appear unsafe.</w:t>
            </w:r>
          </w:p>
        </w:tc>
        <w:tc>
          <w:tcPr>
            <w:tcW w:type="dxa" w:w="4320"/>
          </w:tcPr>
          <w:p>
            <w:pPr>
              <w:spacing w:after="40"/>
            </w:pPr>
            <w:r/>
            <w:r>
              <w:rPr>
                <w:b w:val="0"/>
              </w:rPr>
              <w:t>Rollback simulation, source-set quarantine, replay-counterfactual tests.</w:t>
            </w:r>
          </w:p>
        </w:tc>
      </w:tr>
      <w:tr>
        <w:trPr>
          <w:cantSplit/>
        </w:trPr>
        <w:tc>
          <w:tcPr>
            <w:tcW w:type="dxa" w:w="2232"/>
          </w:tcPr>
          <w:p>
            <w:pPr>
              <w:spacing w:after="40"/>
            </w:pPr>
            <w:r/>
            <w:r>
              <w:rPr>
                <w:b w:val="0"/>
              </w:rPr>
              <w:t>Sleep-cycle timing attacks</w:t>
            </w:r>
          </w:p>
        </w:tc>
        <w:tc>
          <w:tcPr>
            <w:tcW w:type="dxa" w:w="4680"/>
          </w:tcPr>
          <w:p>
            <w:pPr>
              <w:spacing w:after="40"/>
            </w:pPr>
            <w:r/>
            <w:r>
              <w:rPr>
                <w:b w:val="0"/>
              </w:rPr>
              <w:t>Inject evidence immediately before consolidation windows or evaluation checkpoints.</w:t>
            </w:r>
          </w:p>
        </w:tc>
        <w:tc>
          <w:tcPr>
            <w:tcW w:type="dxa" w:w="4320"/>
          </w:tcPr>
          <w:p>
            <w:pPr>
              <w:spacing w:after="40"/>
            </w:pPr>
            <w:r/>
            <w:r>
              <w:rPr>
                <w:b w:val="0"/>
              </w:rPr>
              <w:t>Quarantine windows, holdout verification, delayed promotion.</w:t>
            </w:r>
          </w:p>
        </w:tc>
      </w:tr>
    </w:tbl>
    <w:p/>
    <w:p>
      <w:r>
        <w:t>The meta-defense is monitoring the trust-learning process itself: authority drift, routing-prior drift, replay-composition drift, verification-rate drift, and rollback-request anomalies. The design should treat these as first-class telemetry, not as post-hoc analytics.</w:t>
      </w:r>
    </w:p>
    <w:p>
      <w:pPr>
        <w:pStyle w:val="Heading2"/>
      </w:pPr>
      <w:r>
        <w:t>4.1 Trust-anchor requirements</w:t>
      </w:r>
    </w:p>
    <w:p>
      <w:pPr>
        <w:pStyle w:val="CompactBullet"/>
      </w:pPr>
      <w:r>
        <w:t xml:space="preserve">• </w:t>
      </w:r>
      <w:r>
        <w:rPr>
          <w:b/>
        </w:rPr>
        <w:t xml:space="preserve">Root trust must be exogenous. </w:t>
      </w:r>
      <w:r>
        <w:t>The sleep cycle may not recursively grant authority to the sources whose claims it is consolidating, except within externally bounded limits.</w:t>
      </w:r>
    </w:p>
    <w:p>
      <w:pPr>
        <w:pStyle w:val="CompactBullet"/>
      </w:pPr>
      <w:r>
        <w:t xml:space="preserve">• </w:t>
      </w:r>
      <w:r>
        <w:rPr>
          <w:b/>
        </w:rPr>
        <w:t xml:space="preserve">Learned trust must be contractive. </w:t>
      </w:r>
      <w:r>
        <w:t>Update rules must pull back toward roots rather than amplify self-confirming beliefs.</w:t>
      </w:r>
    </w:p>
    <w:p>
      <w:pPr>
        <w:pStyle w:val="CompactBullet"/>
      </w:pPr>
      <w:r>
        <w:t xml:space="preserve">• </w:t>
      </w:r>
      <w:r>
        <w:rPr>
          <w:b/>
        </w:rPr>
        <w:t xml:space="preserve">Support must be source-disjoint. </w:t>
      </w:r>
      <w:r>
        <w:t>Multiple corroborating claims should count as independent only if their provenance paths terminate in independent roots.</w:t>
      </w:r>
    </w:p>
    <w:p>
      <w:pPr>
        <w:pStyle w:val="CompactBullet"/>
      </w:pPr>
      <w:r>
        <w:t xml:space="preserve">• </w:t>
      </w:r>
      <w:r>
        <w:rPr>
          <w:b/>
        </w:rPr>
        <w:t xml:space="preserve">Replay mass must be trust-bounded. </w:t>
      </w:r>
      <w:r>
        <w:t>Low-trust or unverified sources cannot become high-impact merely by being frequent, rare, salient, or contentious.</w:t>
      </w:r>
    </w:p>
    <w:p>
      <w:pPr>
        <w:pStyle w:val="CompactBullet"/>
      </w:pPr>
      <w:r>
        <w:t xml:space="preserve">• </w:t>
      </w:r>
      <w:r>
        <w:rPr>
          <w:b/>
        </w:rPr>
        <w:t xml:space="preserve">Self-promotion must be forbidden. </w:t>
      </w:r>
      <w:r>
        <w:t>A source’s claims cannot increase that source’s authority without independent verification.</w:t>
      </w:r>
    </w:p>
    <w:p>
      <w:pPr>
        <w:pStyle w:val="CompactBullet"/>
      </w:pPr>
      <w:r>
        <w:t xml:space="preserve">• </w:t>
      </w:r>
      <w:r>
        <w:rPr>
          <w:b/>
        </w:rPr>
        <w:t xml:space="preserve">Credential events must be logged. </w:t>
      </w:r>
      <w:r>
        <w:t>Trust jumps should be tied to signed credential, governance, or verified outcome events.</w:t>
      </w:r>
    </w:p>
    <w:p>
      <w:pPr>
        <w:pStyle w:val="Heading1"/>
      </w:pPr>
      <w:r>
        <w:t>5. VECL-QB product research synthesis</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pPr>
              <w:spacing w:after="40"/>
            </w:pPr>
            <w:r>
              <w:rPr>
                <w:b/>
                <w:color w:val="1F4E79"/>
              </w:rPr>
              <w:t>Product thesis</w:t>
            </w:r>
          </w:p>
          <w:p>
            <w:pPr>
              <w:spacing w:before="40" w:after="40"/>
            </w:pPr>
            <w:r>
              <w:t>The first credible product is not “a continuously learning model.” It is an auditable expert quarterback that coordinates specialists, emits a claim graph, verifies high-risk reasoning, and improves between audited snapshots.</w:t>
            </w:r>
          </w:p>
        </w:tc>
      </w:tr>
    </w:tbl>
    <w:p/>
    <w:p>
      <w:r>
        <w:t>The QB layer gives the idea a product surface. A buyer can understand an AI coordinator that routes work to verified specialists, checks claims, records evidence, and produces a decision trail. VECL gives the defensibility layer: the system can improve over time without silently mutating the live audited path. [S1]</w:t>
      </w:r>
    </w:p>
    <w:p>
      <w:r>
        <w:t>This framing is stronger than a generic agent story. Many agent systems are tool calls plus a chat transcript. VECL-QB can be positioned as a control architecture: typed specialists, claim-level outputs, provenance graph, verification policy, synthesis audit, governance, and rollback.</w:t>
      </w:r>
    </w:p>
    <w:p>
      <w:pPr>
        <w:pStyle w:val="Heading2"/>
      </w:pPr>
      <w:r>
        <w:t>5.1 Why the QB metaphor is useful</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1872"/>
            <w:shd w:fill="D9EAF7"/>
          </w:tcPr>
          <w:p>
            <w:r/>
            <w:r>
              <w:rPr>
                <w:b/>
              </w:rPr>
              <w:t>Component</w:t>
            </w:r>
          </w:p>
        </w:tc>
        <w:tc>
          <w:tcPr>
            <w:tcW w:type="dxa" w:w="4320"/>
            <w:shd w:fill="D9EAF7"/>
          </w:tcPr>
          <w:p>
            <w:r/>
            <w:r>
              <w:rPr>
                <w:b/>
              </w:rPr>
              <w:t>Role</w:t>
            </w:r>
          </w:p>
        </w:tc>
        <w:tc>
          <w:tcPr>
            <w:tcW w:type="dxa" w:w="4608"/>
            <w:shd w:fill="D9EAF7"/>
          </w:tcPr>
          <w:p>
            <w:r/>
            <w:r>
              <w:rPr>
                <w:b/>
              </w:rPr>
              <w:t>Design requirement</w:t>
            </w:r>
          </w:p>
        </w:tc>
      </w:tr>
      <w:tr>
        <w:trPr>
          <w:cantSplit/>
        </w:trPr>
        <w:tc>
          <w:tcPr>
            <w:tcW w:type="dxa" w:w="1872"/>
          </w:tcPr>
          <w:p>
            <w:pPr>
              <w:spacing w:after="40"/>
            </w:pPr>
            <w:r/>
            <w:r>
              <w:rPr>
                <w:b w:val="0"/>
              </w:rPr>
              <w:t>QB/trunk</w:t>
            </w:r>
          </w:p>
        </w:tc>
        <w:tc>
          <w:tcPr>
            <w:tcW w:type="dxa" w:w="4320"/>
          </w:tcPr>
          <w:p>
            <w:pPr>
              <w:spacing w:after="40"/>
            </w:pPr>
            <w:r/>
            <w:r>
              <w:rPr>
                <w:b w:val="0"/>
              </w:rPr>
              <w:t>Routes, invokes, interprets, synthesizes, and explains.</w:t>
            </w:r>
          </w:p>
        </w:tc>
        <w:tc>
          <w:tcPr>
            <w:tcW w:type="dxa" w:w="4608"/>
          </w:tcPr>
          <w:p>
            <w:pPr>
              <w:spacing w:after="40"/>
            </w:pPr>
            <w:r/>
            <w:r>
              <w:rPr>
                <w:b w:val="0"/>
              </w:rPr>
              <w:t>Frozen during live inference; evaluated before release updates.</w:t>
            </w:r>
          </w:p>
        </w:tc>
      </w:tr>
      <w:tr>
        <w:trPr>
          <w:cantSplit/>
        </w:trPr>
        <w:tc>
          <w:tcPr>
            <w:tcW w:type="dxa" w:w="1872"/>
          </w:tcPr>
          <w:p>
            <w:pPr>
              <w:spacing w:after="40"/>
            </w:pPr>
            <w:r/>
            <w:r>
              <w:rPr>
                <w:b w:val="0"/>
              </w:rPr>
              <w:t>Specialists</w:t>
            </w:r>
          </w:p>
        </w:tc>
        <w:tc>
          <w:tcPr>
            <w:tcW w:type="dxa" w:w="4320"/>
          </w:tcPr>
          <w:p>
            <w:pPr>
              <w:spacing w:after="40"/>
            </w:pPr>
            <w:r/>
            <w:r>
              <w:rPr>
                <w:b w:val="0"/>
              </w:rPr>
              <w:t>Perform domain-specific functions and return typed claims.</w:t>
            </w:r>
          </w:p>
        </w:tc>
        <w:tc>
          <w:tcPr>
            <w:tcW w:type="dxa" w:w="4608"/>
          </w:tcPr>
          <w:p>
            <w:pPr>
              <w:spacing w:after="40"/>
            </w:pPr>
            <w:r/>
            <w:r>
              <w:rPr>
                <w:b w:val="0"/>
              </w:rPr>
              <w:t>Must include source, confidence, version, cost, and provenance metadata.</w:t>
            </w:r>
          </w:p>
        </w:tc>
      </w:tr>
      <w:tr>
        <w:trPr>
          <w:cantSplit/>
        </w:trPr>
        <w:tc>
          <w:tcPr>
            <w:tcW w:type="dxa" w:w="1872"/>
          </w:tcPr>
          <w:p>
            <w:pPr>
              <w:spacing w:after="40"/>
            </w:pPr>
            <w:r/>
            <w:r>
              <w:rPr>
                <w:b w:val="0"/>
              </w:rPr>
              <w:t>Translators</w:t>
            </w:r>
          </w:p>
        </w:tc>
        <w:tc>
          <w:tcPr>
            <w:tcW w:type="dxa" w:w="4320"/>
          </w:tcPr>
          <w:p>
            <w:pPr>
              <w:spacing w:after="40"/>
            </w:pPr>
            <w:r/>
            <w:r>
              <w:rPr>
                <w:b w:val="0"/>
              </w:rPr>
              <w:t>Bridge schemas, APIs, units, identifiers, and semantic formats.</w:t>
            </w:r>
          </w:p>
        </w:tc>
        <w:tc>
          <w:tcPr>
            <w:tcW w:type="dxa" w:w="4608"/>
          </w:tcPr>
          <w:p>
            <w:pPr>
              <w:spacing w:after="40"/>
            </w:pPr>
            <w:r/>
            <w:r>
              <w:rPr>
                <w:b w:val="0"/>
              </w:rPr>
              <w:t>Mostly deterministic; LLM use constrained to genuine semantic translation.</w:t>
            </w:r>
          </w:p>
        </w:tc>
      </w:tr>
      <w:tr>
        <w:trPr>
          <w:cantSplit/>
        </w:trPr>
        <w:tc>
          <w:tcPr>
            <w:tcW w:type="dxa" w:w="1872"/>
          </w:tcPr>
          <w:p>
            <w:pPr>
              <w:spacing w:after="40"/>
            </w:pPr>
            <w:r/>
            <w:r>
              <w:rPr>
                <w:b w:val="0"/>
              </w:rPr>
              <w:t>Verifier</w:t>
            </w:r>
          </w:p>
        </w:tc>
        <w:tc>
          <w:tcPr>
            <w:tcW w:type="dxa" w:w="4320"/>
          </w:tcPr>
          <w:p>
            <w:pPr>
              <w:spacing w:after="40"/>
            </w:pPr>
            <w:r/>
            <w:r>
              <w:rPr>
                <w:b w:val="0"/>
              </w:rPr>
              <w:t>Checks claims or inference steps using appropriate methods.</w:t>
            </w:r>
          </w:p>
        </w:tc>
        <w:tc>
          <w:tcPr>
            <w:tcW w:type="dxa" w:w="4608"/>
          </w:tcPr>
          <w:p>
            <w:pPr>
              <w:spacing w:after="40"/>
            </w:pPr>
            <w:r/>
            <w:r>
              <w:rPr>
                <w:b w:val="0"/>
              </w:rPr>
              <w:t>Must choose verification mode by claim type, value, and risk.</w:t>
            </w:r>
          </w:p>
        </w:tc>
      </w:tr>
      <w:tr>
        <w:trPr>
          <w:cantSplit/>
        </w:trPr>
        <w:tc>
          <w:tcPr>
            <w:tcW w:type="dxa" w:w="1872"/>
          </w:tcPr>
          <w:p>
            <w:pPr>
              <w:spacing w:after="40"/>
            </w:pPr>
            <w:r/>
            <w:r>
              <w:rPr>
                <w:b w:val="0"/>
              </w:rPr>
              <w:t>Provenance graph</w:t>
            </w:r>
          </w:p>
        </w:tc>
        <w:tc>
          <w:tcPr>
            <w:tcW w:type="dxa" w:w="4320"/>
          </w:tcPr>
          <w:p>
            <w:pPr>
              <w:spacing w:after="40"/>
            </w:pPr>
            <w:r/>
            <w:r>
              <w:rPr>
                <w:b w:val="0"/>
              </w:rPr>
              <w:t>Records claim dependencies, source identity, and update contributions.</w:t>
            </w:r>
          </w:p>
        </w:tc>
        <w:tc>
          <w:tcPr>
            <w:tcW w:type="dxa" w:w="4608"/>
          </w:tcPr>
          <w:p>
            <w:pPr>
              <w:spacing w:after="40"/>
            </w:pPr>
            <w:r/>
            <w:r>
              <w:rPr>
                <w:b w:val="0"/>
              </w:rPr>
              <w:t>Must support audit, rollback, and counterfactual review.</w:t>
            </w:r>
          </w:p>
        </w:tc>
      </w:tr>
      <w:tr>
        <w:trPr>
          <w:cantSplit/>
        </w:trPr>
        <w:tc>
          <w:tcPr>
            <w:tcW w:type="dxa" w:w="1872"/>
          </w:tcPr>
          <w:p>
            <w:pPr>
              <w:spacing w:after="40"/>
            </w:pPr>
            <w:r/>
            <w:r>
              <w:rPr>
                <w:b w:val="0"/>
              </w:rPr>
              <w:t>VECL sleep cycle</w:t>
            </w:r>
          </w:p>
        </w:tc>
        <w:tc>
          <w:tcPr>
            <w:tcW w:type="dxa" w:w="4320"/>
          </w:tcPr>
          <w:p>
            <w:pPr>
              <w:spacing w:after="40"/>
            </w:pPr>
            <w:r/>
            <w:r>
              <w:rPr>
                <w:b w:val="0"/>
              </w:rPr>
              <w:t>Improves routing, synthesis, calibration, and sparse memory between releases.</w:t>
            </w:r>
          </w:p>
        </w:tc>
        <w:tc>
          <w:tcPr>
            <w:tcW w:type="dxa" w:w="4608"/>
          </w:tcPr>
          <w:p>
            <w:pPr>
              <w:spacing w:after="40"/>
            </w:pPr>
            <w:r/>
            <w:r>
              <w:rPr>
                <w:b w:val="0"/>
              </w:rPr>
              <w:t>Never mutates the live path during a decision.</w:t>
            </w:r>
          </w:p>
        </w:tc>
      </w:tr>
    </w:tbl>
    <w:p/>
    <w:p>
      <w:r>
        <w:t>The key product artifact is not just the answer. It is the decision record: claims, sources, specialist versions, confidence, dependencies, verification status, timestamps, tenant context, and rollback eligibility.</w:t>
      </w:r>
    </w:p>
    <w:p>
      <w:pPr>
        <w:pStyle w:val="Heading2"/>
      </w:pPr>
      <w:r>
        <w:t>5.2 Lead with QB; keep VECL as defensibility</w:t>
      </w:r>
    </w:p>
    <w:p>
      <w:r>
        <w:t>For enterprise buyers, “auditable specialist orchestration” is easier to buy than “continuous parameter learning.” The recommended external message is: specialist orchestration with provenance, verification, and reversible improvement. Internally and technically, VECL is the research moat that makes the system improve and remain accountable over time.</w:t>
      </w:r>
    </w:p>
    <w:p>
      <w:r>
        <w:t>The initial product should not require full parametric VECL to be valuable. A frozen QB with specialists, typed claim cards, provenance logging, verification, and a synthesis audit trail already creates value and de-risks the market. Parametric sleep-cycle updates can be introduced after routing, cost-quality tradeoffs, and synthesis policies are measured and controlled.</w:t>
      </w:r>
    </w:p>
    <w:p>
      <w:pPr>
        <w:pStyle w:val="Heading2"/>
      </w:pPr>
      <w:r>
        <w:t>5.3 Synthesis-layer auditing is the biggest product risk</w:t>
      </w:r>
    </w:p>
    <w:p>
      <w:r>
        <w:t>Claim-level provenance does not guarantee conclusion-level correctness. Three individually correct specialist claims can be combined into a wrong recommendation if the QB misses a constraint, assumes independence, or applies the wrong domain rule. The notes correctly flag synthesis-layer auditing as unresolved. [S1]</w:t>
      </w:r>
    </w:p>
    <w:p>
      <w:r>
        <w:t>The QB should therefore emit not only claims but inference steps: “Conclusion C follows from claims A, B, and D under rule R.” The verifier should be able to check both the factual claims and the inference relation. In high-risk domains, unsupported synthesis should be treated as a first-class failure mode, not a stylistic issue.</w:t>
      </w:r>
    </w:p>
    <w:p>
      <w:pPr>
        <w:pStyle w:val="Heading2"/>
      </w:pPr>
      <w:r>
        <w:t>5.4 Verification as a first-class subsystem</w:t>
      </w:r>
    </w:p>
    <w:p>
      <w:r>
        <w:t>“Verification” currently hides multiple mechanisms: cross-specialist consistency, reference-truth lookup, adversarial self-consistency, outcome-based validation, and human or governance review. These have different costs and strengths. The orchestrator needs a verification policy that chooses the right mode per claim type.</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880"/>
            <w:shd w:fill="D9EAF7"/>
          </w:tcPr>
          <w:p>
            <w:r/>
            <w:r>
              <w:rPr>
                <w:b/>
              </w:rPr>
              <w:t>Claim class</w:t>
            </w:r>
          </w:p>
        </w:tc>
        <w:tc>
          <w:tcPr>
            <w:tcW w:type="dxa" w:w="4464"/>
            <w:shd w:fill="D9EAF7"/>
          </w:tcPr>
          <w:p>
            <w:r/>
            <w:r>
              <w:rPr>
                <w:b/>
              </w:rPr>
              <w:t>Example verification mode</w:t>
            </w:r>
          </w:p>
        </w:tc>
        <w:tc>
          <w:tcPr>
            <w:tcW w:type="dxa" w:w="3888"/>
            <w:shd w:fill="D9EAF7"/>
          </w:tcPr>
          <w:p>
            <w:r/>
            <w:r>
              <w:rPr>
                <w:b/>
              </w:rPr>
              <w:t>When to use</w:t>
            </w:r>
          </w:p>
        </w:tc>
      </w:tr>
      <w:tr>
        <w:trPr>
          <w:cantSplit/>
        </w:trPr>
        <w:tc>
          <w:tcPr>
            <w:tcW w:type="dxa" w:w="2880"/>
          </w:tcPr>
          <w:p>
            <w:pPr>
              <w:spacing w:after="40"/>
            </w:pPr>
            <w:r/>
            <w:r>
              <w:rPr>
                <w:b w:val="0"/>
              </w:rPr>
              <w:t>Low-risk operational suggestion</w:t>
            </w:r>
          </w:p>
        </w:tc>
        <w:tc>
          <w:tcPr>
            <w:tcW w:type="dxa" w:w="4464"/>
          </w:tcPr>
          <w:p>
            <w:pPr>
              <w:spacing w:after="40"/>
            </w:pPr>
            <w:r/>
            <w:r>
              <w:rPr>
                <w:b w:val="0"/>
              </w:rPr>
              <w:t>Cross-specialist consistency and confidence thresholds.</w:t>
            </w:r>
          </w:p>
        </w:tc>
        <w:tc>
          <w:tcPr>
            <w:tcW w:type="dxa" w:w="3888"/>
          </w:tcPr>
          <w:p>
            <w:pPr>
              <w:spacing w:after="40"/>
            </w:pPr>
            <w:r/>
            <w:r>
              <w:rPr>
                <w:b w:val="0"/>
              </w:rPr>
              <w:t>Routine advice with low cost of error.</w:t>
            </w:r>
          </w:p>
        </w:tc>
      </w:tr>
      <w:tr>
        <w:trPr>
          <w:cantSplit/>
        </w:trPr>
        <w:tc>
          <w:tcPr>
            <w:tcW w:type="dxa" w:w="2880"/>
          </w:tcPr>
          <w:p>
            <w:pPr>
              <w:spacing w:after="40"/>
            </w:pPr>
            <w:r/>
            <w:r>
              <w:rPr>
                <w:b w:val="0"/>
              </w:rPr>
              <w:t>Regulatory or credential claim</w:t>
            </w:r>
          </w:p>
        </w:tc>
        <w:tc>
          <w:tcPr>
            <w:tcW w:type="dxa" w:w="4464"/>
          </w:tcPr>
          <w:p>
            <w:pPr>
              <w:spacing w:after="40"/>
            </w:pPr>
            <w:r/>
            <w:r>
              <w:rPr>
                <w:b w:val="0"/>
              </w:rPr>
              <w:t>Authoritative record lookup or signed credential check.</w:t>
            </w:r>
          </w:p>
        </w:tc>
        <w:tc>
          <w:tcPr>
            <w:tcW w:type="dxa" w:w="3888"/>
          </w:tcPr>
          <w:p>
            <w:pPr>
              <w:spacing w:after="40"/>
            </w:pPr>
            <w:r/>
            <w:r>
              <w:rPr>
                <w:b w:val="0"/>
              </w:rPr>
              <w:t>Licensing, qualification, compliance, and identity.</w:t>
            </w:r>
          </w:p>
        </w:tc>
      </w:tr>
      <w:tr>
        <w:trPr>
          <w:cantSplit/>
        </w:trPr>
        <w:tc>
          <w:tcPr>
            <w:tcW w:type="dxa" w:w="2880"/>
          </w:tcPr>
          <w:p>
            <w:pPr>
              <w:spacing w:after="40"/>
            </w:pPr>
            <w:r/>
            <w:r>
              <w:rPr>
                <w:b w:val="0"/>
              </w:rPr>
              <w:t>High-value decision</w:t>
            </w:r>
          </w:p>
        </w:tc>
        <w:tc>
          <w:tcPr>
            <w:tcW w:type="dxa" w:w="4464"/>
          </w:tcPr>
          <w:p>
            <w:pPr>
              <w:spacing w:after="40"/>
            </w:pPr>
            <w:r/>
            <w:r>
              <w:rPr>
                <w:b w:val="0"/>
              </w:rPr>
              <w:t>Reference lookup plus adversarial review or human approval.</w:t>
            </w:r>
          </w:p>
        </w:tc>
        <w:tc>
          <w:tcPr>
            <w:tcW w:type="dxa" w:w="3888"/>
          </w:tcPr>
          <w:p>
            <w:pPr>
              <w:spacing w:after="40"/>
            </w:pPr>
            <w:r/>
            <w:r>
              <w:rPr>
                <w:b w:val="0"/>
              </w:rPr>
              <w:t>Expensive freight, legal, medical, or financial consequences.</w:t>
            </w:r>
          </w:p>
        </w:tc>
      </w:tr>
      <w:tr>
        <w:trPr>
          <w:cantSplit/>
        </w:trPr>
        <w:tc>
          <w:tcPr>
            <w:tcW w:type="dxa" w:w="2880"/>
          </w:tcPr>
          <w:p>
            <w:pPr>
              <w:spacing w:after="40"/>
            </w:pPr>
            <w:r/>
            <w:r>
              <w:rPr>
                <w:b w:val="0"/>
              </w:rPr>
              <w:t>Synthesis conclusion</w:t>
            </w:r>
          </w:p>
        </w:tc>
        <w:tc>
          <w:tcPr>
            <w:tcW w:type="dxa" w:w="4464"/>
          </w:tcPr>
          <w:p>
            <w:pPr>
              <w:spacing w:after="40"/>
            </w:pPr>
            <w:r/>
            <w:r>
              <w:rPr>
                <w:b w:val="0"/>
              </w:rPr>
              <w:t>Argument-step validation against domain rules.</w:t>
            </w:r>
          </w:p>
        </w:tc>
        <w:tc>
          <w:tcPr>
            <w:tcW w:type="dxa" w:w="3888"/>
          </w:tcPr>
          <w:p>
            <w:pPr>
              <w:spacing w:after="40"/>
            </w:pPr>
            <w:r/>
            <w:r>
              <w:rPr>
                <w:b w:val="0"/>
              </w:rPr>
              <w:t>Multi-claim recommendations and exception handling.</w:t>
            </w:r>
          </w:p>
        </w:tc>
      </w:tr>
      <w:tr>
        <w:trPr>
          <w:cantSplit/>
        </w:trPr>
        <w:tc>
          <w:tcPr>
            <w:tcW w:type="dxa" w:w="2880"/>
          </w:tcPr>
          <w:p>
            <w:pPr>
              <w:spacing w:after="40"/>
            </w:pPr>
            <w:r/>
            <w:r>
              <w:rPr>
                <w:b w:val="0"/>
              </w:rPr>
              <w:t>Post-incident review</w:t>
            </w:r>
          </w:p>
        </w:tc>
        <w:tc>
          <w:tcPr>
            <w:tcW w:type="dxa" w:w="4464"/>
          </w:tcPr>
          <w:p>
            <w:pPr>
              <w:spacing w:after="40"/>
            </w:pPr>
            <w:r/>
            <w:r>
              <w:rPr>
                <w:b w:val="0"/>
              </w:rPr>
              <w:t>Quarantine, rollback simulation, and counterfactual replay.</w:t>
            </w:r>
          </w:p>
        </w:tc>
        <w:tc>
          <w:tcPr>
            <w:tcW w:type="dxa" w:w="3888"/>
          </w:tcPr>
          <w:p>
            <w:pPr>
              <w:spacing w:after="40"/>
            </w:pPr>
            <w:r/>
            <w:r>
              <w:rPr>
                <w:b w:val="0"/>
              </w:rPr>
              <w:t>Compromised source or bad outcome investigation.</w:t>
            </w:r>
          </w:p>
        </w:tc>
      </w:tr>
    </w:tbl>
    <w:p/>
    <w:p>
      <w:pPr>
        <w:pStyle w:val="Heading2"/>
      </w:pPr>
      <w:r>
        <w:t>5.5 Tenant isolation is a product requirement, not a nice-to-have</w:t>
      </w:r>
    </w:p>
    <w:p>
      <w:r>
        <w:t>Per-tenant VECL isolation should be the default. No cross-firm trace sharing and no cross-firm parameter sharing should occur unless a later governance and privacy design explicitly permits it. Behavioral traces in narrow domains can be identifying, even if formally anonymized. [S1]</w:t>
      </w:r>
    </w:p>
    <w:p>
      <w:r>
        <w:t>This makes privacy-by-design part of the formal learning story. Provenance-stability becomes a basis for tenant isolation as well as compromised-source rollback: learning can be attributed, quarantined, and undone at the tenant/source boundary.</w:t>
      </w:r>
    </w:p>
    <w:p>
      <w:pPr>
        <w:pStyle w:val="Heading1"/>
      </w:pPr>
      <w:r>
        <w:t>6. Deployment thesis for Magellan and regulated workflows</w:t>
      </w:r>
    </w:p>
    <w:p>
      <w:r>
        <w:t>Magellan/pharma freight is a better first deployment arena than open-web knowledge because trust anchors are external, operational, and auditable. The notes identify sources such as broker/carrier authority, DOT/MC registration, GxP qualification, FDA establishment registration where relevant, TMS-timestamped delivery records, and shipper identity via audited onboarding. [S2]</w:t>
      </w:r>
    </w:p>
    <w:p>
      <w:r>
        <w:t>That changes the adversary economics. A generic online learner must infer trust from text, user behavior, or consistency. A Magellan deployment can require trust to flow from verified credentials and outcomes. The adversary may still have legitimate credentials, but the cost floor is higher and the audit trail is richer.</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184"/>
            <w:shd w:fill="D9EAF7"/>
          </w:tcPr>
          <w:p>
            <w:r/>
            <w:r>
              <w:rPr>
                <w:b/>
              </w:rPr>
              <w:t>Generic VECL</w:t>
            </w:r>
          </w:p>
        </w:tc>
        <w:tc>
          <w:tcPr>
            <w:tcW w:type="dxa" w:w="5184"/>
            <w:shd w:fill="D9EAF7"/>
          </w:tcPr>
          <w:p>
            <w:r/>
            <w:r>
              <w:rPr>
                <w:b/>
              </w:rPr>
              <w:t>Magellan-on-VECL</w:t>
            </w:r>
          </w:p>
        </w:tc>
      </w:tr>
      <w:tr>
        <w:trPr>
          <w:cantSplit/>
        </w:trPr>
        <w:tc>
          <w:tcPr>
            <w:tcW w:type="dxa" w:w="5184"/>
          </w:tcPr>
          <w:p>
            <w:pPr>
              <w:spacing w:after="40"/>
            </w:pPr>
            <w:r/>
            <w:r>
              <w:rPr>
                <w:b w:val="0"/>
              </w:rPr>
              <w:t>Trust may be inferred from behavior, agreement, or source reputation.</w:t>
            </w:r>
          </w:p>
        </w:tc>
        <w:tc>
          <w:tcPr>
            <w:tcW w:type="dxa" w:w="5184"/>
          </w:tcPr>
          <w:p>
            <w:pPr>
              <w:spacing w:after="40"/>
            </w:pPr>
            <w:r/>
            <w:r>
              <w:rPr>
                <w:b w:val="0"/>
              </w:rPr>
              <w:t>Trust can be tied to external credentials, audited identity, and operational records.</w:t>
            </w:r>
          </w:p>
        </w:tc>
      </w:tr>
      <w:tr>
        <w:trPr>
          <w:cantSplit/>
        </w:trPr>
        <w:tc>
          <w:tcPr>
            <w:tcW w:type="dxa" w:w="5184"/>
          </w:tcPr>
          <w:p>
            <w:pPr>
              <w:spacing w:after="40"/>
            </w:pPr>
            <w:r/>
            <w:r>
              <w:rPr>
                <w:b w:val="0"/>
              </w:rPr>
              <w:t>Sybil and authority-laundering risk is broad.</w:t>
            </w:r>
          </w:p>
        </w:tc>
        <w:tc>
          <w:tcPr>
            <w:tcW w:type="dxa" w:w="5184"/>
          </w:tcPr>
          <w:p>
            <w:pPr>
              <w:spacing w:after="40"/>
            </w:pPr>
            <w:r/>
            <w:r>
              <w:rPr>
                <w:b w:val="0"/>
              </w:rPr>
              <w:t>Sybil risk is constrained by onboarding, credentialing, and regulated identifiers.</w:t>
            </w:r>
          </w:p>
        </w:tc>
      </w:tr>
      <w:tr>
        <w:trPr>
          <w:cantSplit/>
        </w:trPr>
        <w:tc>
          <w:tcPr>
            <w:tcW w:type="dxa" w:w="5184"/>
          </w:tcPr>
          <w:p>
            <w:pPr>
              <w:spacing w:after="40"/>
            </w:pPr>
            <w:r/>
            <w:r>
              <w:rPr>
                <w:b w:val="0"/>
              </w:rPr>
              <w:t>Replay manipulation may select adversarial trust weights.</w:t>
            </w:r>
          </w:p>
        </w:tc>
        <w:tc>
          <w:tcPr>
            <w:tcW w:type="dxa" w:w="5184"/>
          </w:tcPr>
          <w:p>
            <w:pPr>
              <w:spacing w:after="40"/>
            </w:pPr>
            <w:r/>
            <w:r>
              <w:rPr>
                <w:b w:val="0"/>
              </w:rPr>
              <w:t>Replay can recalibrate only within credential-defined bounds.</w:t>
            </w:r>
          </w:p>
        </w:tc>
      </w:tr>
      <w:tr>
        <w:trPr>
          <w:cantSplit/>
        </w:trPr>
        <w:tc>
          <w:tcPr>
            <w:tcW w:type="dxa" w:w="5184"/>
          </w:tcPr>
          <w:p>
            <w:pPr>
              <w:spacing w:after="40"/>
            </w:pPr>
            <w:r/>
            <w:r>
              <w:rPr>
                <w:b w:val="0"/>
              </w:rPr>
              <w:t>Provenance proves “where it came from.”</w:t>
            </w:r>
          </w:p>
        </w:tc>
        <w:tc>
          <w:tcPr>
            <w:tcW w:type="dxa" w:w="5184"/>
          </w:tcPr>
          <w:p>
            <w:pPr>
              <w:spacing w:after="40"/>
            </w:pPr>
            <w:r/>
            <w:r>
              <w:rPr>
                <w:b w:val="0"/>
              </w:rPr>
              <w:t>Provenance can also establish operational accountability and liability boundary.</w:t>
            </w:r>
          </w:p>
        </w:tc>
      </w:tr>
      <w:tr>
        <w:trPr>
          <w:cantSplit/>
        </w:trPr>
        <w:tc>
          <w:tcPr>
            <w:tcW w:type="dxa" w:w="5184"/>
          </w:tcPr>
          <w:p>
            <w:pPr>
              <w:spacing w:after="40"/>
            </w:pPr>
            <w:r/>
            <w:r>
              <w:rPr>
                <w:b w:val="0"/>
              </w:rPr>
              <w:t>Best theorem: conditional bounded deviation.</w:t>
            </w:r>
          </w:p>
        </w:tc>
        <w:tc>
          <w:tcPr>
            <w:tcW w:type="dxa" w:w="5184"/>
          </w:tcPr>
          <w:p>
            <w:pPr>
              <w:spacing w:after="40"/>
            </w:pPr>
            <w:r/>
            <w:r>
              <w:rPr>
                <w:b w:val="0"/>
              </w:rPr>
              <w:t>Stronger theorem: credential-anchored bounded deviation.</w:t>
            </w:r>
          </w:p>
        </w:tc>
      </w:tr>
    </w:tbl>
    <w:p/>
    <w:p>
      <w:r>
        <w:t>The pitch should emphasize that VECL-QB is not asking buyers to trust an opaque self-updating model. It asks them to trust an auditable coordinator whose authority is grounded in the same credentials, records, and compliance processes they already use.</w:t>
      </w:r>
    </w:p>
    <w:p>
      <w:pPr>
        <w:pStyle w:val="Heading1"/>
      </w:pPr>
      <w:r>
        <w:t>7. Evaluation and benchmark plan</w:t>
      </w:r>
    </w:p>
    <w:p>
      <w:pPr>
        <w:pStyle w:val="Heading2"/>
      </w:pPr>
      <w:r>
        <w:t>7.1 Day-1 / Day-30 evaluation</w:t>
      </w:r>
    </w:p>
    <w:p>
      <w:r>
        <w:t>The VECL 2.0 plan defines a Day-1 versus Day-30 experiment: core skills should remain stable, static facts should remain stable, streaming knowledge should improve, and safety should remain stable or improve. The protocol simulates 30 days of streaming and VECL learning, then evaluates operational improvement and rollback behavior. [S3]</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448"/>
            <w:shd w:fill="D9EAF7"/>
          </w:tcPr>
          <w:p>
            <w:r/>
            <w:r>
              <w:rPr>
                <w:b/>
              </w:rPr>
              <w:t>Benchmark slice</w:t>
            </w:r>
          </w:p>
        </w:tc>
        <w:tc>
          <w:tcPr>
            <w:tcW w:type="dxa" w:w="4320"/>
            <w:shd w:fill="D9EAF7"/>
          </w:tcPr>
          <w:p>
            <w:r/>
            <w:r>
              <w:rPr>
                <w:b/>
              </w:rPr>
              <w:t>Expected behavior</w:t>
            </w:r>
          </w:p>
        </w:tc>
        <w:tc>
          <w:tcPr>
            <w:tcW w:type="dxa" w:w="4320"/>
            <w:shd w:fill="D9EAF7"/>
          </w:tcPr>
          <w:p>
            <w:r/>
            <w:r>
              <w:rPr>
                <w:b/>
              </w:rPr>
              <w:t>Metric</w:t>
            </w:r>
          </w:p>
        </w:tc>
      </w:tr>
      <w:tr>
        <w:trPr>
          <w:cantSplit/>
        </w:trPr>
        <w:tc>
          <w:tcPr>
            <w:tcW w:type="dxa" w:w="2448"/>
          </w:tcPr>
          <w:p>
            <w:pPr>
              <w:spacing w:after="40"/>
            </w:pPr>
            <w:r/>
            <w:r>
              <w:rPr>
                <w:b w:val="0"/>
              </w:rPr>
              <w:t>B0 core skills</w:t>
            </w:r>
          </w:p>
        </w:tc>
        <w:tc>
          <w:tcPr>
            <w:tcW w:type="dxa" w:w="4320"/>
          </w:tcPr>
          <w:p>
            <w:pPr>
              <w:spacing w:after="40"/>
            </w:pPr>
            <w:r/>
            <w:r>
              <w:rPr>
                <w:b w:val="0"/>
              </w:rPr>
              <w:t>Do not degrade.</w:t>
            </w:r>
          </w:p>
        </w:tc>
        <w:tc>
          <w:tcPr>
            <w:tcW w:type="dxa" w:w="4320"/>
          </w:tcPr>
          <w:p>
            <w:pPr>
              <w:spacing w:after="40"/>
            </w:pPr>
            <w:r/>
            <w:r>
              <w:rPr>
                <w:b w:val="0"/>
              </w:rPr>
              <w:t>Regression rate, reasoning accuracy, latency.</w:t>
            </w:r>
          </w:p>
        </w:tc>
      </w:tr>
      <w:tr>
        <w:trPr>
          <w:cantSplit/>
        </w:trPr>
        <w:tc>
          <w:tcPr>
            <w:tcW w:type="dxa" w:w="2448"/>
          </w:tcPr>
          <w:p>
            <w:pPr>
              <w:spacing w:after="40"/>
            </w:pPr>
            <w:r/>
            <w:r>
              <w:rPr>
                <w:b w:val="0"/>
              </w:rPr>
              <w:t>B1 static facts</w:t>
            </w:r>
          </w:p>
        </w:tc>
        <w:tc>
          <w:tcPr>
            <w:tcW w:type="dxa" w:w="4320"/>
          </w:tcPr>
          <w:p>
            <w:pPr>
              <w:spacing w:after="40"/>
            </w:pPr>
            <w:r/>
            <w:r>
              <w:rPr>
                <w:b w:val="0"/>
              </w:rPr>
              <w:t>Do not drift unnecessarily.</w:t>
            </w:r>
          </w:p>
        </w:tc>
        <w:tc>
          <w:tcPr>
            <w:tcW w:type="dxa" w:w="4320"/>
          </w:tcPr>
          <w:p>
            <w:pPr>
              <w:spacing w:after="40"/>
            </w:pPr>
            <w:r/>
            <w:r>
              <w:rPr>
                <w:b w:val="0"/>
              </w:rPr>
              <w:t>Consistency and contradiction rate.</w:t>
            </w:r>
          </w:p>
        </w:tc>
      </w:tr>
      <w:tr>
        <w:trPr>
          <w:cantSplit/>
        </w:trPr>
        <w:tc>
          <w:tcPr>
            <w:tcW w:type="dxa" w:w="2448"/>
          </w:tcPr>
          <w:p>
            <w:pPr>
              <w:spacing w:after="40"/>
            </w:pPr>
            <w:r/>
            <w:r>
              <w:rPr>
                <w:b w:val="0"/>
              </w:rPr>
              <w:t>B2 streaming knowledge</w:t>
            </w:r>
          </w:p>
        </w:tc>
        <w:tc>
          <w:tcPr>
            <w:tcW w:type="dxa" w:w="4320"/>
          </w:tcPr>
          <w:p>
            <w:pPr>
              <w:spacing w:after="40"/>
            </w:pPr>
            <w:r/>
            <w:r>
              <w:rPr>
                <w:b w:val="0"/>
              </w:rPr>
              <w:t>Improve from updates.</w:t>
            </w:r>
          </w:p>
        </w:tc>
        <w:tc>
          <w:tcPr>
            <w:tcW w:type="dxa" w:w="4320"/>
          </w:tcPr>
          <w:p>
            <w:pPr>
              <w:spacing w:after="40"/>
            </w:pPr>
            <w:r/>
            <w:r>
              <w:rPr>
                <w:b w:val="0"/>
              </w:rPr>
              <w:t>Freshness, correct incorporation, answer utility.</w:t>
            </w:r>
          </w:p>
        </w:tc>
      </w:tr>
      <w:tr>
        <w:trPr>
          <w:cantSplit/>
        </w:trPr>
        <w:tc>
          <w:tcPr>
            <w:tcW w:type="dxa" w:w="2448"/>
          </w:tcPr>
          <w:p>
            <w:pPr>
              <w:spacing w:after="40"/>
            </w:pPr>
            <w:r/>
            <w:r>
              <w:rPr>
                <w:b w:val="0"/>
              </w:rPr>
              <w:t>B3 safety</w:t>
            </w:r>
          </w:p>
        </w:tc>
        <w:tc>
          <w:tcPr>
            <w:tcW w:type="dxa" w:w="4320"/>
          </w:tcPr>
          <w:p>
            <w:pPr>
              <w:spacing w:after="40"/>
            </w:pPr>
            <w:r/>
            <w:r>
              <w:rPr>
                <w:b w:val="0"/>
              </w:rPr>
              <w:t>Remain safe or improve.</w:t>
            </w:r>
          </w:p>
        </w:tc>
        <w:tc>
          <w:tcPr>
            <w:tcW w:type="dxa" w:w="4320"/>
          </w:tcPr>
          <w:p>
            <w:pPr>
              <w:spacing w:after="40"/>
            </w:pPr>
            <w:r/>
            <w:r>
              <w:rPr>
                <w:b w:val="0"/>
              </w:rPr>
              <w:t>Policy violation rate and refusal quality.</w:t>
            </w:r>
          </w:p>
        </w:tc>
      </w:tr>
      <w:tr>
        <w:trPr>
          <w:cantSplit/>
        </w:trPr>
        <w:tc>
          <w:tcPr>
            <w:tcW w:type="dxa" w:w="2448"/>
          </w:tcPr>
          <w:p>
            <w:pPr>
              <w:spacing w:after="40"/>
            </w:pPr>
            <w:r/>
            <w:r>
              <w:rPr>
                <w:b w:val="0"/>
              </w:rPr>
              <w:t>Rollback demo</w:t>
            </w:r>
          </w:p>
        </w:tc>
        <w:tc>
          <w:tcPr>
            <w:tcW w:type="dxa" w:w="4320"/>
          </w:tcPr>
          <w:p>
            <w:pPr>
              <w:spacing w:after="40"/>
            </w:pPr>
            <w:r/>
            <w:r>
              <w:rPr>
                <w:b w:val="0"/>
              </w:rPr>
              <w:t>Remove compromised-source effects.</w:t>
            </w:r>
          </w:p>
        </w:tc>
        <w:tc>
          <w:tcPr>
            <w:tcW w:type="dxa" w:w="4320"/>
          </w:tcPr>
          <w:p>
            <w:pPr>
              <w:spacing w:after="40"/>
            </w:pPr>
            <w:r/>
            <w:r>
              <w:rPr>
                <w:b w:val="0"/>
              </w:rPr>
              <w:t>Rollback fidelity and residual contamination.</w:t>
            </w:r>
          </w:p>
        </w:tc>
      </w:tr>
    </w:tbl>
    <w:p/>
    <w:p>
      <w:pPr>
        <w:pStyle w:val="Heading2"/>
      </w:pPr>
      <w:r>
        <w:t>7.2 Provenance-stress benchmark</w:t>
      </w:r>
    </w:p>
    <w:p>
      <w:r>
        <w:t>The most distinctive benchmark is a provenance-stress benchmark: operational improvement, detection and quarantine of compromised sources, fidelity of rollback, and confidence calibration on rolled-back claims. Unlike static capability benchmarks, this targets structural properties that simple memorization cannot fake. [S1]</w:t>
      </w:r>
    </w:p>
    <w:p>
      <w:pPr>
        <w:ind w:left="360" w:hanging="288"/>
      </w:pPr>
      <w:r>
        <w:rPr>
          <w:b/>
        </w:rPr>
        <w:t xml:space="preserve">1. </w:t>
      </w:r>
      <w:r>
        <w:rPr>
          <w:b/>
        </w:rPr>
        <w:t xml:space="preserve">Operational improvement. </w:t>
      </w:r>
      <w:r>
        <w:t>Does the system become more useful after controlled learning?</w:t>
      </w:r>
    </w:p>
    <w:p>
      <w:pPr>
        <w:ind w:left="360" w:hanging="288"/>
      </w:pPr>
      <w:r>
        <w:rPr>
          <w:b/>
        </w:rPr>
        <w:t xml:space="preserve">2. </w:t>
      </w:r>
      <w:r>
        <w:rPr>
          <w:b/>
        </w:rPr>
        <w:t xml:space="preserve">Compromised-source identification. </w:t>
      </w:r>
      <w:r>
        <w:t>Can it locate which source/specialist/version polluted the belief or slot?</w:t>
      </w:r>
    </w:p>
    <w:p>
      <w:pPr>
        <w:ind w:left="360" w:hanging="288"/>
      </w:pPr>
      <w:r>
        <w:rPr>
          <w:b/>
        </w:rPr>
        <w:t xml:space="preserve">3. </w:t>
      </w:r>
      <w:r>
        <w:rPr>
          <w:b/>
        </w:rPr>
        <w:t xml:space="preserve">Rollback fidelity. </w:t>
      </w:r>
      <w:r>
        <w:t>Can it approximately reconstruct the trajectory without that source?</w:t>
      </w:r>
    </w:p>
    <w:p>
      <w:pPr>
        <w:ind w:left="360" w:hanging="288"/>
      </w:pPr>
      <w:r>
        <w:rPr>
          <w:b/>
        </w:rPr>
        <w:t xml:space="preserve">4. </w:t>
      </w:r>
      <w:r>
        <w:rPr>
          <w:b/>
        </w:rPr>
        <w:t xml:space="preserve">Post-rollback calibration. </w:t>
      </w:r>
      <w:r>
        <w:t>Does confidence decrease appropriately for claims that depended on rolled-back sources?</w:t>
      </w:r>
    </w:p>
    <w:p>
      <w:pPr>
        <w:ind w:left="360" w:hanging="288"/>
      </w:pPr>
      <w:r>
        <w:rPr>
          <w:b/>
        </w:rPr>
        <w:t xml:space="preserve">5. </w:t>
      </w:r>
      <w:r>
        <w:rPr>
          <w:b/>
        </w:rPr>
        <w:t xml:space="preserve">Replay resistance. </w:t>
      </w:r>
      <w:r>
        <w:t>Does source-diverse replay prevent low-trust evidence from dominating consolidation?</w:t>
      </w:r>
    </w:p>
    <w:p>
      <w:pPr>
        <w:pStyle w:val="Heading2"/>
      </w:pPr>
      <w:r>
        <w:t>7.3 Stockfish demo and domain demo</w:t>
      </w:r>
    </w:p>
    <w:p>
      <w:r>
        <w:t>Stockfish is a good v0 specialist because chess gives dense, objective feedback and clear specialist boundaries: the trunk has uneven chess knowledge, while the specialist can provide reliable evaluation. This tests routing, invocation, calibration, compromised-source quarantine, and rollback in a clean environment. [S1]</w:t>
      </w:r>
    </w:p>
    <w:p>
      <w:r>
        <w:t>Stockfish should not be the whole story. Pair it with a domain demo: for a pharma freight shipment, route through carrier qualification, lane history, temperature-control constraints, pricing/rate engine, and compliance rules; output a recommendation with claim graph, verification status, and rollbackable provenance.</w:t>
      </w:r>
    </w:p>
    <w:p>
      <w:pPr>
        <w:pStyle w:val="Heading1"/>
      </w:pPr>
      <w:r>
        <w:t>8. Implementation and specification roadmap</w:t>
      </w:r>
    </w:p>
    <w:p>
      <w:r>
        <w:t>The fastest credible path is to build a frozen auditable QB first, then layer VECL learning progressively. This avoids forcing the product and the research risk to mature simultaneously.</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088"/>
            <w:shd w:fill="D9EAF7"/>
          </w:tcPr>
          <w:p>
            <w:r/>
            <w:r>
              <w:rPr>
                <w:b/>
              </w:rPr>
              <w:t>Phase</w:t>
            </w:r>
          </w:p>
        </w:tc>
        <w:tc>
          <w:tcPr>
            <w:tcW w:type="dxa" w:w="4680"/>
            <w:shd w:fill="D9EAF7"/>
          </w:tcPr>
          <w:p>
            <w:r/>
            <w:r>
              <w:rPr>
                <w:b/>
              </w:rPr>
              <w:t>Deliverable</w:t>
            </w:r>
          </w:p>
        </w:tc>
        <w:tc>
          <w:tcPr>
            <w:tcW w:type="dxa" w:w="4464"/>
            <w:shd w:fill="D9EAF7"/>
          </w:tcPr>
          <w:p>
            <w:r/>
            <w:r>
              <w:rPr>
                <w:b/>
              </w:rPr>
              <w:t>Success criterion</w:t>
            </w:r>
          </w:p>
        </w:tc>
      </w:tr>
      <w:tr>
        <w:trPr>
          <w:cantSplit/>
        </w:trPr>
        <w:tc>
          <w:tcPr>
            <w:tcW w:type="dxa" w:w="2088"/>
          </w:tcPr>
          <w:p>
            <w:pPr>
              <w:spacing w:after="40"/>
            </w:pPr>
            <w:r/>
            <w:r>
              <w:rPr>
                <w:b w:val="0"/>
              </w:rPr>
              <w:t>0: Threat model</w:t>
            </w:r>
          </w:p>
        </w:tc>
        <w:tc>
          <w:tcPr>
            <w:tcW w:type="dxa" w:w="4680"/>
          </w:tcPr>
          <w:p>
            <w:pPr>
              <w:spacing w:after="40"/>
            </w:pPr>
            <w:r/>
            <w:r>
              <w:rPr>
                <w:b w:val="0"/>
              </w:rPr>
              <w:t>Strategic-adversary document, release criteria, trust-anchor policy.</w:t>
            </w:r>
          </w:p>
        </w:tc>
        <w:tc>
          <w:tcPr>
            <w:tcW w:type="dxa" w:w="4464"/>
          </w:tcPr>
          <w:p>
            <w:pPr>
              <w:spacing w:after="40"/>
            </w:pPr>
            <w:r/>
            <w:r>
              <w:rPr>
                <w:b w:val="0"/>
              </w:rPr>
              <w:t>Attack classes and gates are named before implementation pressure.</w:t>
            </w:r>
          </w:p>
        </w:tc>
      </w:tr>
      <w:tr>
        <w:trPr>
          <w:cantSplit/>
        </w:trPr>
        <w:tc>
          <w:tcPr>
            <w:tcW w:type="dxa" w:w="2088"/>
          </w:tcPr>
          <w:p>
            <w:pPr>
              <w:spacing w:after="40"/>
            </w:pPr>
            <w:r/>
            <w:r>
              <w:rPr>
                <w:b w:val="0"/>
              </w:rPr>
              <w:t>1: Frozen QB</w:t>
            </w:r>
          </w:p>
        </w:tc>
        <w:tc>
          <w:tcPr>
            <w:tcW w:type="dxa" w:w="4680"/>
          </w:tcPr>
          <w:p>
            <w:pPr>
              <w:spacing w:after="40"/>
            </w:pPr>
            <w:r/>
            <w:r>
              <w:rPr>
                <w:b w:val="0"/>
              </w:rPr>
              <w:t>Trunk + 2-3 specialists + typed claim cards + provenance graph.</w:t>
            </w:r>
          </w:p>
        </w:tc>
        <w:tc>
          <w:tcPr>
            <w:tcW w:type="dxa" w:w="4464"/>
          </w:tcPr>
          <w:p>
            <w:pPr>
              <w:spacing w:after="40"/>
            </w:pPr>
            <w:r/>
            <w:r>
              <w:rPr>
                <w:b w:val="0"/>
              </w:rPr>
              <w:t>Every answer has an inspectable claim/dependency record.</w:t>
            </w:r>
          </w:p>
        </w:tc>
      </w:tr>
      <w:tr>
        <w:trPr>
          <w:cantSplit/>
        </w:trPr>
        <w:tc>
          <w:tcPr>
            <w:tcW w:type="dxa" w:w="2088"/>
          </w:tcPr>
          <w:p>
            <w:pPr>
              <w:spacing w:after="40"/>
            </w:pPr>
            <w:r/>
            <w:r>
              <w:rPr>
                <w:b w:val="0"/>
              </w:rPr>
              <w:t>2: Verification</w:t>
            </w:r>
          </w:p>
        </w:tc>
        <w:tc>
          <w:tcPr>
            <w:tcW w:type="dxa" w:w="4680"/>
          </w:tcPr>
          <w:p>
            <w:pPr>
              <w:spacing w:after="40"/>
            </w:pPr>
            <w:r/>
            <w:r>
              <w:rPr>
                <w:b w:val="0"/>
              </w:rPr>
              <w:t>Verification policy and synthesis audit trail.</w:t>
            </w:r>
          </w:p>
        </w:tc>
        <w:tc>
          <w:tcPr>
            <w:tcW w:type="dxa" w:w="4464"/>
          </w:tcPr>
          <w:p>
            <w:pPr>
              <w:spacing w:after="40"/>
            </w:pPr>
            <w:r/>
            <w:r>
              <w:rPr>
                <w:b w:val="0"/>
              </w:rPr>
              <w:t>High-risk claims and inference steps are checked or escalated.</w:t>
            </w:r>
          </w:p>
        </w:tc>
      </w:tr>
      <w:tr>
        <w:trPr>
          <w:cantSplit/>
        </w:trPr>
        <w:tc>
          <w:tcPr>
            <w:tcW w:type="dxa" w:w="2088"/>
          </w:tcPr>
          <w:p>
            <w:pPr>
              <w:spacing w:after="40"/>
            </w:pPr>
            <w:r/>
            <w:r>
              <w:rPr>
                <w:b w:val="0"/>
              </w:rPr>
              <w:t>3: Evaluation harness</w:t>
            </w:r>
          </w:p>
        </w:tc>
        <w:tc>
          <w:tcPr>
            <w:tcW w:type="dxa" w:w="4680"/>
          </w:tcPr>
          <w:p>
            <w:pPr>
              <w:spacing w:after="40"/>
            </w:pPr>
            <w:r/>
            <w:r>
              <w:rPr>
                <w:b w:val="0"/>
              </w:rPr>
              <w:t>Day-1/Day-30 and provenance-stress benchmark.</w:t>
            </w:r>
          </w:p>
        </w:tc>
        <w:tc>
          <w:tcPr>
            <w:tcW w:type="dxa" w:w="4464"/>
          </w:tcPr>
          <w:p>
            <w:pPr>
              <w:spacing w:after="40"/>
            </w:pPr>
            <w:r/>
            <w:r>
              <w:rPr>
                <w:b w:val="0"/>
              </w:rPr>
              <w:t>Improvement, rollback, and calibration can be measured.</w:t>
            </w:r>
          </w:p>
        </w:tc>
      </w:tr>
      <w:tr>
        <w:trPr>
          <w:cantSplit/>
        </w:trPr>
        <w:tc>
          <w:tcPr>
            <w:tcW w:type="dxa" w:w="2088"/>
          </w:tcPr>
          <w:p>
            <w:pPr>
              <w:spacing w:after="40"/>
            </w:pPr>
            <w:r/>
            <w:r>
              <w:rPr>
                <w:b w:val="0"/>
              </w:rPr>
              <w:t>4: Nonparametric learning</w:t>
            </w:r>
          </w:p>
        </w:tc>
        <w:tc>
          <w:tcPr>
            <w:tcW w:type="dxa" w:w="4680"/>
          </w:tcPr>
          <w:p>
            <w:pPr>
              <w:spacing w:after="40"/>
            </w:pPr>
            <w:r/>
            <w:r>
              <w:rPr>
                <w:b w:val="0"/>
              </w:rPr>
              <w:t>Learn routing, cost-quality tradeoffs, and retrieval policies.</w:t>
            </w:r>
          </w:p>
        </w:tc>
        <w:tc>
          <w:tcPr>
            <w:tcW w:type="dxa" w:w="4464"/>
          </w:tcPr>
          <w:p>
            <w:pPr>
              <w:spacing w:after="40"/>
            </w:pPr>
            <w:r/>
            <w:r>
              <w:rPr>
                <w:b w:val="0"/>
              </w:rPr>
              <w:t>System improves without parametric mutation.</w:t>
            </w:r>
          </w:p>
        </w:tc>
      </w:tr>
      <w:tr>
        <w:trPr>
          <w:cantSplit/>
        </w:trPr>
        <w:tc>
          <w:tcPr>
            <w:tcW w:type="dxa" w:w="2088"/>
          </w:tcPr>
          <w:p>
            <w:pPr>
              <w:spacing w:after="40"/>
            </w:pPr>
            <w:r/>
            <w:r>
              <w:rPr>
                <w:b w:val="0"/>
              </w:rPr>
              <w:t>5: Sleep-cycle VECL</w:t>
            </w:r>
          </w:p>
        </w:tc>
        <w:tc>
          <w:tcPr>
            <w:tcW w:type="dxa" w:w="4680"/>
          </w:tcPr>
          <w:p>
            <w:pPr>
              <w:spacing w:after="40"/>
            </w:pPr>
            <w:r/>
            <w:r>
              <w:rPr>
                <w:b w:val="0"/>
              </w:rPr>
              <w:t>Authority-bounded sparse memory updates with provenance certificates.</w:t>
            </w:r>
          </w:p>
        </w:tc>
        <w:tc>
          <w:tcPr>
            <w:tcW w:type="dxa" w:w="4464"/>
          </w:tcPr>
          <w:p>
            <w:pPr>
              <w:spacing w:after="40"/>
            </w:pPr>
            <w:r/>
            <w:r>
              <w:rPr>
                <w:b w:val="0"/>
              </w:rPr>
              <w:t>Bounded update, rollback, and trust-drift tests pass.</w:t>
            </w:r>
          </w:p>
        </w:tc>
      </w:tr>
      <w:tr>
        <w:trPr>
          <w:cantSplit/>
        </w:trPr>
        <w:tc>
          <w:tcPr>
            <w:tcW w:type="dxa" w:w="2088"/>
          </w:tcPr>
          <w:p>
            <w:pPr>
              <w:spacing w:after="40"/>
            </w:pPr>
            <w:r/>
            <w:r>
              <w:rPr>
                <w:b w:val="0"/>
              </w:rPr>
              <w:t>6: Deployment governance</w:t>
            </w:r>
          </w:p>
        </w:tc>
        <w:tc>
          <w:tcPr>
            <w:tcW w:type="dxa" w:w="4680"/>
          </w:tcPr>
          <w:p>
            <w:pPr>
              <w:spacing w:after="40"/>
            </w:pPr>
            <w:r/>
            <w:r>
              <w:rPr>
                <w:b w:val="0"/>
              </w:rPr>
              <w:t>Snapshot promotion, tenant isolation, credential audit, incident replay.</w:t>
            </w:r>
          </w:p>
        </w:tc>
        <w:tc>
          <w:tcPr>
            <w:tcW w:type="dxa" w:w="4464"/>
          </w:tcPr>
          <w:p>
            <w:pPr>
              <w:spacing w:after="40"/>
            </w:pPr>
            <w:r/>
            <w:r>
              <w:rPr>
                <w:b w:val="0"/>
              </w:rPr>
              <w:t>Tomorrow’s QB can be approved as a release artifact.</w:t>
            </w:r>
          </w:p>
        </w:tc>
      </w:tr>
    </w:tbl>
    <w:p/>
    <w:p>
      <w:pPr>
        <w:pStyle w:val="Heading2"/>
      </w:pPr>
      <w:r>
        <w:t>8.1 Immediate spec fixes</w:t>
      </w:r>
    </w:p>
    <w:p>
      <w:pPr>
        <w:ind w:left="360" w:hanging="288"/>
      </w:pPr>
      <w:r>
        <w:rPr>
          <w:b/>
        </w:rPr>
        <w:t xml:space="preserve">1. </w:t>
      </w:r>
      <w:r>
        <w:rPr>
          <w:b/>
        </w:rPr>
        <w:t xml:space="preserve">Fix SparseMemoryUpdate selection. </w:t>
      </w:r>
      <w:r>
        <w:t>Add EligibleSlots based on MinAuthority and MinScore; require selectedSlots subseteq EligibleSlots.</w:t>
      </w:r>
    </w:p>
    <w:p>
      <w:pPr>
        <w:ind w:left="360" w:hanging="288"/>
      </w:pPr>
      <w:r>
        <w:rPr>
          <w:b/>
        </w:rPr>
        <w:t xml:space="preserve">2. </w:t>
      </w:r>
      <w:r>
        <w:rPr>
          <w:b/>
        </w:rPr>
        <w:t xml:space="preserve">Scale update magnitude by authority. </w:t>
      </w:r>
      <w:r>
        <w:t>Use an authority multiplier gamma(alpha) in ApplyMaskedUpdate.</w:t>
      </w:r>
    </w:p>
    <w:p>
      <w:pPr>
        <w:ind w:left="360" w:hanging="288"/>
      </w:pPr>
      <w:r>
        <w:rPr>
          <w:b/>
        </w:rPr>
        <w:t xml:space="preserve">3. </w:t>
      </w:r>
      <w:r>
        <w:rPr>
          <w:b/>
        </w:rPr>
        <w:t xml:space="preserve">Add replay source-diversity. </w:t>
      </w:r>
      <w:r>
        <w:t>Cap per-source or per-root replay mass in sleep batches.</w:t>
      </w:r>
    </w:p>
    <w:p>
      <w:pPr>
        <w:ind w:left="360" w:hanging="288"/>
      </w:pPr>
      <w:r>
        <w:rPr>
          <w:b/>
        </w:rPr>
        <w:t xml:space="preserve">4. </w:t>
      </w:r>
      <w:r>
        <w:rPr>
          <w:b/>
        </w:rPr>
        <w:t xml:space="preserve">Add TrustAnchor module. </w:t>
      </w:r>
      <w:r>
        <w:t>Separate RootTrust, LearnedTrust, EffectiveTrust, and CredentialEvents.</w:t>
      </w:r>
    </w:p>
    <w:p>
      <w:pPr>
        <w:ind w:left="360" w:hanging="288"/>
      </w:pPr>
      <w:r>
        <w:rPr>
          <w:b/>
        </w:rPr>
        <w:t xml:space="preserve">5. </w:t>
      </w:r>
      <w:r>
        <w:rPr>
          <w:b/>
        </w:rPr>
        <w:t xml:space="preserve">Add NoSelfPromotion invariant. </w:t>
      </w:r>
      <w:r>
        <w:t>A source’s claims cannot increase that source’s effective authority without independent credential or outcome evidence.</w:t>
      </w:r>
    </w:p>
    <w:p>
      <w:pPr>
        <w:ind w:left="360" w:hanging="288"/>
      </w:pPr>
      <w:r>
        <w:rPr>
          <w:b/>
        </w:rPr>
        <w:t xml:space="preserve">6. </w:t>
      </w:r>
      <w:r>
        <w:rPr>
          <w:b/>
        </w:rPr>
        <w:t xml:space="preserve">Add provenance-compression accounting. </w:t>
      </w:r>
      <w:r>
        <w:t>Log contribution certificates sufficient for approximate rollback, not just slot IDs.</w:t>
      </w:r>
    </w:p>
    <w:p>
      <w:pPr>
        <w:ind w:left="360" w:hanging="288"/>
      </w:pPr>
      <w:r>
        <w:rPr>
          <w:b/>
        </w:rPr>
        <w:t xml:space="preserve">7. </w:t>
      </w:r>
      <w:r>
        <w:rPr>
          <w:b/>
        </w:rPr>
        <w:t xml:space="preserve">Split theorem statements. </w:t>
      </w:r>
      <w:r>
        <w:t>Maintain separate framework-level and Magellan-level stability claims.</w:t>
      </w:r>
    </w:p>
    <w:p>
      <w:pPr>
        <w:pStyle w:val="Heading2"/>
      </w:pPr>
      <w:r>
        <w:t>8.2 Base-model strategy</w:t>
      </w:r>
    </w:p>
    <w:p>
      <w:r>
        <w:t>The uploaded product/research notes currently advise dropping Nemotron 3 because its hybrid Mamba-Transformer-MoE architecture is a poor substrate for clean memory-layer replacement, and they describe two potential paths: a conservative dense-model memory-layer path and an ambitious MoE-SMF path. Treat those as strategic options from the notes rather than independently verified external facts in this document. [S1]</w:t>
      </w:r>
    </w:p>
    <w:p>
      <w:r>
        <w:t>For product execution, this decision should not block the frozen-QB prototype. The first milestone can run with off-the-shelf models and specialists while the research track investigates whether a pretrained memory-layer checkpoint exists or whether continue-pretraining is necessary.</w:t>
      </w:r>
    </w:p>
    <w:p>
      <w:pPr>
        <w:pStyle w:val="Heading1"/>
      </w:pPr>
      <w:r>
        <w:t>9. Open design questions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880"/>
            <w:shd w:fill="D9EAF7"/>
          </w:tcPr>
          <w:p>
            <w:r/>
            <w:r>
              <w:rPr>
                <w:b/>
              </w:rPr>
              <w:t>Open question</w:t>
            </w:r>
          </w:p>
        </w:tc>
        <w:tc>
          <w:tcPr>
            <w:tcW w:type="dxa" w:w="4464"/>
            <w:shd w:fill="D9EAF7"/>
          </w:tcPr>
          <w:p>
            <w:r/>
            <w:r>
              <w:rPr>
                <w:b/>
              </w:rPr>
              <w:t>Why it matters</w:t>
            </w:r>
          </w:p>
        </w:tc>
        <w:tc>
          <w:tcPr>
            <w:tcW w:type="dxa" w:w="3888"/>
            <w:shd w:fill="D9EAF7"/>
          </w:tcPr>
          <w:p>
            <w:r/>
            <w:r>
              <w:rPr>
                <w:b/>
              </w:rPr>
              <w:t>Proposed next artifact</w:t>
            </w:r>
          </w:p>
        </w:tc>
      </w:tr>
      <w:tr>
        <w:trPr>
          <w:cantSplit/>
        </w:trPr>
        <w:tc>
          <w:tcPr>
            <w:tcW w:type="dxa" w:w="2880"/>
          </w:tcPr>
          <w:p>
            <w:pPr>
              <w:spacing w:after="40"/>
            </w:pPr>
            <w:r/>
            <w:r>
              <w:rPr>
                <w:b w:val="0"/>
              </w:rPr>
              <w:t>Verification layer mechanism</w:t>
            </w:r>
          </w:p>
        </w:tc>
        <w:tc>
          <w:tcPr>
            <w:tcW w:type="dxa" w:w="4464"/>
          </w:tcPr>
          <w:p>
            <w:pPr>
              <w:spacing w:after="40"/>
            </w:pPr>
            <w:r/>
            <w:r>
              <w:rPr>
                <w:b w:val="0"/>
              </w:rPr>
              <w:t>Different claim types require different checks and costs.</w:t>
            </w:r>
          </w:p>
        </w:tc>
        <w:tc>
          <w:tcPr>
            <w:tcW w:type="dxa" w:w="3888"/>
          </w:tcPr>
          <w:p>
            <w:pPr>
              <w:spacing w:after="40"/>
            </w:pPr>
            <w:r/>
            <w:r>
              <w:rPr>
                <w:b w:val="0"/>
              </w:rPr>
              <w:t>Verification policy spec with claim taxonomy.</w:t>
            </w:r>
          </w:p>
        </w:tc>
      </w:tr>
      <w:tr>
        <w:trPr>
          <w:cantSplit/>
        </w:trPr>
        <w:tc>
          <w:tcPr>
            <w:tcW w:type="dxa" w:w="2880"/>
          </w:tcPr>
          <w:p>
            <w:pPr>
              <w:spacing w:after="40"/>
            </w:pPr>
            <w:r/>
            <w:r>
              <w:rPr>
                <w:b w:val="0"/>
              </w:rPr>
              <w:t>Joint uncertainty</w:t>
            </w:r>
          </w:p>
        </w:tc>
        <w:tc>
          <w:tcPr>
            <w:tcW w:type="dxa" w:w="4464"/>
          </w:tcPr>
          <w:p>
            <w:pPr>
              <w:spacing w:after="40"/>
            </w:pPr>
            <w:r/>
            <w:r>
              <w:rPr>
                <w:b w:val="0"/>
              </w:rPr>
              <w:t>Naive confidence composition can overstate reliability.</w:t>
            </w:r>
          </w:p>
        </w:tc>
        <w:tc>
          <w:tcPr>
            <w:tcW w:type="dxa" w:w="3888"/>
          </w:tcPr>
          <w:p>
            <w:pPr>
              <w:spacing w:after="40"/>
            </w:pPr>
            <w:r/>
            <w:r>
              <w:rPr>
                <w:b w:val="0"/>
              </w:rPr>
              <w:t>Ordinal uncertainty rules and dependency-aware calibration plan.</w:t>
            </w:r>
          </w:p>
        </w:tc>
      </w:tr>
      <w:tr>
        <w:trPr>
          <w:cantSplit/>
        </w:trPr>
        <w:tc>
          <w:tcPr>
            <w:tcW w:type="dxa" w:w="2880"/>
          </w:tcPr>
          <w:p>
            <w:pPr>
              <w:spacing w:after="40"/>
            </w:pPr>
            <w:r/>
            <w:r>
              <w:rPr>
                <w:b w:val="0"/>
              </w:rPr>
              <w:t>Synthesis-layer audit</w:t>
            </w:r>
          </w:p>
        </w:tc>
        <w:tc>
          <w:tcPr>
            <w:tcW w:type="dxa" w:w="4464"/>
          </w:tcPr>
          <w:p>
            <w:pPr>
              <w:spacing w:after="40"/>
            </w:pPr>
            <w:r/>
            <w:r>
              <w:rPr>
                <w:b w:val="0"/>
              </w:rPr>
              <w:t>Correct facts can compose into wrong conclusions.</w:t>
            </w:r>
          </w:p>
        </w:tc>
        <w:tc>
          <w:tcPr>
            <w:tcW w:type="dxa" w:w="3888"/>
          </w:tcPr>
          <w:p>
            <w:pPr>
              <w:spacing w:after="40"/>
            </w:pPr>
            <w:r/>
            <w:r>
              <w:rPr>
                <w:b w:val="0"/>
              </w:rPr>
              <w:t>Argument graph schema and inference-rule verifier.</w:t>
            </w:r>
          </w:p>
        </w:tc>
      </w:tr>
      <w:tr>
        <w:trPr>
          <w:cantSplit/>
        </w:trPr>
        <w:tc>
          <w:tcPr>
            <w:tcW w:type="dxa" w:w="2880"/>
          </w:tcPr>
          <w:p>
            <w:pPr>
              <w:spacing w:after="40"/>
            </w:pPr>
            <w:r/>
            <w:r>
              <w:rPr>
                <w:b w:val="0"/>
              </w:rPr>
              <w:t>Cross-tenant learning</w:t>
            </w:r>
          </w:p>
        </w:tc>
        <w:tc>
          <w:tcPr>
            <w:tcW w:type="dxa" w:w="4464"/>
          </w:tcPr>
          <w:p>
            <w:pPr>
              <w:spacing w:after="40"/>
            </w:pPr>
            <w:r/>
            <w:r>
              <w:rPr>
                <w:b w:val="0"/>
              </w:rPr>
              <w:t>Isolation creates cold-start costs, but sharing creates privacy and leakage risk.</w:t>
            </w:r>
          </w:p>
        </w:tc>
        <w:tc>
          <w:tcPr>
            <w:tcW w:type="dxa" w:w="3888"/>
          </w:tcPr>
          <w:p>
            <w:pPr>
              <w:spacing w:after="40"/>
            </w:pPr>
            <w:r/>
            <w:r>
              <w:rPr>
                <w:b w:val="0"/>
              </w:rPr>
              <w:t>Tenant isolation policy; defer federated design.</w:t>
            </w:r>
          </w:p>
        </w:tc>
      </w:tr>
      <w:tr>
        <w:trPr>
          <w:cantSplit/>
        </w:trPr>
        <w:tc>
          <w:tcPr>
            <w:tcW w:type="dxa" w:w="2880"/>
          </w:tcPr>
          <w:p>
            <w:pPr>
              <w:spacing w:after="40"/>
            </w:pPr>
            <w:r/>
            <w:r>
              <w:rPr>
                <w:b w:val="0"/>
              </w:rPr>
              <w:t>Distributed failures</w:t>
            </w:r>
          </w:p>
        </w:tc>
        <w:tc>
          <w:tcPr>
            <w:tcW w:type="dxa" w:w="4464"/>
          </w:tcPr>
          <w:p>
            <w:pPr>
              <w:spacing w:after="40"/>
            </w:pPr>
            <w:r/>
            <w:r>
              <w:rPr>
                <w:b w:val="0"/>
              </w:rPr>
              <w:t>Abstract invariants may break under partial writes, partitions, or failed sleep cycles.</w:t>
            </w:r>
          </w:p>
        </w:tc>
        <w:tc>
          <w:tcPr>
            <w:tcW w:type="dxa" w:w="3888"/>
          </w:tcPr>
          <w:p>
            <w:pPr>
              <w:spacing w:after="40"/>
            </w:pPr>
            <w:r/>
            <w:r>
              <w:rPr>
                <w:b w:val="0"/>
              </w:rPr>
              <w:t>Failure-mode TLA+ extension.</w:t>
            </w:r>
          </w:p>
        </w:tc>
      </w:tr>
      <w:tr>
        <w:trPr>
          <w:cantSplit/>
        </w:trPr>
        <w:tc>
          <w:tcPr>
            <w:tcW w:type="dxa" w:w="2880"/>
          </w:tcPr>
          <w:p>
            <w:pPr>
              <w:spacing w:after="40"/>
            </w:pPr>
            <w:r/>
            <w:r>
              <w:rPr>
                <w:b w:val="0"/>
              </w:rPr>
              <w:t>Specialist version drift</w:t>
            </w:r>
          </w:p>
        </w:tc>
        <w:tc>
          <w:tcPr>
            <w:tcW w:type="dxa" w:w="4464"/>
          </w:tcPr>
          <w:p>
            <w:pPr>
              <w:spacing w:after="40"/>
            </w:pPr>
            <w:r/>
            <w:r>
              <w:rPr>
                <w:b w:val="0"/>
              </w:rPr>
              <w:t>A trusted specialist version can change behavior after update.</w:t>
            </w:r>
          </w:p>
        </w:tc>
        <w:tc>
          <w:tcPr>
            <w:tcW w:type="dxa" w:w="3888"/>
          </w:tcPr>
          <w:p>
            <w:pPr>
              <w:spacing w:after="40"/>
            </w:pPr>
            <w:r/>
            <w:r>
              <w:rPr>
                <w:b w:val="0"/>
              </w:rPr>
              <w:t>Treat specialist version as a distinct source identity.</w:t>
            </w:r>
          </w:p>
        </w:tc>
      </w:tr>
      <w:tr>
        <w:trPr>
          <w:cantSplit/>
        </w:trPr>
        <w:tc>
          <w:tcPr>
            <w:tcW w:type="dxa" w:w="2880"/>
          </w:tcPr>
          <w:p>
            <w:pPr>
              <w:spacing w:after="40"/>
            </w:pPr>
            <w:r/>
            <w:r>
              <w:rPr>
                <w:b w:val="0"/>
              </w:rPr>
              <w:t>Release authority</w:t>
            </w:r>
          </w:p>
        </w:tc>
        <w:tc>
          <w:tcPr>
            <w:tcW w:type="dxa" w:w="4464"/>
          </w:tcPr>
          <w:p>
            <w:pPr>
              <w:spacing w:after="40"/>
            </w:pPr>
            <w:r/>
            <w:r>
              <w:rPr>
                <w:b w:val="0"/>
              </w:rPr>
              <w:t>Technical gates fail if founders or customers can override them under pressure.</w:t>
            </w:r>
          </w:p>
        </w:tc>
        <w:tc>
          <w:tcPr>
            <w:tcW w:type="dxa" w:w="3888"/>
          </w:tcPr>
          <w:p>
            <w:pPr>
              <w:spacing w:after="40"/>
            </w:pPr>
            <w:r/>
            <w:r>
              <w:rPr>
                <w:b w:val="0"/>
              </w:rPr>
              <w:t>Pre-committed graduated release policy and veto authority.</w:t>
            </w:r>
          </w:p>
        </w:tc>
      </w:tr>
    </w:tbl>
    <w:p/>
    <w:p>
      <w:pPr>
        <w:pStyle w:val="Heading1"/>
      </w:pPr>
      <w:r>
        <w:t>Appendix A. Proposed formal-spec deltas</w:t>
      </w:r>
    </w:p>
    <w:p>
      <w:pPr>
        <w:pStyle w:val="Heading2"/>
      </w:pPr>
      <w:r>
        <w:t>A.1 SparseMemoryUpdate delta</w:t>
      </w:r>
    </w:p>
    <w:p>
      <w:pPr>
        <w:pStyle w:val="EquationBlock"/>
      </w:pPr>
      <w:r>
        <w:t>CONSTANTS MinAuthority, MinScore</w:t>
      </w:r>
    </w:p>
    <w:p>
      <w:pPr>
        <w:pStyle w:val="EquationBlock"/>
      </w:pPr>
      <w:r>
        <w:t>VARIABLES authority</w:t>
      </w:r>
    </w:p>
    <w:p>
      <w:pPr>
        <w:pStyle w:val="EquationBlock"/>
      </w:pPr>
      <w:r/>
    </w:p>
    <w:p>
      <w:pPr>
        <w:pStyle w:val="EquationBlock"/>
      </w:pPr>
      <w:r>
        <w:t>Eligible(i) == /\ authority[i] &gt;= MinAuthority</w:t>
      </w:r>
    </w:p>
    <w:p>
      <w:pPr>
        <w:pStyle w:val="EquationBlock"/>
      </w:pPr>
      <w:r>
        <w:t xml:space="preserve">               /\ scores[i] &gt;= MinScore</w:t>
      </w:r>
    </w:p>
    <w:p>
      <w:pPr>
        <w:pStyle w:val="EquationBlock"/>
      </w:pPr>
      <w:r/>
    </w:p>
    <w:p>
      <w:pPr>
        <w:pStyle w:val="EquationBlock"/>
      </w:pPr>
      <w:r>
        <w:t>SelectTopSlots ==</w:t>
      </w:r>
    </w:p>
    <w:p>
      <w:pPr>
        <w:pStyle w:val="EquationBlock"/>
      </w:pPr>
      <w:r>
        <w:t xml:space="preserve">  /\ updatePhase = "scored"</w:t>
      </w:r>
    </w:p>
    <w:p>
      <w:pPr>
        <w:pStyle w:val="EquationBlock"/>
      </w:pPr>
      <w:r>
        <w:t xml:space="preserve">  /\ \E selected \in SUBSET Slots :</w:t>
      </w:r>
    </w:p>
    <w:p>
      <w:pPr>
        <w:pStyle w:val="EquationBlock"/>
      </w:pPr>
      <w:r>
        <w:t xml:space="preserve">       /\ selected \subseteq {i \in Slots : Eligible(i)}</w:t>
      </w:r>
    </w:p>
    <w:p>
      <w:pPr>
        <w:pStyle w:val="EquationBlock"/>
      </w:pPr>
      <w:r>
        <w:t xml:space="preserve">       /\ IsValidTopT(selected, scores, T)</w:t>
      </w:r>
    </w:p>
    <w:p>
      <w:pPr>
        <w:pStyle w:val="EquationBlock"/>
      </w:pPr>
      <w:r>
        <w:t xml:space="preserve">       /\ selectedSlots' = selected</w:t>
      </w:r>
    </w:p>
    <w:p>
      <w:pPr>
        <w:pStyle w:val="EquationBlock"/>
      </w:pPr>
      <w:r>
        <w:t xml:space="preserve">       /\ updatePhase' = "selected"</w:t>
      </w:r>
    </w:p>
    <w:p>
      <w:r>
        <w:t>This change makes “zero or below-threshold authority implies no selection” a derivable invariant rather than a conceptual comment. It also closes the TopK rank-invariance gap in source-dominated batches.</w:t>
      </w:r>
    </w:p>
    <w:p>
      <w:pPr>
        <w:pStyle w:val="Heading2"/>
      </w:pPr>
      <w:r>
        <w:t>A.2 Authority-scaled update delta</w:t>
      </w:r>
    </w:p>
    <w:p>
      <w:pPr>
        <w:pStyle w:val="EquationBlock"/>
      </w:pPr>
      <w:r>
        <w:t>ApplyMaskedUpdate(oldValues, grads, selected, authority, learningRate) ==</w:t>
      </w:r>
    </w:p>
    <w:p>
      <w:pPr>
        <w:pStyle w:val="EquationBlock"/>
      </w:pPr>
      <w:r>
        <w:t xml:space="preserve">  [i \in Slots |-&gt;</w:t>
      </w:r>
    </w:p>
    <w:p>
      <w:pPr>
        <w:pStyle w:val="EquationBlock"/>
      </w:pPr>
      <w:r>
        <w:t xml:space="preserve">    IF i \in selected</w:t>
      </w:r>
    </w:p>
    <w:p>
      <w:pPr>
        <w:pStyle w:val="EquationBlock"/>
      </w:pPr>
      <w:r>
        <w:t xml:space="preserve">    THEN oldValues[i] - learningRate * Gamma(authority[i]) * grads[i]</w:t>
      </w:r>
    </w:p>
    <w:p>
      <w:pPr>
        <w:pStyle w:val="EquationBlock"/>
      </w:pPr>
      <w:r>
        <w:t xml:space="preserve">    ELSE oldValues[i]</w:t>
      </w:r>
    </w:p>
    <w:p>
      <w:pPr>
        <w:pStyle w:val="EquationBlock"/>
      </w:pPr>
      <w:r>
        <w:t xml:space="preserve">  ]</w:t>
      </w:r>
    </w:p>
    <w:p>
      <w:pPr>
        <w:pStyle w:val="EquationBlock"/>
      </w:pPr>
      <w:r/>
    </w:p>
    <w:p>
      <w:pPr>
        <w:pStyle w:val="EquationBlock"/>
      </w:pPr>
      <w:r>
        <w:t>ASSUME GammaZero == Gamma(0) = 0</w:t>
      </w:r>
    </w:p>
    <w:p>
      <w:pPr>
        <w:pStyle w:val="EquationBlock"/>
      </w:pPr>
      <w:r>
        <w:t>ASSUME GammaBounded == \A a \in AuthorityRange : 0 &lt;= Gamma(a) /\ Gamma(a) &lt;= 1</w:t>
      </w:r>
    </w:p>
    <w:p>
      <w:r>
        <w:t>This change ensures low authority affects update magnitude, not only ranking.</w:t>
      </w:r>
    </w:p>
    <w:p>
      <w:pPr>
        <w:pStyle w:val="Heading2"/>
      </w:pPr>
      <w:r>
        <w:t>A.3 TrustAnchor module sketch</w:t>
      </w:r>
    </w:p>
    <w:p>
      <w:pPr>
        <w:pStyle w:val="EquationBlock"/>
      </w:pPr>
      <w:r>
        <w:t>VARIABLES RootTrust, LearnedTrust, EffectiveTrust, CredentialEvents</w:t>
      </w:r>
    </w:p>
    <w:p>
      <w:pPr>
        <w:pStyle w:val="EquationBlock"/>
      </w:pPr>
      <w:r/>
    </w:p>
    <w:p>
      <w:pPr>
        <w:pStyle w:val="EquationBlock"/>
      </w:pPr>
      <w:r>
        <w:t>EffectiveTrust(s) == ProjectToCredentialBounds(</w:t>
      </w:r>
    </w:p>
    <w:p>
      <w:pPr>
        <w:pStyle w:val="EquationBlock"/>
      </w:pPr>
      <w:r>
        <w:t xml:space="preserve">  RootTrust[s], LearnedTrust[s], CredentialEvents[s]</w:t>
      </w:r>
    </w:p>
    <w:p>
      <w:pPr>
        <w:pStyle w:val="EquationBlock"/>
      </w:pPr>
      <w:r>
        <w:t>)</w:t>
      </w:r>
    </w:p>
    <w:p>
      <w:pPr>
        <w:pStyle w:val="EquationBlock"/>
      </w:pPr>
      <w:r/>
    </w:p>
    <w:p>
      <w:pPr>
        <w:pStyle w:val="EquationBlock"/>
      </w:pPr>
      <w:r>
        <w:t>NoSelfPromotion ==</w:t>
      </w:r>
    </w:p>
    <w:p>
      <w:pPr>
        <w:pStyle w:val="EquationBlock"/>
      </w:pPr>
      <w:r>
        <w:t xml:space="preserve">  \A s \in Sources :</w:t>
      </w:r>
    </w:p>
    <w:p>
      <w:pPr>
        <w:pStyle w:val="EquationBlock"/>
      </w:pPr>
      <w:r>
        <w:t xml:space="preserve">    TrustIncrease(s) =&gt; ExistsIndependentCredentialOrOutcome(s)</w:t>
      </w:r>
    </w:p>
    <w:p>
      <w:pPr>
        <w:pStyle w:val="EquationBlock"/>
      </w:pPr>
      <w:r/>
    </w:p>
    <w:p>
      <w:pPr>
        <w:pStyle w:val="EquationBlock"/>
      </w:pPr>
      <w:r>
        <w:t>TrustDriftBound ==</w:t>
      </w:r>
    </w:p>
    <w:p>
      <w:pPr>
        <w:pStyle w:val="EquationBlock"/>
      </w:pPr>
      <w:r>
        <w:t xml:space="preserve">  \A s \in Sources :</w:t>
      </w:r>
    </w:p>
    <w:p>
      <w:pPr>
        <w:pStyle w:val="EquationBlock"/>
      </w:pPr>
      <w:r>
        <w:t xml:space="preserve">    Abs(EffectiveTrust[s] - RootTrust[s]) &lt;= DriftLimit(s)</w:t>
      </w:r>
    </w:p>
    <w:p>
      <w:r>
        <w:t>The important modeling move is separating root trust from learned trust. Learned trust may be useful, but effective trust should be bounded by credentials, governance, and verified outcomes.</w:t>
      </w:r>
    </w:p>
    <w:p>
      <w:pPr>
        <w:pStyle w:val="Heading2"/>
      </w:pPr>
      <w:r>
        <w:t>A.4 Replay-diversity constraint</w:t>
      </w:r>
    </w:p>
    <w:p>
      <w:pPr>
        <w:pStyle w:val="EquationBlock"/>
      </w:pPr>
      <w:r>
        <w:t>ReplayMassBound ==</w:t>
      </w:r>
    </w:p>
    <w:p>
      <w:pPr>
        <w:pStyle w:val="EquationBlock"/>
      </w:pPr>
      <w:r>
        <w:t xml:space="preserve">  \A s \in Sources :</w:t>
      </w:r>
    </w:p>
    <w:p>
      <w:pPr>
        <w:pStyle w:val="EquationBlock"/>
      </w:pPr>
      <w:r>
        <w:t xml:space="preserve">    Sum({ReplayProb(e) : e \in Batch /\ Source(e) = s}) &lt;= C * EffectiveTrust[s]</w:t>
      </w:r>
    </w:p>
    <w:p>
      <w:pPr>
        <w:pStyle w:val="EquationBlock"/>
      </w:pPr>
      <w:r/>
    </w:p>
    <w:p>
      <w:pPr>
        <w:pStyle w:val="EquationBlock"/>
      </w:pPr>
      <w:r>
        <w:t>RootDiversity ==</w:t>
      </w:r>
    </w:p>
    <w:p>
      <w:pPr>
        <w:pStyle w:val="EquationBlock"/>
      </w:pPr>
      <w:r>
        <w:t xml:space="preserve">  \A root \in TrustRoots :</w:t>
      </w:r>
    </w:p>
    <w:p>
      <w:pPr>
        <w:pStyle w:val="EquationBlock"/>
      </w:pPr>
      <w:r>
        <w:t xml:space="preserve">    Cardinality({e \in Batch : Root(e) = root}) &lt;= MaxPerRoot</w:t>
      </w:r>
    </w:p>
    <w:p>
      <w:r>
        <w:t>This defends against the realistic version of the TopK attack: manufacturing source-dominated sleep batches.</w:t>
      </w:r>
    </w:p>
    <w:p>
      <w:pPr>
        <w:pStyle w:val="Heading2"/>
      </w:pPr>
      <w:r>
        <w:t>A.5 Provenance-compression certificate</w:t>
      </w:r>
    </w:p>
    <w:p>
      <w:pPr>
        <w:pStyle w:val="EquationBlock"/>
      </w:pPr>
      <w:r>
        <w:t>UpdateCertificate == [</w:t>
      </w:r>
    </w:p>
    <w:p>
      <w:pPr>
        <w:pStyle w:val="EquationBlock"/>
      </w:pPr>
      <w:r>
        <w:t xml:space="preserve">  slot |-&gt; i,</w:t>
      </w:r>
    </w:p>
    <w:p>
      <w:pPr>
        <w:pStyle w:val="EquationBlock"/>
      </w:pPr>
      <w:r>
        <w:t xml:space="preserve">  batch |-&gt; batch_id,</w:t>
      </w:r>
    </w:p>
    <w:p>
      <w:pPr>
        <w:pStyle w:val="EquationBlock"/>
      </w:pPr>
      <w:r>
        <w:t xml:space="preserve">  sources |-&gt; SourceSet,</w:t>
      </w:r>
    </w:p>
    <w:p>
      <w:pPr>
        <w:pStyle w:val="EquationBlock"/>
      </w:pPr>
      <w:r>
        <w:t xml:space="preserve">  contribution_hashes |-&gt; Hashes,</w:t>
      </w:r>
    </w:p>
    <w:p>
      <w:pPr>
        <w:pStyle w:val="EquationBlock"/>
      </w:pPr>
      <w:r>
        <w:t xml:space="preserve">  approx_contrib_norms |-&gt; Norms,</w:t>
      </w:r>
    </w:p>
    <w:p>
      <w:pPr>
        <w:pStyle w:val="EquationBlock"/>
      </w:pPr>
      <w:r>
        <w:t xml:space="preserve">  residual_bound |-&gt; delta_i_t,</w:t>
      </w:r>
    </w:p>
    <w:p>
      <w:pPr>
        <w:pStyle w:val="EquationBlock"/>
      </w:pPr>
      <w:r>
        <w:t xml:space="preserve">  timestamp |-&gt; systemTime</w:t>
      </w:r>
    </w:p>
    <w:p>
      <w:pPr>
        <w:pStyle w:val="EquationBlock"/>
      </w:pPr>
      <w:r>
        <w:t>]</w:t>
      </w:r>
    </w:p>
    <w:p>
      <w:pPr>
        <w:pStyle w:val="EquationBlock"/>
      </w:pPr>
      <w:r/>
    </w:p>
    <w:p>
      <w:pPr>
        <w:pStyle w:val="EquationBlock"/>
      </w:pPr>
      <w:r>
        <w:t>CompressionFaithfulness ==</w:t>
      </w:r>
    </w:p>
    <w:p>
      <w:pPr>
        <w:pStyle w:val="EquationBlock"/>
      </w:pPr>
      <w:r>
        <w:t xml:space="preserve">  Norm(DeltaV[i] - SumApproxContribs(i, batch_id)) &lt;= residual_bound</w:t>
      </w:r>
    </w:p>
    <w:p>
      <w:r>
        <w:t>A slot-update log that only says “slot i changed” is not enough for faithful rollback. The certificate must record or bound who contributed how much to the compressed movement.</w:t>
      </w:r>
    </w:p>
    <w:p>
      <w:pPr>
        <w:pStyle w:val="Heading1"/>
      </w:pPr>
      <w:r>
        <w:t>Appendix B. Source map</w:t>
      </w:r>
    </w:p>
    <w:p>
      <w:r>
        <w:t>The document uses internal source labels rather than external citations. The labels correspond to uploaded files and notes in the working context.</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1008"/>
            <w:shd w:fill="D9EAF7"/>
          </w:tcPr>
          <w:p>
            <w:r/>
            <w:r>
              <w:rPr>
                <w:b/>
              </w:rPr>
              <w:t>Label</w:t>
            </w:r>
          </w:p>
        </w:tc>
        <w:tc>
          <w:tcPr>
            <w:tcW w:type="dxa" w:w="3312"/>
            <w:shd w:fill="D9EAF7"/>
          </w:tcPr>
          <w:p>
            <w:r/>
            <w:r>
              <w:rPr>
                <w:b/>
              </w:rPr>
              <w:t>Source</w:t>
            </w:r>
          </w:p>
        </w:tc>
        <w:tc>
          <w:tcPr>
            <w:tcW w:type="dxa" w:w="7200"/>
            <w:shd w:fill="D9EAF7"/>
          </w:tcPr>
          <w:p>
            <w:r/>
            <w:r>
              <w:rPr>
                <w:b/>
              </w:rPr>
              <w:t>Use in this document</w:t>
            </w:r>
          </w:p>
        </w:tc>
      </w:tr>
      <w:tr>
        <w:trPr>
          <w:cantSplit/>
        </w:trPr>
        <w:tc>
          <w:tcPr>
            <w:tcW w:type="dxa" w:w="1008"/>
          </w:tcPr>
          <w:p>
            <w:pPr>
              <w:spacing w:after="40"/>
            </w:pPr>
            <w:r/>
            <w:r>
              <w:rPr>
                <w:b w:val="0"/>
              </w:rPr>
              <w:t>S1</w:t>
            </w:r>
          </w:p>
        </w:tc>
        <w:tc>
          <w:tcPr>
            <w:tcW w:type="dxa" w:w="3312"/>
          </w:tcPr>
          <w:p>
            <w:pPr>
              <w:spacing w:after="40"/>
            </w:pPr>
            <w:r/>
            <w:r>
              <w:rPr>
                <w:b w:val="0"/>
              </w:rPr>
              <w:t>Pasted text(2).txt</w:t>
            </w:r>
          </w:p>
        </w:tc>
        <w:tc>
          <w:tcPr>
            <w:tcW w:type="dxa" w:w="7200"/>
          </w:tcPr>
          <w:p>
            <w:pPr>
              <w:spacing w:after="40"/>
            </w:pPr>
            <w:r/>
            <w:r>
              <w:rPr>
                <w:b w:val="0"/>
              </w:rPr>
              <w:t>VECL-QB research/product thesis, two halves, demo, strategic adversary notes, mitigations, base-model strategy, unresolved questions.</w:t>
            </w:r>
          </w:p>
        </w:tc>
      </w:tr>
      <w:tr>
        <w:trPr>
          <w:cantSplit/>
        </w:trPr>
        <w:tc>
          <w:tcPr>
            <w:tcW w:type="dxa" w:w="1008"/>
          </w:tcPr>
          <w:p>
            <w:pPr>
              <w:spacing w:after="40"/>
            </w:pPr>
            <w:r/>
            <w:r>
              <w:rPr>
                <w:b w:val="0"/>
              </w:rPr>
              <w:t>S2</w:t>
            </w:r>
          </w:p>
        </w:tc>
        <w:tc>
          <w:tcPr>
            <w:tcW w:type="dxa" w:w="3312"/>
          </w:tcPr>
          <w:p>
            <w:pPr>
              <w:spacing w:after="40"/>
            </w:pPr>
            <w:r/>
            <w:r>
              <w:rPr>
                <w:b w:val="0"/>
              </w:rPr>
              <w:t>Pasted text (2)(2).txt</w:t>
            </w:r>
          </w:p>
        </w:tc>
        <w:tc>
          <w:tcPr>
            <w:tcW w:type="dxa" w:w="7200"/>
          </w:tcPr>
          <w:p>
            <w:pPr>
              <w:spacing w:after="40"/>
            </w:pPr>
            <w:r/>
            <w:r>
              <w:rPr>
                <w:b w:val="0"/>
              </w:rPr>
              <w:t>Updated proof critique: TopK rank-invariance correction, adversarial Lipschitz framing, provenance compression problem, Magellan trust-anchor narrowing.</w:t>
            </w:r>
          </w:p>
        </w:tc>
      </w:tr>
      <w:tr>
        <w:trPr>
          <w:cantSplit/>
        </w:trPr>
        <w:tc>
          <w:tcPr>
            <w:tcW w:type="dxa" w:w="1008"/>
          </w:tcPr>
          <w:p>
            <w:pPr>
              <w:spacing w:after="40"/>
            </w:pPr>
            <w:r/>
            <w:r>
              <w:rPr>
                <w:b w:val="0"/>
              </w:rPr>
              <w:t>S3</w:t>
            </w:r>
          </w:p>
        </w:tc>
        <w:tc>
          <w:tcPr>
            <w:tcW w:type="dxa" w:w="3312"/>
          </w:tcPr>
          <w:p>
            <w:pPr>
              <w:spacing w:after="40"/>
            </w:pPr>
            <w:r/>
            <w:r>
              <w:rPr>
                <w:b w:val="0"/>
              </w:rPr>
              <w:t>VECL2NL-SMFupdate.pdf.pdf</w:t>
            </w:r>
          </w:p>
        </w:tc>
        <w:tc>
          <w:tcPr>
            <w:tcW w:type="dxa" w:w="7200"/>
          </w:tcPr>
          <w:p>
            <w:pPr>
              <w:spacing w:after="40"/>
            </w:pPr>
            <w:r/>
            <w:r>
              <w:rPr>
                <w:b w:val="0"/>
              </w:rPr>
              <w:t>VECL 2.0 architecture, hierarchy, sparse memory rule, sleep cycle, Day-1/Day-30 experiment, formal-methods spine.</w:t>
            </w:r>
          </w:p>
        </w:tc>
      </w:tr>
      <w:tr>
        <w:trPr>
          <w:cantSplit/>
        </w:trPr>
        <w:tc>
          <w:tcPr>
            <w:tcW w:type="dxa" w:w="1008"/>
          </w:tcPr>
          <w:p>
            <w:pPr>
              <w:spacing w:after="40"/>
            </w:pPr>
            <w:r/>
            <w:r>
              <w:rPr>
                <w:b w:val="0"/>
              </w:rPr>
              <w:t>S4</w:t>
            </w:r>
          </w:p>
        </w:tc>
        <w:tc>
          <w:tcPr>
            <w:tcW w:type="dxa" w:w="3312"/>
          </w:tcPr>
          <w:p>
            <w:pPr>
              <w:spacing w:after="40"/>
            </w:pPr>
            <w:r/>
            <w:r>
              <w:rPr>
                <w:b w:val="0"/>
              </w:rPr>
              <w:t>SparseMemory TLA.pdf.pdf</w:t>
            </w:r>
          </w:p>
        </w:tc>
        <w:tc>
          <w:tcPr>
            <w:tcW w:type="dxa" w:w="7200"/>
          </w:tcPr>
          <w:p>
            <w:pPr>
              <w:spacing w:after="40"/>
            </w:pPr>
            <w:r/>
            <w:r>
              <w:rPr>
                <w:b w:val="0"/>
              </w:rPr>
              <w:t>Sparse memory update specification: top-t selection, sparse update correctness, update boundedness, conceptual provenance stability.</w:t>
            </w:r>
          </w:p>
        </w:tc>
      </w:tr>
      <w:tr>
        <w:trPr>
          <w:cantSplit/>
        </w:trPr>
        <w:tc>
          <w:tcPr>
            <w:tcW w:type="dxa" w:w="1008"/>
          </w:tcPr>
          <w:p>
            <w:pPr>
              <w:spacing w:after="40"/>
            </w:pPr>
            <w:r/>
            <w:r>
              <w:rPr>
                <w:b w:val="0"/>
              </w:rPr>
              <w:t>S5</w:t>
            </w:r>
          </w:p>
        </w:tc>
        <w:tc>
          <w:tcPr>
            <w:tcW w:type="dxa" w:w="3312"/>
          </w:tcPr>
          <w:p>
            <w:pPr>
              <w:spacing w:after="40"/>
            </w:pPr>
            <w:r/>
            <w:r>
              <w:rPr>
                <w:b w:val="0"/>
              </w:rPr>
              <w:t>System TLA.pdf.pdf</w:t>
            </w:r>
          </w:p>
        </w:tc>
        <w:tc>
          <w:tcPr>
            <w:tcW w:type="dxa" w:w="7200"/>
          </w:tcPr>
          <w:p>
            <w:pPr>
              <w:spacing w:after="40"/>
            </w:pPr>
            <w:r/>
            <w:r>
              <w:rPr>
                <w:b w:val="0"/>
              </w:rPr>
              <w:t>Integrated VECL system specification: ethics, governance, sparse memory, provenance, system safety invariants.</w:t>
            </w:r>
          </w:p>
        </w:tc>
      </w:tr>
      <w:tr>
        <w:trPr>
          <w:cantSplit/>
        </w:trPr>
        <w:tc>
          <w:tcPr>
            <w:tcW w:type="dxa" w:w="1008"/>
          </w:tcPr>
          <w:p>
            <w:pPr>
              <w:spacing w:after="40"/>
            </w:pPr>
            <w:r/>
            <w:r>
              <w:rPr>
                <w:b w:val="0"/>
              </w:rPr>
              <w:t>S6</w:t>
            </w:r>
          </w:p>
        </w:tc>
        <w:tc>
          <w:tcPr>
            <w:tcW w:type="dxa" w:w="3312"/>
          </w:tcPr>
          <w:p>
            <w:pPr>
              <w:spacing w:after="40"/>
            </w:pPr>
            <w:r/>
            <w:r>
              <w:rPr>
                <w:b w:val="0"/>
              </w:rPr>
              <w:t>EthicsGate TLA.pdf.pdf</w:t>
            </w:r>
          </w:p>
        </w:tc>
        <w:tc>
          <w:tcPr>
            <w:tcW w:type="dxa" w:w="7200"/>
          </w:tcPr>
          <w:p>
            <w:pPr>
              <w:spacing w:after="40"/>
            </w:pPr>
            <w:r/>
            <w:r>
              <w:rPr>
                <w:b w:val="0"/>
              </w:rPr>
              <w:t>Ethics gate specification: policy satisfaction, refusal action, action emission safety.</w:t>
            </w:r>
          </w:p>
        </w:tc>
      </w:tr>
      <w:tr>
        <w:trPr>
          <w:cantSplit/>
        </w:trPr>
        <w:tc>
          <w:tcPr>
            <w:tcW w:type="dxa" w:w="1008"/>
          </w:tcPr>
          <w:p>
            <w:pPr>
              <w:spacing w:after="40"/>
            </w:pPr>
            <w:r/>
            <w:r>
              <w:rPr>
                <w:b w:val="0"/>
              </w:rPr>
              <w:t>S7</w:t>
            </w:r>
          </w:p>
        </w:tc>
        <w:tc>
          <w:tcPr>
            <w:tcW w:type="dxa" w:w="3312"/>
          </w:tcPr>
          <w:p>
            <w:pPr>
              <w:spacing w:after="40"/>
            </w:pPr>
            <w:r/>
            <w:r>
              <w:rPr>
                <w:b w:val="0"/>
              </w:rPr>
              <w:t>EthicsGate_MC TLC.pdf.pdf</w:t>
            </w:r>
          </w:p>
        </w:tc>
        <w:tc>
          <w:tcPr>
            <w:tcW w:type="dxa" w:w="7200"/>
          </w:tcPr>
          <w:p>
            <w:pPr>
              <w:spacing w:after="40"/>
            </w:pPr>
            <w:r/>
            <w:r>
              <w:rPr>
                <w:b w:val="0"/>
              </w:rPr>
              <w:t>Finite model-checking configuration for EthicsGate.</w:t>
            </w:r>
          </w:p>
        </w:tc>
      </w:tr>
      <w:tr>
        <w:trPr>
          <w:cantSplit/>
        </w:trPr>
        <w:tc>
          <w:tcPr>
            <w:tcW w:type="dxa" w:w="1008"/>
          </w:tcPr>
          <w:p>
            <w:pPr>
              <w:spacing w:after="40"/>
            </w:pPr>
            <w:r/>
            <w:r>
              <w:rPr>
                <w:b w:val="0"/>
              </w:rPr>
              <w:t>S8</w:t>
            </w:r>
          </w:p>
        </w:tc>
        <w:tc>
          <w:tcPr>
            <w:tcW w:type="dxa" w:w="3312"/>
          </w:tcPr>
          <w:p>
            <w:pPr>
              <w:spacing w:after="40"/>
            </w:pPr>
            <w:r/>
            <w:r>
              <w:rPr>
                <w:b w:val="0"/>
              </w:rPr>
              <w:t>VECL_MC TLC.pdf.pdf</w:t>
            </w:r>
          </w:p>
        </w:tc>
        <w:tc>
          <w:tcPr>
            <w:tcW w:type="dxa" w:w="7200"/>
          </w:tcPr>
          <w:p>
            <w:pPr>
              <w:spacing w:after="40"/>
            </w:pPr>
            <w:r/>
            <w:r>
              <w:rPr>
                <w:b w:val="0"/>
              </w:rPr>
              <w:t>Finite model-checking configuration for integrated VECL.</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VECL-QB consolidated research/product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basedOn w:val="Normal"/>
    <w:pPr>
      <w:spacing w:before="60" w:after="140" w:line="252" w:lineRule="auto"/>
      <w:ind w:left="360" w:right="72"/>
    </w:pPr>
    <w:rPr>
      <w:rFonts w:ascii="Courier New" w:hAnsi="Courier New"/>
      <w:sz w:val="17"/>
    </w:rPr>
  </w:style>
  <w:style w:type="paragraph" w:customStyle="1" w:styleId="CompactBullet">
    <w:name w:val="Compact Bullet"/>
    <w:basedOn w:val="Normal"/>
    <w:pPr>
      <w:spacing w:after="40"/>
      <w:ind w:left="403" w:hanging="230"/>
    </w:pPr>
  </w:style>
  <w:style w:type="paragraph" w:customStyle="1" w:styleId="SmallNote">
    <w:name w:val="Small Note"/>
    <w:basedOn w:val="Normal"/>
    <w:pPr>
      <w:spacing w:before="40" w:after="80"/>
    </w:pPr>
    <w:rPr>
      <w:color w:val="505050"/>
      <w:sz w:val="17"/>
    </w:rPr>
  </w:style>
  <w:style w:type="paragraph" w:customStyle="1" w:styleId="Callout">
    <w:name w:val="Callout"/>
    <w:basedOn w:val="Normal"/>
    <w:pPr>
      <w:spacing w:before="120" w:after="120"/>
      <w:ind w:left="216" w:right="216"/>
    </w:pPr>
    <w:rPr>
      <w:b/>
      <w:sz w:val="20"/>
    </w:r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VECL-QB Consolidated Research and Product Document</dc:title>
  <dc:subject>Updated proof sketches and product research synthesis for VECL-QB</dc:subject>
  <dc:creator>OpenAI</dc:creator>
  <cp:keywords>VECL, QB, provenance, continuous learning, sparse memory, product research, trust management</cp:keywords>
  <dc:description>generated by python-docx</dc:description>
  <cp:lastModifiedBy/>
  <cp:revision>1</cp:revision>
  <dcterms:created xsi:type="dcterms:W3CDTF">2013-12-23T23:15:00Z</dcterms:created>
  <dcterms:modified xsi:type="dcterms:W3CDTF">2013-12-23T23:15:00Z</dcterms:modified>
  <cp:category/>
</cp:coreProperties>
</file>