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456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CIIP SOP — Big-Rocks Template (Continuity-Integrated Inventory Planning)</w:t>
      </w:r>
    </w:p>
    <w:p w14:paraId="3C8885D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A reusable, executive-friendly process template that turns BC/DR timing across the organization into a defensible Days of Inventory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On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Hand (DIOH) target by DC/node and product family/customer tier.</w:t>
      </w:r>
    </w:p>
    <w:p w14:paraId="5C845C6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5CD8E10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1) Purpose</w:t>
      </w:r>
    </w:p>
    <w:p w14:paraId="073EE4E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Establish a consistent way to set inventory targets that:</w:t>
      </w:r>
    </w:p>
    <w:p w14:paraId="12E02D5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reflect how long the business can continue operating during disruptions (workarounds/manual mode),</w:t>
      </w:r>
    </w:p>
    <w:p w14:paraId="3D3817A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reflect how long it takes to recover (IT, network, DC operations, facilities, vendors),</w:t>
      </w:r>
    </w:p>
    <w:p w14:paraId="2BF0529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produce a justified DIOH number with an explicit safety margin and clear approvals.</w:t>
      </w:r>
    </w:p>
    <w:p w14:paraId="3D9D141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4E17A64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2) Core outcome</w:t>
      </w:r>
    </w:p>
    <w:p w14:paraId="7C52739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For each DC/node and product family (or customer tier), publish:</w:t>
      </w:r>
    </w:p>
    <w:p w14:paraId="02294F7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Target DIOH (days)</w:t>
      </w:r>
    </w:p>
    <w:p w14:paraId="05DB039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What it is protecting against (scenarios + timing assumptions)</w:t>
      </w:r>
    </w:p>
    <w:p w14:paraId="3E268763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What confidence level it covers (e.g., “Tier 1 covers 99%”)</w:t>
      </w:r>
    </w:p>
    <w:p w14:paraId="6724BA4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Who approved it and when</w:t>
      </w:r>
    </w:p>
    <w:p w14:paraId="070AF56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What would trigger a re-check (events/changes)</w:t>
      </w:r>
    </w:p>
    <w:p w14:paraId="4A7578CA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17A7A75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3) Guiding principle (simple rule)</w:t>
      </w:r>
    </w:p>
    <w:p w14:paraId="15CB72C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DIOH is driven by “required coverage window,” not instinct.</w:t>
      </w:r>
    </w:p>
    <w:p w14:paraId="38FFCCC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4860ECBA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Required coverage window = time the node must support demand while:</w:t>
      </w:r>
    </w:p>
    <w:p w14:paraId="4966790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the disruption is active, and</w:t>
      </w:r>
    </w:p>
    <w:p w14:paraId="7B3D089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operations are degraded (workarounds), and</w:t>
      </w:r>
    </w:p>
    <w:p w14:paraId="6F801C1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recovery is occurring, and</w:t>
      </w:r>
    </w:p>
    <w:p w14:paraId="20C1987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backlog is being caught up.</w:t>
      </w:r>
    </w:p>
    <w:p w14:paraId="3E02AA1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0743987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If the required coverage window increases (because recovery is slower or workarounds are weaker), the DIOH target must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rise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or the residual risk must be explicitly accepted (ERM exception).</w:t>
      </w:r>
    </w:p>
    <w:p w14:paraId="473D910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1FF0C9E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4) Governance and decision rights</w:t>
      </w:r>
    </w:p>
    <w:p w14:paraId="737E640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4.1 Owners</w:t>
      </w:r>
    </w:p>
    <w:p w14:paraId="52D05AD3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- ERM (or Risk): sets policy, confidence targets, exceptions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process, and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ensures cross-pillar alignment.</w:t>
      </w:r>
    </w:p>
    <w:p w14:paraId="1E393B4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lastRenderedPageBreak/>
        <w:t>- Supply Chain Planning (S&amp;OP/IBP): runs the process, proposes DIOH targets and changes.</w:t>
      </w:r>
    </w:p>
    <w:p w14:paraId="14A3D87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BC/DR pillar owners: provide recovery timing assumptions and evidence.</w:t>
      </w:r>
    </w:p>
    <w:p w14:paraId="6CB4974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- IT apps (ERP/WMS/TMS and integrations)</w:t>
      </w:r>
    </w:p>
    <w:p w14:paraId="671DAD7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- Network/edge (WAN/SD-WAN, firewall/VPN, DNS, cloud connectivity)</w:t>
      </w:r>
    </w:p>
    <w:p w14:paraId="7895243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- DC operations (manual throughput capacity + sustainable duration)</w:t>
      </w:r>
    </w:p>
    <w:p w14:paraId="0C9B5EB3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- Facilities (power/physical access)</w:t>
      </w:r>
    </w:p>
    <w:p w14:paraId="3F8CB12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- Suppliers/carriers (vendor recovery and alternates)</w:t>
      </w:r>
    </w:p>
    <w:p w14:paraId="1374DA8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04EFE06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4.2 Approvals</w:t>
      </w:r>
    </w:p>
    <w:p w14:paraId="017FCEB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Inventory policy targets: CSCO/COO + CFO/Controller sign-off (and ERM endorsement).</w:t>
      </w:r>
    </w:p>
    <w:p w14:paraId="1F2933E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Exceptions (accepting uncovered risk): COO/CSCO + CFO + ERM.</w:t>
      </w:r>
    </w:p>
    <w:p w14:paraId="0AB898A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6C445E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5) Inputs (the minimum set)</w:t>
      </w:r>
    </w:p>
    <w:p w14:paraId="12BB405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5.1 Resiliency timing assumptions (by node)</w:t>
      </w:r>
    </w:p>
    <w:p w14:paraId="34A13F4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A single “timing register” that consolidates recovery timing from every pillar, per scenario.</w:t>
      </w:r>
    </w:p>
    <w:p w14:paraId="2905343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47B0653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Example timing categories:</w:t>
      </w:r>
    </w:p>
    <w:p w14:paraId="5527BCE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IT restoration time (to usable state)</w:t>
      </w:r>
    </w:p>
    <w:p w14:paraId="7086E68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Network restoration time (to usable state)</w:t>
      </w:r>
    </w:p>
    <w:p w14:paraId="02467F2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DC ops capability during outage (manual throughput % and how long it can be sustained)</w:t>
      </w:r>
    </w:p>
    <w:p w14:paraId="6588677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Facilities constraints</w:t>
      </w:r>
    </w:p>
    <w:p w14:paraId="3CF5FC7A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Vendor/supplier restoration time (or alternate sourcing time)</w:t>
      </w:r>
    </w:p>
    <w:p w14:paraId="43E3A04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0E89647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5.2 Operational service mode assumptions (workarounds)</w:t>
      </w:r>
    </w:p>
    <w:p w14:paraId="47E10A4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For each scenario, define what the business can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actually do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during the disruption:</w:t>
      </w:r>
    </w:p>
    <w:p w14:paraId="1F54B4E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Can we take orders? for how long?</w:t>
      </w:r>
    </w:p>
    <w:p w14:paraId="0FAC59E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Can we release/pick/ship? at what throughput %?</w:t>
      </w:r>
    </w:p>
    <w:p w14:paraId="6201F34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Can we invoice/collect? can we receive inventory?</w:t>
      </w:r>
    </w:p>
    <w:p w14:paraId="7FDE7DA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What allocation rules apply (who gets served first, what gets deferred)?</w:t>
      </w:r>
    </w:p>
    <w:p w14:paraId="158826F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234CD3B0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These assumptions matter because they drive:</w:t>
      </w:r>
    </w:p>
    <w:p w14:paraId="5561D29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- how much demand is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actually fulfilled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during the disruption, and</w:t>
      </w:r>
    </w:p>
    <w:p w14:paraId="24D9BC6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how much backlog accumulates and must be cleared after recovery.</w:t>
      </w:r>
    </w:p>
    <w:p w14:paraId="501DC6C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215FE12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lastRenderedPageBreak/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5.3 Demand and segmentation</w:t>
      </w:r>
    </w:p>
    <w:p w14:paraId="764DE16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Demand baseline and peak season assumptions</w:t>
      </w:r>
    </w:p>
    <w:p w14:paraId="24CDCBE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Product family / customer tier definitions (what is “Tier 1” vs “Tier 3”)</w:t>
      </w:r>
    </w:p>
    <w:p w14:paraId="0614CE9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Substitution rules (if allowed)</w:t>
      </w:r>
    </w:p>
    <w:p w14:paraId="67453C2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620CBA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6) How the DIOH target is set (high-level)</w:t>
      </w:r>
    </w:p>
    <w:p w14:paraId="1332983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6.1 Choose the protection level (“confidence target”)</w:t>
      </w:r>
    </w:p>
    <w:p w14:paraId="170582A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Leadership sets a target confidence by tier, for example:</w:t>
      </w:r>
    </w:p>
    <w:p w14:paraId="49729F0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Tier 1: very high confidence (e.g., “covers almost all credible outcomes”)</w:t>
      </w:r>
    </w:p>
    <w:p w14:paraId="4D4CBA1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Tier 2: high confidence</w:t>
      </w:r>
    </w:p>
    <w:p w14:paraId="138D0F8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Tier 3: standard confidence</w:t>
      </w:r>
    </w:p>
    <w:p w14:paraId="259986D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0DD67C9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This is the “job safety” knob: it makes risk posture explicit and repeatable.</w:t>
      </w:r>
    </w:p>
    <w:p w14:paraId="78764CD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D6F102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6.2 Determine the required coverage window per scenario</w:t>
      </w:r>
    </w:p>
    <w:p w14:paraId="58CC650A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For each node x scenario:</w:t>
      </w:r>
    </w:p>
    <w:p w14:paraId="344D109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1) Identify the limiting recovery pillar (the slowest-to-recover constraint).</w:t>
      </w:r>
    </w:p>
    <w:p w14:paraId="0B834B0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2) Overlay service mode/workarounds:</w:t>
      </w:r>
    </w:p>
    <w:p w14:paraId="46E205E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 - If operations are reduced, estimate backlog growth.</w:t>
      </w:r>
    </w:p>
    <w:p w14:paraId="6809A89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3) Estimate catch-up time:</w:t>
      </w:r>
    </w:p>
    <w:p w14:paraId="559586B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  - How long it takes to clear backlog once systems/processes return.</w:t>
      </w:r>
    </w:p>
    <w:p w14:paraId="645EF15A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295DEAB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Result: Required coverage window (in days).</w:t>
      </w:r>
    </w:p>
    <w:p w14:paraId="1302C40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C270DF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6.3 Convert required coverage window to a DIOH target</w:t>
      </w:r>
    </w:p>
    <w:p w14:paraId="314EC8B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DIOH target = required coverage window + safety margin</w:t>
      </w:r>
    </w:p>
    <w:p w14:paraId="3677F3F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32D74DD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Safety margin is not “extra because we feel like it.” It is explicitly justified by:</w:t>
      </w:r>
    </w:p>
    <w:p w14:paraId="08D29F7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how recent and proven the timing assumptions are (tested vs assumed),</w:t>
      </w:r>
    </w:p>
    <w:p w14:paraId="133BF74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variability in demand (especially during peaks),</w:t>
      </w:r>
    </w:p>
    <w:p w14:paraId="7E89A22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volatility in recovery performance (drift, change frequency, known weak points).</w:t>
      </w:r>
    </w:p>
    <w:p w14:paraId="011F743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2EBA099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7) Cadence (how it becomes a discipline)</w:t>
      </w:r>
    </w:p>
    <w:p w14:paraId="320FCF9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lastRenderedPageBreak/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7.1 Monthly (inside S&amp;OP/IBP)</w:t>
      </w:r>
    </w:p>
    <w:p w14:paraId="239C778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“Continuity Gate” agenda (15–30 minutes):</w:t>
      </w:r>
    </w:p>
    <w:p w14:paraId="44A1CAFF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What changed that impacts resiliency timing? (IT releases, carrier changes, DC process changes, supplier changes)</w:t>
      </w:r>
    </w:p>
    <w:p w14:paraId="0DF57823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Any nodes/product families now under-protected (DIOH below target)?</w:t>
      </w:r>
    </w:p>
    <w:p w14:paraId="1D0E8A4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Tactical actions for the next month (rebalancing, expediting, temporary buffers)</w:t>
      </w:r>
    </w:p>
    <w:p w14:paraId="51DB2B5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01AA43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7.2 Quarterly (cross-pillar)</w:t>
      </w:r>
    </w:p>
    <w:p w14:paraId="791B86C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Refresh timing assumptions and service modes using tests/drills/incidents.</w:t>
      </w:r>
    </w:p>
    <w:p w14:paraId="300DAF1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Re-approve DIOH targets for Tier 1 and any high-risk nodes.</w:t>
      </w:r>
    </w:p>
    <w:p w14:paraId="1802234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- Validate that assumptions match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reality;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open improvement actions where not.</w:t>
      </w:r>
    </w:p>
    <w:p w14:paraId="25101730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75564F5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7.3 Event-driven (mandatory re-check)</w:t>
      </w:r>
    </w:p>
    <w:p w14:paraId="0B2EEB0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Re-run for affected nodes within 5 business days after:</w:t>
      </w:r>
    </w:p>
    <w:p w14:paraId="21FBB31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major ERP/WMS/TMS change or integration change</w:t>
      </w:r>
    </w:p>
    <w:p w14:paraId="5011D4F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- carrier/SD-WAN transition, firewall policy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refactor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>, DNS/failover change</w:t>
      </w:r>
    </w:p>
    <w:p w14:paraId="5722F0C0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new DC go-live, major process redesign</w:t>
      </w:r>
    </w:p>
    <w:p w14:paraId="727ACF5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supplier concentration change or major lead-time shift</w:t>
      </w:r>
    </w:p>
    <w:p w14:paraId="6C7205EA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D59C7D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8) Required outputs (what gets published)</w:t>
      </w:r>
    </w:p>
    <w:p w14:paraId="285430E3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For each node x product family/tier:</w:t>
      </w:r>
    </w:p>
    <w:p w14:paraId="40E44DB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Target DIOH (days)</w:t>
      </w:r>
    </w:p>
    <w:p w14:paraId="1185D90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Top scenarios it protects against</w:t>
      </w:r>
    </w:p>
    <w:p w14:paraId="56E44EF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Timing register snapshot (summary)</w:t>
      </w:r>
    </w:p>
    <w:p w14:paraId="0FB7318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Service mode assumptions (summary)</w:t>
      </w:r>
    </w:p>
    <w:p w14:paraId="01F2E36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Safety margin rationale (why it’s conservative enough)</w:t>
      </w:r>
    </w:p>
    <w:p w14:paraId="5E0BA3F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Approvals and next review date</w:t>
      </w:r>
    </w:p>
    <w:p w14:paraId="7F9E0CA0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6D575B6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9) Evidence and auditability (kept simple)</w:t>
      </w:r>
    </w:p>
    <w:p w14:paraId="4B5B1D7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Each published DIOH target must have a “one-page evidence pack”:</w:t>
      </w:r>
    </w:p>
    <w:p w14:paraId="0186595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Timing register entries + last proven date (test/drill/incident)</w:t>
      </w:r>
    </w:p>
    <w:p w14:paraId="1A1E22C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List of major assumptions (service mode + demand peak)</w:t>
      </w:r>
    </w:p>
    <w:p w14:paraId="1129847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A simple sensitivity check (e.g., “if recovery is 25% slower, do we still cover Tier 1?”)</w:t>
      </w:r>
    </w:p>
    <w:p w14:paraId="00CB897C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- </w:t>
      </w:r>
      <w:proofErr w:type="gram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Sign-offs</w:t>
      </w:r>
      <w:proofErr w:type="gramEnd"/>
      <w:r w:rsidRPr="00E62853">
        <w:rPr>
          <w:rFonts w:ascii="Menlo" w:eastAsia="Times New Roman" w:hAnsi="Menlo" w:cs="Menlo"/>
          <w:color w:val="141414"/>
          <w:sz w:val="21"/>
          <w:szCs w:val="21"/>
        </w:rPr>
        <w:t xml:space="preserve"> and any exceptions</w:t>
      </w:r>
    </w:p>
    <w:p w14:paraId="1B66176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369B9E5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lastRenderedPageBreak/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10) Exceptions (how you avoid surprises)</w:t>
      </w:r>
    </w:p>
    <w:p w14:paraId="0B16893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If the business chooses not to carry the inventory implied by the process:</w:t>
      </w:r>
    </w:p>
    <w:p w14:paraId="7A9A9E0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Document the gap (what scenario is not covered, and by how much).</w:t>
      </w:r>
    </w:p>
    <w:p w14:paraId="18AD6257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Document compensating controls (alternates, expedite playbooks, customer allocations).</w:t>
      </w:r>
    </w:p>
    <w:p w14:paraId="4EA2576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- Obtain ERM exception approval and a review date.</w:t>
      </w:r>
    </w:p>
    <w:p w14:paraId="44FF11C9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085A14E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206595"/>
          <w:sz w:val="21"/>
          <w:szCs w:val="21"/>
        </w:rPr>
        <w:t>---</w:t>
      </w:r>
    </w:p>
    <w:p w14:paraId="02E197D3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238A3752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Appendix A — Minimal tables (copy/paste)</w:t>
      </w:r>
    </w:p>
    <w:p w14:paraId="08790B14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26AAB0EB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A1) Timing register (by node/scenario)</w:t>
      </w:r>
    </w:p>
    <w:p w14:paraId="7D51F91D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| Node | Scenario | Limiting pillar (IT/Net/DC/Facilities/Vendor) | Recovery timing (</w:t>
      </w:r>
      <w:proofErr w:type="spellStart"/>
      <w:r w:rsidRPr="00E62853">
        <w:rPr>
          <w:rFonts w:ascii="Menlo" w:eastAsia="Times New Roman" w:hAnsi="Menlo" w:cs="Menlo"/>
          <w:color w:val="141414"/>
          <w:sz w:val="21"/>
          <w:szCs w:val="21"/>
        </w:rPr>
        <w:t>hrs</w:t>
      </w:r>
      <w:proofErr w:type="spellEnd"/>
      <w:r w:rsidRPr="00E62853">
        <w:rPr>
          <w:rFonts w:ascii="Menlo" w:eastAsia="Times New Roman" w:hAnsi="Menlo" w:cs="Menlo"/>
          <w:color w:val="141414"/>
          <w:sz w:val="21"/>
          <w:szCs w:val="21"/>
        </w:rPr>
        <w:t>) | Service mode during disruption (summary) | Backlog/catch-up assumption (summary) | Required coverage window (days) | Confidence (High/Med/Low) | Evidence (test/incident/date) | Owner |</w:t>
      </w:r>
    </w:p>
    <w:p w14:paraId="4CCED44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|---|---|---|---:|---|---|---:|---|---|---|</w:t>
      </w:r>
    </w:p>
    <w:p w14:paraId="35B1B215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| [ ] | [ ] | [ ] | [ ] | [ ] | [ ] | [ ] | [ ] | [ ] | [ ] |</w:t>
      </w:r>
    </w:p>
    <w:p w14:paraId="7D099BC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74A929E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###</w:t>
      </w:r>
      <w:r w:rsidRPr="00E62853">
        <w:rPr>
          <w:rFonts w:ascii="Menlo" w:eastAsia="Times New Roman" w:hAnsi="Menlo" w:cs="Menlo"/>
          <w:color w:val="206595"/>
          <w:sz w:val="21"/>
          <w:szCs w:val="21"/>
        </w:rPr>
        <w:t xml:space="preserve"> </w:t>
      </w:r>
      <w:r w:rsidRPr="00E62853">
        <w:rPr>
          <w:rFonts w:ascii="Menlo" w:eastAsia="Times New Roman" w:hAnsi="Menlo" w:cs="Menlo"/>
          <w:color w:val="141414"/>
          <w:sz w:val="21"/>
          <w:szCs w:val="21"/>
        </w:rPr>
        <w:t>A2) DIOH policy output (by node/tier)</w:t>
      </w:r>
    </w:p>
    <w:p w14:paraId="18BA822E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| Node | Product family / tier | Confidence target | Target DIOH (days) | Drivers (top scenarios) | Safety margin rationale (1–2 lines) | Approvers | Next review |</w:t>
      </w:r>
    </w:p>
    <w:p w14:paraId="4620D5C8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|---|---|---|---:|---|---|---|---|</w:t>
      </w:r>
    </w:p>
    <w:p w14:paraId="74B646E6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  <w:r w:rsidRPr="00E62853">
        <w:rPr>
          <w:rFonts w:ascii="Menlo" w:eastAsia="Times New Roman" w:hAnsi="Menlo" w:cs="Menlo"/>
          <w:color w:val="141414"/>
          <w:sz w:val="21"/>
          <w:szCs w:val="21"/>
        </w:rPr>
        <w:t>| [ ] | [ ] | [ ] | [ ] | [ ] | [ ] | [ ] | [ ] |</w:t>
      </w:r>
    </w:p>
    <w:p w14:paraId="0FCADF51" w14:textId="77777777" w:rsidR="00E62853" w:rsidRPr="00E62853" w:rsidRDefault="00E62853" w:rsidP="00E62853">
      <w:pPr>
        <w:shd w:val="clear" w:color="auto" w:fill="FCFCFC"/>
        <w:spacing w:after="0" w:line="315" w:lineRule="atLeast"/>
        <w:rPr>
          <w:rFonts w:ascii="Menlo" w:eastAsia="Times New Roman" w:hAnsi="Menlo" w:cs="Menlo"/>
          <w:color w:val="141414"/>
          <w:sz w:val="21"/>
          <w:szCs w:val="21"/>
        </w:rPr>
      </w:pPr>
    </w:p>
    <w:p w14:paraId="10DD6747" w14:textId="239B8DFE" w:rsidR="002130EC" w:rsidRDefault="002130EC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BB05B49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3584DF4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3DA0FEE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023BE7B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6377965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8F87BAF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436DA28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87852BB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239ECF2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305E2C3F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587A0CC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04E2ACD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872E454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42714596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7BF3B7CA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CEE6A81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A2348FA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391E1722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464F3DC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EA16C78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17E6EFCC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7DE8D59A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007AF9B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E4B6016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4F91A7DC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628795FE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2EF74439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43DEB528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7FAE4A17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045C39DF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5CDAD3B1" w14:textId="77777777" w:rsidR="00C45645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p w14:paraId="370AF5A7" w14:textId="77777777" w:rsidR="00C45645" w:rsidRPr="002130EC" w:rsidRDefault="00C45645" w:rsidP="002130EC">
      <w:pPr>
        <w:tabs>
          <w:tab w:val="left" w:pos="6073"/>
        </w:tabs>
        <w:rPr>
          <w:rFonts w:asciiTheme="majorHAnsi" w:hAnsiTheme="majorHAnsi" w:cstheme="majorHAnsi"/>
        </w:rPr>
      </w:pPr>
    </w:p>
    <w:sectPr w:rsidR="00C45645" w:rsidRPr="002130EC" w:rsidSect="004903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C79F5" w14:textId="77777777" w:rsidR="00304390" w:rsidRDefault="00304390" w:rsidP="00BD12A4">
      <w:pPr>
        <w:spacing w:after="0" w:line="240" w:lineRule="auto"/>
      </w:pPr>
      <w:r>
        <w:separator/>
      </w:r>
    </w:p>
  </w:endnote>
  <w:endnote w:type="continuationSeparator" w:id="0">
    <w:p w14:paraId="325B8C77" w14:textId="77777777" w:rsidR="00304390" w:rsidRDefault="00304390" w:rsidP="00BD1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BEB55" w14:textId="77777777" w:rsidR="002130EC" w:rsidRDefault="002130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0061" w14:textId="742FC7C9" w:rsidR="00076857" w:rsidRDefault="00076857" w:rsidP="00076857">
    <w:pPr>
      <w:pStyle w:val="Footer"/>
      <w:rPr>
        <w:rFonts w:ascii="Calibri" w:hAnsi="Calibri" w:cs="Calibri"/>
        <w:noProof/>
        <w:color w:val="404040" w:themeColor="text1" w:themeTint="BF"/>
      </w:rPr>
    </w:pPr>
  </w:p>
  <w:p w14:paraId="7C6BB59D" w14:textId="7F5637BF" w:rsidR="00D461E0" w:rsidRDefault="00D461E0" w:rsidP="00D461E0">
    <w:pPr>
      <w:pStyle w:val="Footer"/>
      <w:rPr>
        <w:rFonts w:ascii="Calibri" w:hAnsi="Calibri" w:cs="Calibri"/>
        <w:b/>
        <w:bCs/>
        <w:noProof/>
        <w:color w:val="767171" w:themeColor="background2" w:themeShade="80"/>
        <w:spacing w:val="60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>
      <w:rPr>
        <w:rFonts w:ascii="Calibri" w:hAnsi="Calibri" w:cs="Calibri"/>
        <w:noProof/>
        <w:color w:val="404040" w:themeColor="text1" w:themeTint="BF"/>
      </w:rPr>
      <w:t>2025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Pr="00D461E0">
      <w:rPr>
        <w:rFonts w:ascii="Calibri" w:hAnsi="Calibri" w:cs="Calibri"/>
        <w:i/>
        <w:iCs/>
        <w:noProof/>
      </w:rPr>
      <w:t xml:space="preserve">– </w:t>
    </w:r>
    <w:r w:rsidRPr="00076857">
      <w:rPr>
        <w:rFonts w:ascii="Calibri" w:hAnsi="Calibri" w:cs="Calibri"/>
        <w:i/>
        <w:iCs/>
        <w:noProof/>
        <w:color w:val="E84133"/>
      </w:rPr>
      <w:t>P</w:t>
    </w:r>
    <w:r w:rsidR="00544A59">
      <w:rPr>
        <w:rFonts w:ascii="Calibri" w:hAnsi="Calibri" w:cs="Calibri"/>
        <w:i/>
        <w:iCs/>
        <w:noProof/>
        <w:color w:val="E84133"/>
      </w:rPr>
      <w:t>eople-centered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separate"/>
    </w:r>
    <w:r>
      <w:rPr>
        <w:rFonts w:ascii="Calibri" w:hAnsi="Calibri" w:cs="Calibri"/>
        <w:color w:val="767171" w:themeColor="background2" w:themeShade="80"/>
        <w:spacing w:val="60"/>
      </w:rPr>
      <w:t>1</w:t>
    </w:r>
    <w:r w:rsidRPr="7D3560F8">
      <w:rPr>
        <w:rFonts w:ascii="Calibri" w:hAnsi="Calibri" w:cs="Calibri"/>
        <w:color w:val="767171" w:themeColor="background2" w:themeShade="80"/>
        <w:spacing w:val="60"/>
      </w:rPr>
      <w:fldChar w:fldCharType="end"/>
    </w:r>
  </w:p>
  <w:p w14:paraId="25772863" w14:textId="77777777" w:rsidR="00D461E0" w:rsidRPr="00076857" w:rsidRDefault="00D461E0" w:rsidP="00D461E0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C6F36" w14:textId="44112A58" w:rsidR="006A74EC" w:rsidRPr="00076857" w:rsidRDefault="006A74EC">
    <w:pPr>
      <w:pStyle w:val="Footer"/>
      <w:rPr>
        <w:rFonts w:ascii="Calibri" w:hAnsi="Calibri" w:cs="Calibri"/>
      </w:rPr>
    </w:pPr>
    <w:r w:rsidRPr="00076857">
      <w:rPr>
        <w:rFonts w:ascii="Calibri" w:hAnsi="Calibri" w:cs="Calibri"/>
        <w:noProof/>
        <w:color w:val="404040" w:themeColor="text1" w:themeTint="BF"/>
      </w:rPr>
      <w:t>©</w:t>
    </w:r>
    <w:r w:rsidR="00D461E0">
      <w:rPr>
        <w:rFonts w:ascii="Calibri" w:hAnsi="Calibri" w:cs="Calibri"/>
        <w:noProof/>
        <w:color w:val="404040" w:themeColor="text1" w:themeTint="BF"/>
      </w:rPr>
      <w:t>202</w:t>
    </w:r>
    <w:r w:rsidR="008626A8">
      <w:rPr>
        <w:rFonts w:ascii="Calibri" w:hAnsi="Calibri" w:cs="Calibri"/>
        <w:noProof/>
        <w:color w:val="404040" w:themeColor="text1" w:themeTint="BF"/>
      </w:rPr>
      <w:t>5</w:t>
    </w:r>
    <w:r w:rsidRPr="00076857">
      <w:rPr>
        <w:rFonts w:ascii="Calibri" w:hAnsi="Calibri" w:cs="Calibri"/>
        <w:noProof/>
        <w:color w:val="404040" w:themeColor="text1" w:themeTint="BF"/>
      </w:rPr>
      <w:t xml:space="preserve"> </w:t>
    </w:r>
    <w:r w:rsidRPr="00D461E0">
      <w:rPr>
        <w:rFonts w:ascii="Calibri" w:hAnsi="Calibri" w:cs="Calibri"/>
        <w:b/>
        <w:bCs/>
        <w:noProof/>
        <w:color w:val="E84133"/>
      </w:rPr>
      <w:t>Vizius</w:t>
    </w:r>
    <w:r w:rsidR="00D461E0">
      <w:rPr>
        <w:rFonts w:ascii="Calibri" w:hAnsi="Calibri" w:cs="Calibri"/>
        <w:noProof/>
        <w:color w:val="E84133"/>
      </w:rPr>
      <w:t>.com</w:t>
    </w:r>
    <w:r w:rsidRPr="00D461E0">
      <w:rPr>
        <w:rFonts w:ascii="Calibri" w:hAnsi="Calibri" w:cs="Calibri"/>
        <w:noProof/>
      </w:rPr>
      <w:t xml:space="preserve"> </w:t>
    </w:r>
    <w:r w:rsidR="00F22B12" w:rsidRPr="00D461E0">
      <w:rPr>
        <w:rFonts w:ascii="Calibri" w:hAnsi="Calibri" w:cs="Calibri"/>
        <w:i/>
        <w:iCs/>
        <w:noProof/>
      </w:rPr>
      <w:t xml:space="preserve">– </w:t>
    </w:r>
    <w:r w:rsidR="00F22B12" w:rsidRPr="00076857">
      <w:rPr>
        <w:rFonts w:ascii="Calibri" w:hAnsi="Calibri" w:cs="Calibri"/>
        <w:i/>
        <w:iCs/>
        <w:noProof/>
        <w:color w:val="E84133"/>
      </w:rPr>
      <w:t>P</w:t>
    </w:r>
    <w:r w:rsidR="00C66C29">
      <w:rPr>
        <w:rFonts w:ascii="Calibri" w:hAnsi="Calibri" w:cs="Calibri"/>
        <w:i/>
        <w:iCs/>
        <w:noProof/>
        <w:color w:val="E84133"/>
      </w:rPr>
      <w:t>eople-</w:t>
    </w:r>
    <w:r w:rsidR="00887BA9">
      <w:rPr>
        <w:rFonts w:ascii="Calibri" w:hAnsi="Calibri" w:cs="Calibri"/>
        <w:i/>
        <w:iCs/>
        <w:noProof/>
        <w:color w:val="E84133"/>
      </w:rPr>
      <w:t>c</w:t>
    </w:r>
    <w:r w:rsidR="00C66C29">
      <w:rPr>
        <w:rFonts w:ascii="Calibri" w:hAnsi="Calibri" w:cs="Calibri"/>
        <w:i/>
        <w:iCs/>
        <w:noProof/>
        <w:color w:val="E84133"/>
      </w:rPr>
      <w:t>entered Problem Solvers</w:t>
    </w:r>
    <w:r w:rsidRPr="00076857">
      <w:rPr>
        <w:rFonts w:ascii="Calibri" w:hAnsi="Calibri" w:cs="Calibri"/>
        <w:color w:val="8496B0" w:themeColor="text2" w:themeTint="99"/>
        <w:spacing w:val="60"/>
      </w:rPr>
      <w:ptab w:relativeTo="margin" w:alignment="right" w:leader="none"/>
    </w:r>
    <w:r w:rsidRPr="00076857">
      <w:rPr>
        <w:rFonts w:ascii="Calibri" w:hAnsi="Calibri" w:cs="Calibri"/>
        <w:color w:val="7F7F7F" w:themeColor="background1" w:themeShade="7F"/>
        <w:spacing w:val="60"/>
      </w:rPr>
      <w:t>Page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323E4F" w:themeColor="text2" w:themeShade="BF"/>
        <w:spacing w:val="60"/>
      </w:rPr>
      <w:t>|</w:t>
    </w:r>
    <w:r w:rsidRPr="00076857">
      <w:rPr>
        <w:rFonts w:ascii="Calibri" w:hAnsi="Calibri" w:cs="Calibri"/>
        <w:color w:val="8496B0" w:themeColor="text2" w:themeTint="99"/>
        <w:spacing w:val="60"/>
      </w:rPr>
      <w:t xml:space="preserve"> </w: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begin"/>
    </w:r>
    <w:r w:rsidRPr="00076857">
      <w:rPr>
        <w:rFonts w:ascii="Calibri" w:hAnsi="Calibri" w:cs="Calibri"/>
        <w:color w:val="767171" w:themeColor="background2" w:themeShade="80"/>
        <w:spacing w:val="60"/>
      </w:rPr>
      <w:instrText xml:space="preserve"> PAGE   \* MERGEFORMAT </w:instrText>
    </w:r>
    <w:r w:rsidRPr="00076857">
      <w:rPr>
        <w:rFonts w:ascii="Calibri" w:hAnsi="Calibri" w:cs="Calibri"/>
        <w:color w:val="767171" w:themeColor="background2" w:themeShade="80"/>
        <w:spacing w:val="60"/>
      </w:rPr>
      <w:fldChar w:fldCharType="separate"/>
    </w:r>
    <w:r w:rsidRPr="00076857">
      <w:rPr>
        <w:rFonts w:ascii="Calibri" w:hAnsi="Calibri" w:cs="Calibri"/>
        <w:color w:val="767171" w:themeColor="background2" w:themeShade="80"/>
        <w:spacing w:val="60"/>
      </w:rPr>
      <w:t>1</w:t>
    </w:r>
    <w:r w:rsidRPr="00076857">
      <w:rPr>
        <w:rFonts w:ascii="Calibri" w:hAnsi="Calibri" w:cs="Calibri"/>
        <w:b/>
        <w:bCs/>
        <w:noProof/>
        <w:color w:val="767171" w:themeColor="background2" w:themeShade="80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0FF6" w14:textId="77777777" w:rsidR="00304390" w:rsidRDefault="00304390" w:rsidP="00BD12A4">
      <w:pPr>
        <w:spacing w:after="0" w:line="240" w:lineRule="auto"/>
      </w:pPr>
      <w:r>
        <w:separator/>
      </w:r>
    </w:p>
  </w:footnote>
  <w:footnote w:type="continuationSeparator" w:id="0">
    <w:p w14:paraId="7E6702DA" w14:textId="77777777" w:rsidR="00304390" w:rsidRDefault="00304390" w:rsidP="00BD1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7AD5" w14:textId="77777777" w:rsidR="002130EC" w:rsidRDefault="002130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C2D8" w14:textId="1FF20201" w:rsidR="00BD12A4" w:rsidRPr="0053606F" w:rsidRDefault="002130EC" w:rsidP="00BD12A4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1" behindDoc="0" locked="0" layoutInCell="1" allowOverlap="1" wp14:anchorId="0D19DC86" wp14:editId="2A666A0C">
          <wp:simplePos x="0" y="0"/>
          <wp:positionH relativeFrom="margin">
            <wp:align>left</wp:align>
          </wp:positionH>
          <wp:positionV relativeFrom="paragraph">
            <wp:posOffset>12507</wp:posOffset>
          </wp:positionV>
          <wp:extent cx="1264257" cy="442220"/>
          <wp:effectExtent l="0" t="0" r="0" b="0"/>
          <wp:wrapNone/>
          <wp:docPr id="2" name="Picture 2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D12A4" w:rsidRPr="0053606F">
      <w:rPr>
        <w:rFonts w:asciiTheme="majorHAnsi" w:hAnsiTheme="majorHAnsi" w:cstheme="majorHAnsi"/>
        <w:sz w:val="16"/>
        <w:szCs w:val="16"/>
      </w:rPr>
      <w:t xml:space="preserve"> </w:t>
    </w:r>
  </w:p>
  <w:p w14:paraId="660BC590" w14:textId="143A699A" w:rsidR="00BD12A4" w:rsidRPr="006A74EC" w:rsidRDefault="00BD12A4" w:rsidP="00BD12A4">
    <w:pPr>
      <w:pStyle w:val="Header"/>
      <w:rPr>
        <w:rFonts w:asciiTheme="majorHAnsi" w:hAnsiTheme="majorHAnsi" w:cstheme="majorHAnsi"/>
        <w:sz w:val="20"/>
        <w:szCs w:val="20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</w:p>
  <w:p w14:paraId="6CA71122" w14:textId="77777777" w:rsidR="0053606F" w:rsidRDefault="00BD12A4" w:rsidP="006A74EC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="006A74EC">
      <w:rPr>
        <w:rFonts w:asciiTheme="majorHAnsi" w:hAnsiTheme="majorHAnsi" w:cstheme="majorHAnsi"/>
        <w:sz w:val="16"/>
        <w:szCs w:val="16"/>
      </w:rPr>
      <w:tab/>
      <w:t>&lt;</w:t>
    </w:r>
    <w:r w:rsidR="006A74EC" w:rsidRPr="006A74EC">
      <w:rPr>
        <w:rFonts w:asciiTheme="majorHAnsi" w:hAnsiTheme="majorHAnsi" w:cstheme="majorHAnsi"/>
        <w:sz w:val="24"/>
        <w:szCs w:val="24"/>
      </w:rPr>
      <w:t>Document Titl</w:t>
    </w:r>
    <w:r w:rsidR="006A74EC">
      <w:rPr>
        <w:rFonts w:asciiTheme="majorHAnsi" w:hAnsiTheme="majorHAnsi" w:cstheme="majorHAnsi"/>
        <w:sz w:val="24"/>
        <w:szCs w:val="24"/>
      </w:rPr>
      <w:t>e&gt;</w:t>
    </w:r>
  </w:p>
  <w:p w14:paraId="60492DCD" w14:textId="77777777" w:rsidR="0053606F" w:rsidRDefault="0053606F" w:rsidP="0053606F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726EF367" w14:textId="77777777" w:rsidR="0053606F" w:rsidRDefault="0053606F" w:rsidP="005360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C27A" w14:textId="0E57992A" w:rsidR="0049039B" w:rsidRPr="0053606F" w:rsidRDefault="002130EC" w:rsidP="0049039B">
    <w:pPr>
      <w:pStyle w:val="Header"/>
      <w:tabs>
        <w:tab w:val="left" w:pos="630"/>
      </w:tabs>
      <w:jc w:val="right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noProof/>
      </w:rPr>
      <w:drawing>
        <wp:anchor distT="0" distB="0" distL="114300" distR="114300" simplePos="0" relativeHeight="251658240" behindDoc="0" locked="0" layoutInCell="1" allowOverlap="1" wp14:anchorId="67635AB6" wp14:editId="70433707">
          <wp:simplePos x="0" y="0"/>
          <wp:positionH relativeFrom="margin">
            <wp:align>left</wp:align>
          </wp:positionH>
          <wp:positionV relativeFrom="paragraph">
            <wp:posOffset>14428</wp:posOffset>
          </wp:positionV>
          <wp:extent cx="1264257" cy="442220"/>
          <wp:effectExtent l="0" t="0" r="0" b="0"/>
          <wp:wrapNone/>
          <wp:docPr id="1" name="Picture 1" descr="A red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257" cy="442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039B" w:rsidRPr="0053606F">
      <w:rPr>
        <w:rFonts w:asciiTheme="majorHAnsi" w:hAnsiTheme="majorHAnsi" w:cstheme="majorHAnsi"/>
        <w:sz w:val="16"/>
        <w:szCs w:val="16"/>
      </w:rPr>
      <w:t xml:space="preserve">141 Traction Street </w:t>
    </w:r>
  </w:p>
  <w:p w14:paraId="2B10A47A" w14:textId="00081ACF" w:rsidR="0049039B" w:rsidRPr="0053606F" w:rsidRDefault="0049039B" w:rsidP="0049039B">
    <w:pPr>
      <w:pStyle w:val="Header"/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Greenville, SC 29611</w:t>
    </w:r>
  </w:p>
  <w:p w14:paraId="3882B45D" w14:textId="1FAE3023" w:rsidR="0049039B" w:rsidRPr="0053606F" w:rsidRDefault="0049039B" w:rsidP="0049039B">
    <w:pPr>
      <w:pStyle w:val="Header"/>
      <w:tabs>
        <w:tab w:val="left" w:pos="53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>info@</w:t>
    </w:r>
    <w:r w:rsidR="0053606F">
      <w:rPr>
        <w:rFonts w:asciiTheme="majorHAnsi" w:hAnsiTheme="majorHAnsi" w:cstheme="majorHAnsi"/>
        <w:sz w:val="16"/>
        <w:szCs w:val="16"/>
      </w:rPr>
      <w:t>vizius</w:t>
    </w:r>
    <w:r w:rsidRPr="0053606F">
      <w:rPr>
        <w:rFonts w:asciiTheme="majorHAnsi" w:hAnsiTheme="majorHAnsi" w:cstheme="majorHAnsi"/>
        <w:sz w:val="16"/>
        <w:szCs w:val="16"/>
      </w:rPr>
      <w:t>.</w:t>
    </w:r>
    <w:r w:rsidR="0053606F">
      <w:rPr>
        <w:rFonts w:asciiTheme="majorHAnsi" w:hAnsiTheme="majorHAnsi" w:cstheme="majorHAnsi"/>
        <w:sz w:val="16"/>
        <w:szCs w:val="16"/>
      </w:rPr>
      <w:t>com</w:t>
    </w:r>
  </w:p>
  <w:p w14:paraId="094E17AD" w14:textId="1EF22C3B" w:rsidR="0049039B" w:rsidRDefault="0049039B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  <w:r w:rsidRPr="0053606F">
      <w:rPr>
        <w:rFonts w:asciiTheme="majorHAnsi" w:hAnsiTheme="majorHAnsi" w:cstheme="majorHAnsi"/>
        <w:sz w:val="16"/>
        <w:szCs w:val="16"/>
      </w:rPr>
      <w:tab/>
      <w:t xml:space="preserve"> </w:t>
    </w:r>
    <w:r w:rsidRPr="0053606F">
      <w:rPr>
        <w:rFonts w:asciiTheme="majorHAnsi" w:hAnsiTheme="majorHAnsi" w:cstheme="majorHAnsi"/>
        <w:sz w:val="16"/>
        <w:szCs w:val="16"/>
      </w:rPr>
      <w:tab/>
    </w:r>
    <w:r w:rsidRPr="0053606F">
      <w:rPr>
        <w:rFonts w:asciiTheme="majorHAnsi" w:hAnsiTheme="majorHAnsi" w:cstheme="majorHAnsi"/>
        <w:sz w:val="16"/>
        <w:szCs w:val="16"/>
      </w:rPr>
      <w:tab/>
      <w:t xml:space="preserve">Phone: </w:t>
    </w:r>
    <w:r w:rsidR="00014242">
      <w:rPr>
        <w:rFonts w:asciiTheme="majorHAnsi" w:hAnsiTheme="majorHAnsi" w:cstheme="majorHAnsi"/>
        <w:sz w:val="16"/>
        <w:szCs w:val="16"/>
      </w:rPr>
      <w:t>864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800</w:t>
    </w:r>
    <w:r w:rsidRPr="0053606F">
      <w:rPr>
        <w:rFonts w:asciiTheme="majorHAnsi" w:hAnsiTheme="majorHAnsi" w:cstheme="majorHAnsi"/>
        <w:sz w:val="16"/>
        <w:szCs w:val="16"/>
      </w:rPr>
      <w:t>-</w:t>
    </w:r>
    <w:r w:rsidR="00014242">
      <w:rPr>
        <w:rFonts w:asciiTheme="majorHAnsi" w:hAnsiTheme="majorHAnsi" w:cstheme="majorHAnsi"/>
        <w:sz w:val="16"/>
        <w:szCs w:val="16"/>
      </w:rPr>
      <w:t>0550</w:t>
    </w:r>
  </w:p>
  <w:p w14:paraId="13EEEAB1" w14:textId="77777777" w:rsidR="0053606F" w:rsidRDefault="0053606F" w:rsidP="0049039B">
    <w:pPr>
      <w:pStyle w:val="Header"/>
      <w:pBdr>
        <w:bottom w:val="single" w:sz="12" w:space="1" w:color="auto"/>
      </w:pBdr>
      <w:tabs>
        <w:tab w:val="left" w:pos="1020"/>
      </w:tabs>
      <w:rPr>
        <w:rFonts w:asciiTheme="majorHAnsi" w:hAnsiTheme="majorHAnsi" w:cstheme="majorHAnsi"/>
        <w:sz w:val="16"/>
        <w:szCs w:val="16"/>
      </w:rPr>
    </w:pPr>
  </w:p>
  <w:p w14:paraId="4FAE4D89" w14:textId="77777777" w:rsidR="0049039B" w:rsidRDefault="004903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F0113"/>
    <w:multiLevelType w:val="hybridMultilevel"/>
    <w:tmpl w:val="C344B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68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57"/>
    <w:rsid w:val="00014242"/>
    <w:rsid w:val="00076857"/>
    <w:rsid w:val="001558FA"/>
    <w:rsid w:val="00156513"/>
    <w:rsid w:val="001A3962"/>
    <w:rsid w:val="001B417E"/>
    <w:rsid w:val="002130EC"/>
    <w:rsid w:val="00304390"/>
    <w:rsid w:val="00355AFE"/>
    <w:rsid w:val="004351E0"/>
    <w:rsid w:val="00435927"/>
    <w:rsid w:val="0043638B"/>
    <w:rsid w:val="0044181F"/>
    <w:rsid w:val="004841F9"/>
    <w:rsid w:val="0049039B"/>
    <w:rsid w:val="0053606F"/>
    <w:rsid w:val="00544A59"/>
    <w:rsid w:val="00696DC2"/>
    <w:rsid w:val="006A74EC"/>
    <w:rsid w:val="0074092F"/>
    <w:rsid w:val="007A277E"/>
    <w:rsid w:val="00814D4D"/>
    <w:rsid w:val="008626A8"/>
    <w:rsid w:val="00887BA9"/>
    <w:rsid w:val="008926FA"/>
    <w:rsid w:val="008D2D53"/>
    <w:rsid w:val="008E0F64"/>
    <w:rsid w:val="0098050F"/>
    <w:rsid w:val="009D3EB2"/>
    <w:rsid w:val="00A3533F"/>
    <w:rsid w:val="00B312B0"/>
    <w:rsid w:val="00BD12A4"/>
    <w:rsid w:val="00BD250B"/>
    <w:rsid w:val="00C45645"/>
    <w:rsid w:val="00C64065"/>
    <w:rsid w:val="00C66C29"/>
    <w:rsid w:val="00CC338F"/>
    <w:rsid w:val="00D02385"/>
    <w:rsid w:val="00D461E0"/>
    <w:rsid w:val="00D722F6"/>
    <w:rsid w:val="00D82354"/>
    <w:rsid w:val="00D902AA"/>
    <w:rsid w:val="00DC0B3B"/>
    <w:rsid w:val="00E1002C"/>
    <w:rsid w:val="00E62853"/>
    <w:rsid w:val="00F22B12"/>
    <w:rsid w:val="00F27BD8"/>
    <w:rsid w:val="00F3783A"/>
    <w:rsid w:val="00F8567C"/>
    <w:rsid w:val="00F863B6"/>
    <w:rsid w:val="00FB7869"/>
    <w:rsid w:val="00FD3802"/>
    <w:rsid w:val="00FE4770"/>
    <w:rsid w:val="7D35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9711D"/>
  <w15:chartTrackingRefBased/>
  <w15:docId w15:val="{131E1949-57CD-442E-99D8-129D5489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venir Next LT Pro" w:eastAsiaTheme="minorHAnsi" w:hAnsi="Avenir Next LT Pro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2A4"/>
  </w:style>
  <w:style w:type="paragraph" w:styleId="Footer">
    <w:name w:val="footer"/>
    <w:basedOn w:val="Normal"/>
    <w:link w:val="FooterChar"/>
    <w:uiPriority w:val="99"/>
    <w:unhideWhenUsed/>
    <w:qFormat/>
    <w:rsid w:val="00BD12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2A4"/>
  </w:style>
  <w:style w:type="paragraph" w:styleId="ListParagraph">
    <w:name w:val="List Paragraph"/>
    <w:basedOn w:val="Normal"/>
    <w:uiPriority w:val="34"/>
    <w:qFormat/>
    <w:rsid w:val="004351E0"/>
    <w:pPr>
      <w:spacing w:after="0" w:line="240" w:lineRule="auto"/>
      <w:ind w:left="720"/>
      <w:contextualSpacing/>
    </w:pPr>
    <w:rPr>
      <w:rFonts w:ascii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0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ura\Downloads\TVG-Letterhead-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C:\Users\Laura\Downloads\TVG-Letterhead-V2.dotx</Template>
  <TotalTime>0</TotalTime>
  <Pages>6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Glenn Johnson</cp:lastModifiedBy>
  <cp:revision>2</cp:revision>
  <dcterms:created xsi:type="dcterms:W3CDTF">2026-01-22T21:28:00Z</dcterms:created>
  <dcterms:modified xsi:type="dcterms:W3CDTF">2026-01-22T21:28:00Z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c7cb61a1bd547c894a48ef2cf343290315445e1c33fdaf864141cdef94820de6</vt:lpwstr>
  </property>
</Properties>
</file>