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59"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2"/>
        <w:gridCol w:w="6887"/>
      </w:tblGrid>
      <w:tr w:rsidR="00EE63AE" w:rsidRPr="006F16D5" w14:paraId="4ED7042C" w14:textId="77777777">
        <w:tc>
          <w:tcPr>
            <w:tcW w:w="2272" w:type="dxa"/>
            <w:shd w:val="clear" w:color="auto" w:fill="auto"/>
          </w:tcPr>
          <w:p w14:paraId="546AB674" w14:textId="0CB7AC47" w:rsidR="00574AA5" w:rsidRPr="006F16D5" w:rsidRDefault="009829CA">
            <w:pPr>
              <w:pStyle w:val="Table"/>
              <w:jc w:val="left"/>
              <w:rPr>
                <w:rFonts w:ascii="Calibri Light" w:hAnsi="Calibri Light" w:cs="Calibri Light"/>
                <w:b w:val="0"/>
                <w:bCs w:val="0"/>
                <w:color w:val="1F497D" w:themeColor="text2"/>
                <w:sz w:val="22"/>
                <w:szCs w:val="22"/>
              </w:rPr>
            </w:pPr>
            <w:bookmarkStart w:id="0" w:name="_Hlk93327414"/>
            <w:r w:rsidRPr="006F16D5">
              <w:rPr>
                <w:rFonts w:ascii="Calibri Light" w:hAnsi="Calibri Light" w:cs="Calibri Light"/>
                <w:b w:val="0"/>
                <w:bCs w:val="0"/>
                <w:color w:val="1F497D" w:themeColor="text2"/>
                <w:sz w:val="22"/>
                <w:szCs w:val="22"/>
              </w:rPr>
              <w:t>Title</w:t>
            </w:r>
          </w:p>
        </w:tc>
        <w:tc>
          <w:tcPr>
            <w:tcW w:w="6887" w:type="dxa"/>
            <w:shd w:val="clear" w:color="auto" w:fill="auto"/>
          </w:tcPr>
          <w:p w14:paraId="1CE66C57" w14:textId="58339640" w:rsidR="00574AA5" w:rsidRPr="006F16D5" w:rsidRDefault="00EE63AE">
            <w:pPr>
              <w:tabs>
                <w:tab w:val="left" w:pos="6840"/>
                <w:tab w:val="right" w:pos="9990"/>
              </w:tabs>
              <w:rPr>
                <w:rFonts w:ascii="Calibri Light" w:hAnsi="Calibri Light" w:cs="Calibri Light"/>
                <w:color w:val="000000" w:themeColor="text1"/>
                <w:szCs w:val="22"/>
              </w:rPr>
            </w:pPr>
            <w:r w:rsidRPr="006F16D5">
              <w:rPr>
                <w:rStyle w:val="TitleChar"/>
                <w:rFonts w:ascii="Calibri Light" w:hAnsi="Calibri Light" w:cs="Calibri Light"/>
                <w:b w:val="0"/>
                <w:color w:val="000000" w:themeColor="text1"/>
                <w:sz w:val="22"/>
                <w:szCs w:val="22"/>
              </w:rPr>
              <w:t>Business Continuity and Disaster Recovery Policy</w:t>
            </w:r>
          </w:p>
        </w:tc>
      </w:tr>
      <w:tr w:rsidR="00EE63AE" w:rsidRPr="006F16D5" w14:paraId="0365DF06" w14:textId="77777777">
        <w:trPr>
          <w:trHeight w:val="112"/>
        </w:trPr>
        <w:tc>
          <w:tcPr>
            <w:tcW w:w="2272" w:type="dxa"/>
            <w:shd w:val="clear" w:color="auto" w:fill="auto"/>
          </w:tcPr>
          <w:p w14:paraId="29C7D92A" w14:textId="7D58DB82" w:rsidR="00574AA5" w:rsidRPr="006F16D5" w:rsidRDefault="009829CA">
            <w:pPr>
              <w:pStyle w:val="Table"/>
              <w:jc w:val="left"/>
              <w:rPr>
                <w:rFonts w:ascii="Calibri Light" w:hAnsi="Calibri Light" w:cs="Calibri Light"/>
                <w:b w:val="0"/>
                <w:bCs w:val="0"/>
                <w:color w:val="1F497D" w:themeColor="text2"/>
                <w:sz w:val="22"/>
                <w:szCs w:val="22"/>
              </w:rPr>
            </w:pPr>
            <w:r w:rsidRPr="006F16D5">
              <w:rPr>
                <w:rFonts w:ascii="Calibri Light" w:hAnsi="Calibri Light" w:cs="Calibri Light"/>
                <w:b w:val="0"/>
                <w:bCs w:val="0"/>
                <w:color w:val="1F497D" w:themeColor="text2"/>
                <w:sz w:val="22"/>
                <w:szCs w:val="22"/>
              </w:rPr>
              <w:t>Version</w:t>
            </w:r>
          </w:p>
        </w:tc>
        <w:tc>
          <w:tcPr>
            <w:tcW w:w="6887" w:type="dxa"/>
            <w:shd w:val="clear" w:color="auto" w:fill="auto"/>
          </w:tcPr>
          <w:p w14:paraId="72E2D72D" w14:textId="25223597" w:rsidR="00574AA5" w:rsidRPr="006F16D5" w:rsidRDefault="009829CA">
            <w:pPr>
              <w:tabs>
                <w:tab w:val="left" w:pos="6840"/>
                <w:tab w:val="right" w:pos="9990"/>
              </w:tabs>
              <w:rPr>
                <w:rFonts w:ascii="Calibri Light" w:hAnsi="Calibri Light" w:cs="Calibri Light"/>
                <w:color w:val="000000" w:themeColor="text1"/>
                <w:szCs w:val="22"/>
              </w:rPr>
            </w:pPr>
            <w:r w:rsidRPr="006F16D5">
              <w:rPr>
                <w:rFonts w:ascii="Calibri Light" w:hAnsi="Calibri Light" w:cs="Calibri Light"/>
                <w:color w:val="000000" w:themeColor="text1"/>
                <w:szCs w:val="22"/>
              </w:rPr>
              <w:t>0.</w:t>
            </w:r>
            <w:r w:rsidR="00CB4F7E" w:rsidRPr="006F16D5">
              <w:rPr>
                <w:rFonts w:ascii="Calibri Light" w:hAnsi="Calibri Light" w:cs="Calibri Light"/>
                <w:color w:val="000000" w:themeColor="text1"/>
                <w:szCs w:val="22"/>
              </w:rPr>
              <w:t>1</w:t>
            </w:r>
            <w:r w:rsidRPr="006F16D5">
              <w:rPr>
                <w:rFonts w:ascii="Calibri Light" w:hAnsi="Calibri Light" w:cs="Calibri Light"/>
                <w:color w:val="000000" w:themeColor="text1"/>
                <w:szCs w:val="22"/>
              </w:rPr>
              <w:t xml:space="preserve"> </w:t>
            </w:r>
            <w:r w:rsidR="00626580" w:rsidRPr="006F16D5">
              <w:rPr>
                <w:rFonts w:ascii="Calibri Light" w:hAnsi="Calibri Light" w:cs="Calibri Light"/>
                <w:color w:val="000000" w:themeColor="text1"/>
                <w:szCs w:val="22"/>
              </w:rPr>
              <w:t>(</w:t>
            </w:r>
            <w:r w:rsidRPr="006F16D5">
              <w:rPr>
                <w:rFonts w:ascii="Calibri Light" w:hAnsi="Calibri Light" w:cs="Calibri Light"/>
                <w:color w:val="000000" w:themeColor="text1"/>
                <w:szCs w:val="22"/>
              </w:rPr>
              <w:t>Internal Review</w:t>
            </w:r>
            <w:r w:rsidR="00626580" w:rsidRPr="006F16D5">
              <w:rPr>
                <w:rFonts w:ascii="Calibri Light" w:hAnsi="Calibri Light" w:cs="Calibri Light"/>
                <w:color w:val="000000" w:themeColor="text1"/>
                <w:szCs w:val="22"/>
              </w:rPr>
              <w:t>)</w:t>
            </w:r>
          </w:p>
        </w:tc>
      </w:tr>
      <w:tr w:rsidR="00EE63AE" w:rsidRPr="006F16D5" w14:paraId="551A824E" w14:textId="77777777">
        <w:tc>
          <w:tcPr>
            <w:tcW w:w="2272" w:type="dxa"/>
            <w:shd w:val="clear" w:color="auto" w:fill="auto"/>
          </w:tcPr>
          <w:p w14:paraId="76299E73" w14:textId="3048DF06" w:rsidR="00574AA5" w:rsidRPr="006F16D5" w:rsidRDefault="009829CA">
            <w:pPr>
              <w:pStyle w:val="Table"/>
              <w:jc w:val="left"/>
              <w:rPr>
                <w:rFonts w:ascii="Calibri Light" w:hAnsi="Calibri Light" w:cs="Calibri Light"/>
                <w:b w:val="0"/>
                <w:bCs w:val="0"/>
                <w:color w:val="1F497D" w:themeColor="text2"/>
                <w:sz w:val="22"/>
                <w:szCs w:val="22"/>
              </w:rPr>
            </w:pPr>
            <w:r w:rsidRPr="006F16D5">
              <w:rPr>
                <w:rFonts w:ascii="Calibri Light" w:hAnsi="Calibri Light" w:cs="Calibri Light"/>
                <w:b w:val="0"/>
                <w:bCs w:val="0"/>
                <w:color w:val="1F497D" w:themeColor="text2"/>
                <w:sz w:val="22"/>
                <w:szCs w:val="22"/>
              </w:rPr>
              <w:t>Scope</w:t>
            </w:r>
          </w:p>
        </w:tc>
        <w:tc>
          <w:tcPr>
            <w:tcW w:w="6887" w:type="dxa"/>
            <w:shd w:val="clear" w:color="auto" w:fill="auto"/>
          </w:tcPr>
          <w:p w14:paraId="35B0A79A" w14:textId="3A7138EC" w:rsidR="00574AA5" w:rsidRPr="006F16D5" w:rsidRDefault="009C2224">
            <w:pPr>
              <w:tabs>
                <w:tab w:val="left" w:pos="6840"/>
                <w:tab w:val="right" w:pos="9990"/>
              </w:tabs>
              <w:rPr>
                <w:rFonts w:ascii="Calibri Light" w:hAnsi="Calibri Light" w:cs="Calibri Light"/>
                <w:color w:val="000000" w:themeColor="text1"/>
                <w:szCs w:val="22"/>
              </w:rPr>
            </w:pPr>
            <w:r w:rsidRPr="006F16D5">
              <w:rPr>
                <w:rFonts w:ascii="Calibri Light" w:hAnsi="Calibri Light" w:cs="Calibri Light"/>
                <w:color w:val="000000" w:themeColor="text1"/>
                <w:szCs w:val="22"/>
              </w:rPr>
              <w:t>ACME</w:t>
            </w:r>
            <w:r w:rsidR="009829CA" w:rsidRPr="006F16D5">
              <w:rPr>
                <w:rFonts w:ascii="Calibri Light" w:hAnsi="Calibri Light" w:cs="Calibri Light"/>
                <w:color w:val="000000" w:themeColor="text1"/>
                <w:szCs w:val="22"/>
              </w:rPr>
              <w:t xml:space="preserve"> Technical and Management Teams</w:t>
            </w:r>
          </w:p>
        </w:tc>
      </w:tr>
      <w:tr w:rsidR="00EE63AE" w:rsidRPr="006F16D5" w14:paraId="434C42C5" w14:textId="77777777">
        <w:tc>
          <w:tcPr>
            <w:tcW w:w="2272" w:type="dxa"/>
            <w:shd w:val="clear" w:color="auto" w:fill="auto"/>
          </w:tcPr>
          <w:p w14:paraId="7505CF7C" w14:textId="76A0BA40" w:rsidR="00574AA5" w:rsidRPr="006F16D5" w:rsidRDefault="009829CA">
            <w:pPr>
              <w:pStyle w:val="Table"/>
              <w:jc w:val="left"/>
              <w:rPr>
                <w:rFonts w:ascii="Calibri Light" w:hAnsi="Calibri Light" w:cs="Calibri Light"/>
                <w:b w:val="0"/>
                <w:bCs w:val="0"/>
                <w:color w:val="1F497D" w:themeColor="text2"/>
                <w:sz w:val="22"/>
                <w:szCs w:val="22"/>
              </w:rPr>
            </w:pPr>
            <w:r w:rsidRPr="006F16D5">
              <w:rPr>
                <w:rFonts w:ascii="Calibri Light" w:hAnsi="Calibri Light" w:cs="Calibri Light"/>
                <w:b w:val="0"/>
                <w:bCs w:val="0"/>
                <w:color w:val="1F497D" w:themeColor="text2"/>
                <w:sz w:val="22"/>
                <w:szCs w:val="22"/>
              </w:rPr>
              <w:t>Date Approved</w:t>
            </w:r>
          </w:p>
        </w:tc>
        <w:tc>
          <w:tcPr>
            <w:tcW w:w="6887" w:type="dxa"/>
            <w:shd w:val="clear" w:color="auto" w:fill="auto"/>
          </w:tcPr>
          <w:p w14:paraId="7AF5D07D" w14:textId="77777777" w:rsidR="00574AA5" w:rsidRPr="006F16D5" w:rsidRDefault="00574AA5">
            <w:pPr>
              <w:tabs>
                <w:tab w:val="left" w:pos="6840"/>
                <w:tab w:val="right" w:pos="9990"/>
              </w:tabs>
              <w:rPr>
                <w:rFonts w:ascii="Calibri Light" w:hAnsi="Calibri Light" w:cs="Calibri Light"/>
                <w:color w:val="000000" w:themeColor="text1"/>
                <w:szCs w:val="22"/>
              </w:rPr>
            </w:pPr>
          </w:p>
        </w:tc>
      </w:tr>
    </w:tbl>
    <w:p w14:paraId="5FAA670A" w14:textId="36E5872A" w:rsidR="00574AA5" w:rsidRPr="006F16D5" w:rsidRDefault="009829CA" w:rsidP="00AD496D">
      <w:pPr>
        <w:pStyle w:val="Heading1"/>
      </w:pPr>
      <w:bookmarkStart w:id="1" w:name="_Toc94002514"/>
      <w:bookmarkEnd w:id="0"/>
      <w:r w:rsidRPr="006F16D5">
        <w:t>Purpose</w:t>
      </w:r>
      <w:bookmarkEnd w:id="1"/>
    </w:p>
    <w:p w14:paraId="6CE74C3B" w14:textId="7D201124" w:rsidR="00EE63AE" w:rsidRPr="006F16D5" w:rsidRDefault="005072A6" w:rsidP="00EE63AE">
      <w:pPr>
        <w:spacing w:before="100" w:beforeAutospacing="1" w:after="100" w:afterAutospacing="1"/>
        <w:rPr>
          <w:rFonts w:ascii="Calibri Light" w:hAnsi="Calibri Light" w:cs="Calibri Light"/>
          <w:color w:val="000000" w:themeColor="text1"/>
          <w:szCs w:val="22"/>
        </w:rPr>
      </w:pPr>
      <w:bookmarkStart w:id="2" w:name="_Toc94002516"/>
      <w:r w:rsidRPr="006F16D5">
        <w:rPr>
          <w:rFonts w:ascii="Calibri Light" w:hAnsi="Calibri Light" w:cs="Calibri Light"/>
          <w:color w:val="000000" w:themeColor="text1"/>
          <w:szCs w:val="22"/>
        </w:rPr>
        <w:t>This policy outlines ACME's approach to managing business continuity and disaster recovery for critical processes and services to</w:t>
      </w:r>
      <w:r w:rsidR="00EE63AE" w:rsidRPr="006F16D5">
        <w:rPr>
          <w:rFonts w:ascii="Calibri Light" w:hAnsi="Calibri Light" w:cs="Calibri Light"/>
          <w:color w:val="000000" w:themeColor="text1"/>
          <w:szCs w:val="22"/>
        </w:rPr>
        <w:t>:</w:t>
      </w:r>
    </w:p>
    <w:p w14:paraId="00646D59" w14:textId="14F12C8E" w:rsidR="00EE63AE" w:rsidRPr="006F16D5" w:rsidRDefault="00EE63AE" w:rsidP="00EE63AE">
      <w:pPr>
        <w:numPr>
          <w:ilvl w:val="0"/>
          <w:numId w:val="2"/>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 xml:space="preserve">Effectively manage any incident that may cause a business disruption to </w:t>
      </w:r>
      <w:r w:rsidR="009C2224" w:rsidRPr="006F16D5">
        <w:rPr>
          <w:rFonts w:ascii="Calibri Light" w:hAnsi="Calibri Light" w:cs="Calibri Light"/>
          <w:color w:val="000000" w:themeColor="text1"/>
          <w:szCs w:val="22"/>
        </w:rPr>
        <w:t>ACME</w:t>
      </w:r>
      <w:r w:rsidRPr="006F16D5">
        <w:rPr>
          <w:rFonts w:ascii="Calibri Light" w:hAnsi="Calibri Light" w:cs="Calibri Light"/>
          <w:color w:val="000000" w:themeColor="text1"/>
          <w:szCs w:val="22"/>
        </w:rPr>
        <w:t>.</w:t>
      </w:r>
    </w:p>
    <w:p w14:paraId="27C390D4" w14:textId="56BA18E0" w:rsidR="00EE63AE" w:rsidRPr="006F16D5" w:rsidRDefault="00EE63AE" w:rsidP="00EE63AE">
      <w:pPr>
        <w:numPr>
          <w:ilvl w:val="0"/>
          <w:numId w:val="2"/>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 xml:space="preserve">Provide continuity of critical business processes and services managed by </w:t>
      </w:r>
      <w:r w:rsidR="009C2224" w:rsidRPr="006F16D5">
        <w:rPr>
          <w:rFonts w:ascii="Calibri Light" w:hAnsi="Calibri Light" w:cs="Calibri Light"/>
          <w:color w:val="000000" w:themeColor="text1"/>
          <w:szCs w:val="22"/>
        </w:rPr>
        <w:t>ACME</w:t>
      </w:r>
      <w:r w:rsidRPr="006F16D5">
        <w:rPr>
          <w:rFonts w:ascii="Calibri Light" w:hAnsi="Calibri Light" w:cs="Calibri Light"/>
          <w:color w:val="000000" w:themeColor="text1"/>
          <w:szCs w:val="22"/>
        </w:rPr>
        <w:t>.</w:t>
      </w:r>
    </w:p>
    <w:p w14:paraId="1497CFEA" w14:textId="46CAAE10" w:rsidR="00EE63AE" w:rsidRPr="006F16D5" w:rsidRDefault="00EE63AE" w:rsidP="00EE63AE">
      <w:pPr>
        <w:numPr>
          <w:ilvl w:val="0"/>
          <w:numId w:val="2"/>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 xml:space="preserve">Minimize the potential impact that any business disruption would have on </w:t>
      </w:r>
      <w:r w:rsidR="009C2224" w:rsidRPr="006F16D5">
        <w:rPr>
          <w:rFonts w:ascii="Calibri Light" w:hAnsi="Calibri Light" w:cs="Calibri Light"/>
          <w:color w:val="000000" w:themeColor="text1"/>
          <w:szCs w:val="22"/>
        </w:rPr>
        <w:t>ACME</w:t>
      </w:r>
      <w:r w:rsidRPr="006F16D5">
        <w:rPr>
          <w:rFonts w:ascii="Calibri Light" w:hAnsi="Calibri Light" w:cs="Calibri Light"/>
          <w:color w:val="000000" w:themeColor="text1"/>
          <w:szCs w:val="22"/>
        </w:rPr>
        <w:t xml:space="preserve"> and its reputation.</w:t>
      </w:r>
    </w:p>
    <w:p w14:paraId="593DCFA1" w14:textId="77777777" w:rsidR="00574AA5" w:rsidRPr="006F16D5" w:rsidRDefault="009829CA" w:rsidP="00AD496D">
      <w:pPr>
        <w:pStyle w:val="Heading1"/>
        <w:rPr>
          <w:rStyle w:val="Strong"/>
          <w:color w:val="000000" w:themeColor="text1"/>
        </w:rPr>
      </w:pPr>
      <w:r w:rsidRPr="006F16D5">
        <w:t>Definitions</w:t>
      </w:r>
      <w:bookmarkEnd w:id="2"/>
    </w:p>
    <w:p w14:paraId="620E67BE" w14:textId="77777777" w:rsidR="00EE63AE" w:rsidRPr="006F16D5" w:rsidRDefault="00EE63AE" w:rsidP="005E785A">
      <w:pPr>
        <w:spacing w:before="100" w:beforeAutospacing="1" w:after="100" w:afterAutospacing="1"/>
        <w:ind w:left="360"/>
        <w:rPr>
          <w:rFonts w:ascii="Calibri Light" w:hAnsi="Calibri Light" w:cs="Calibri Light"/>
          <w:color w:val="000000" w:themeColor="text1"/>
          <w:szCs w:val="22"/>
        </w:rPr>
      </w:pPr>
      <w:bookmarkStart w:id="3" w:name="_Toc94002517"/>
      <w:r w:rsidRPr="006F16D5">
        <w:rPr>
          <w:rFonts w:ascii="Calibri Light" w:hAnsi="Calibri Light" w:cs="Calibri Light"/>
          <w:color w:val="000000" w:themeColor="text1"/>
          <w:szCs w:val="22"/>
        </w:rPr>
        <w:t>BIA - Business Impact Analysis (BIA) predicts the consequences of disrupting a business function and process and gathers information needed to develop recovery strategies.</w:t>
      </w:r>
    </w:p>
    <w:p w14:paraId="5DAEDE28" w14:textId="77777777" w:rsidR="00EE63AE" w:rsidRPr="006F16D5" w:rsidRDefault="00EE63AE" w:rsidP="005E785A">
      <w:pPr>
        <w:spacing w:before="100" w:beforeAutospacing="1" w:after="100" w:afterAutospacing="1"/>
        <w:ind w:left="360"/>
        <w:rPr>
          <w:rFonts w:ascii="Calibri Light" w:hAnsi="Calibri Light" w:cs="Calibri Light"/>
          <w:color w:val="000000" w:themeColor="text1"/>
          <w:szCs w:val="22"/>
        </w:rPr>
      </w:pPr>
      <w:r w:rsidRPr="006F16D5">
        <w:rPr>
          <w:rFonts w:ascii="Calibri Light" w:hAnsi="Calibri Light" w:cs="Calibri Light"/>
          <w:color w:val="000000" w:themeColor="text1"/>
          <w:szCs w:val="22"/>
        </w:rPr>
        <w:t>BCP - Business Continuity Planning is concerned with keeping business operations running, perhaps in another location or using alternative tools and processes following a disruption.</w:t>
      </w:r>
    </w:p>
    <w:p w14:paraId="188D8138" w14:textId="1807A78D" w:rsidR="00EE63AE" w:rsidRPr="006F16D5" w:rsidRDefault="00EE63AE" w:rsidP="005E785A">
      <w:pPr>
        <w:spacing w:before="100" w:beforeAutospacing="1" w:after="100" w:afterAutospacing="1"/>
        <w:ind w:left="360"/>
        <w:rPr>
          <w:rFonts w:ascii="Calibri Light" w:hAnsi="Calibri Light" w:cs="Calibri Light"/>
          <w:color w:val="000000" w:themeColor="text1"/>
          <w:szCs w:val="22"/>
        </w:rPr>
      </w:pPr>
      <w:r w:rsidRPr="006F16D5">
        <w:rPr>
          <w:rFonts w:ascii="Calibri Light" w:hAnsi="Calibri Light" w:cs="Calibri Light"/>
          <w:color w:val="000000" w:themeColor="text1"/>
          <w:szCs w:val="22"/>
        </w:rPr>
        <w:t>DRP - Disaster Recovery Planning is concerned with restoring normal business operations after a disaster</w:t>
      </w:r>
      <w:r w:rsidR="00FF4983" w:rsidRPr="006F16D5">
        <w:rPr>
          <w:rFonts w:ascii="Calibri Light" w:hAnsi="Calibri Light" w:cs="Calibri Light"/>
          <w:color w:val="000000" w:themeColor="text1"/>
          <w:szCs w:val="22"/>
        </w:rPr>
        <w:t>.</w:t>
      </w:r>
    </w:p>
    <w:p w14:paraId="048FFE63" w14:textId="77777777" w:rsidR="00FF4983" w:rsidRPr="006F16D5" w:rsidRDefault="00FF4983" w:rsidP="00FF4983">
      <w:pPr>
        <w:spacing w:before="100" w:beforeAutospacing="1" w:after="100" w:afterAutospacing="1"/>
        <w:ind w:left="360"/>
        <w:rPr>
          <w:rFonts w:ascii="Calibri Light" w:hAnsi="Calibri Light" w:cs="Calibri Light"/>
          <w:color w:val="000000" w:themeColor="text1"/>
          <w:szCs w:val="22"/>
        </w:rPr>
      </w:pPr>
      <w:r w:rsidRPr="006F16D5">
        <w:rPr>
          <w:rFonts w:ascii="Calibri Light" w:hAnsi="Calibri Light" w:cs="Calibri Light"/>
          <w:color w:val="000000" w:themeColor="text1"/>
          <w:szCs w:val="22"/>
        </w:rPr>
        <w:t>RTO - RTO refers to the maximum amount of time that a business process, system, or application can be down or unavailable after a disruption or disaster before it starts to cause significant damage to the business. It’s essentially the deadline for getting things back up and running to avoid serious consequences.</w:t>
      </w:r>
    </w:p>
    <w:p w14:paraId="1A9E1789" w14:textId="48496A0C" w:rsidR="00FF4983" w:rsidRPr="006F16D5" w:rsidRDefault="00FF4983" w:rsidP="005E785A">
      <w:pPr>
        <w:spacing w:before="100" w:beforeAutospacing="1" w:after="100" w:afterAutospacing="1"/>
        <w:ind w:left="360"/>
        <w:rPr>
          <w:rFonts w:ascii="Calibri Light" w:hAnsi="Calibri Light" w:cs="Calibri Light"/>
          <w:color w:val="000000" w:themeColor="text1"/>
          <w:szCs w:val="22"/>
        </w:rPr>
      </w:pPr>
      <w:r w:rsidRPr="006F16D5">
        <w:rPr>
          <w:rFonts w:ascii="Calibri Light" w:hAnsi="Calibri Light" w:cs="Calibri Light"/>
          <w:color w:val="000000" w:themeColor="text1"/>
          <w:szCs w:val="22"/>
        </w:rPr>
        <w:t>RPO - RPO represents the maximum amount of data that your business can afford to lose during a disruption or disaster, measured in time. It answers the question, "How much data can we lose and still operate effectively?" The RPO helps determine how frequently data backups should be made.</w:t>
      </w:r>
    </w:p>
    <w:p w14:paraId="6B042866" w14:textId="5D2D9DBC" w:rsidR="00626580" w:rsidRPr="006F16D5" w:rsidRDefault="00626580" w:rsidP="005E785A">
      <w:pPr>
        <w:spacing w:before="100" w:beforeAutospacing="1" w:after="100" w:afterAutospacing="1"/>
        <w:ind w:left="360"/>
        <w:rPr>
          <w:rFonts w:ascii="Calibri Light" w:hAnsi="Calibri Light" w:cs="Calibri Light"/>
          <w:color w:val="000000" w:themeColor="text1"/>
          <w:szCs w:val="22"/>
        </w:rPr>
      </w:pPr>
      <w:r w:rsidRPr="006F16D5">
        <w:rPr>
          <w:rFonts w:ascii="Calibri Light" w:hAnsi="Calibri Light" w:cs="Calibri Light"/>
          <w:color w:val="000000" w:themeColor="text1"/>
          <w:szCs w:val="22"/>
        </w:rPr>
        <w:t xml:space="preserve">Tier - A "Tier" is a classification level assigned to systems, applications, or business processes based on their criticality to the organization and the potential impact on the business in the event of their failure or unavailability. Tiers are used to prioritize recovery efforts and resources during a disaster or business disruption. The classification helps to ensure that the most critical systems are recovered first to minimize business impact. </w:t>
      </w:r>
      <w:r w:rsidR="009C2224" w:rsidRPr="006F16D5">
        <w:rPr>
          <w:rFonts w:ascii="Calibri Light" w:hAnsi="Calibri Light" w:cs="Calibri Light"/>
          <w:color w:val="000000" w:themeColor="text1"/>
          <w:szCs w:val="22"/>
        </w:rPr>
        <w:t>ACME</w:t>
      </w:r>
      <w:r w:rsidRPr="006F16D5">
        <w:rPr>
          <w:rFonts w:ascii="Calibri Light" w:hAnsi="Calibri Light" w:cs="Calibri Light"/>
          <w:color w:val="000000" w:themeColor="text1"/>
          <w:szCs w:val="22"/>
        </w:rPr>
        <w:t xml:space="preserve"> recognizes the following tiers of systems within its environment:</w:t>
      </w:r>
    </w:p>
    <w:p w14:paraId="02B69190" w14:textId="068BD293" w:rsidR="00FF4983" w:rsidRPr="006F16D5" w:rsidRDefault="00FF4983">
      <w:pPr>
        <w:rPr>
          <w:rFonts w:ascii="Calibri Light" w:hAnsi="Calibri Light" w:cs="Calibri Light"/>
          <w:color w:val="000000" w:themeColor="text1"/>
          <w:szCs w:val="22"/>
        </w:rPr>
      </w:pPr>
      <w:r w:rsidRPr="006F16D5">
        <w:rPr>
          <w:rFonts w:ascii="Calibri Light" w:hAnsi="Calibri Light" w:cs="Calibri Light"/>
          <w:color w:val="000000" w:themeColor="text1"/>
          <w:szCs w:val="22"/>
        </w:rPr>
        <w:br w:type="page"/>
      </w:r>
    </w:p>
    <w:p w14:paraId="3D1A003C" w14:textId="77777777" w:rsidR="00626580" w:rsidRPr="006F16D5" w:rsidRDefault="00626580" w:rsidP="005E785A">
      <w:pPr>
        <w:spacing w:before="100" w:beforeAutospacing="1" w:after="100" w:afterAutospacing="1"/>
        <w:ind w:left="360"/>
        <w:rPr>
          <w:rFonts w:ascii="Calibri Light" w:hAnsi="Calibri Light" w:cs="Calibri Light"/>
          <w:color w:val="000000" w:themeColor="text1"/>
          <w:szCs w:val="22"/>
        </w:rPr>
      </w:pPr>
    </w:p>
    <w:tbl>
      <w:tblPr>
        <w:tblStyle w:val="TableGrid"/>
        <w:tblW w:w="9355" w:type="dxa"/>
        <w:tblInd w:w="360" w:type="dxa"/>
        <w:tblLook w:val="04A0" w:firstRow="1" w:lastRow="0" w:firstColumn="1" w:lastColumn="0" w:noHBand="0" w:noVBand="1"/>
      </w:tblPr>
      <w:tblGrid>
        <w:gridCol w:w="895"/>
        <w:gridCol w:w="6750"/>
        <w:gridCol w:w="1710"/>
      </w:tblGrid>
      <w:tr w:rsidR="00626580" w:rsidRPr="006F16D5" w14:paraId="78BD4B45" w14:textId="77777777" w:rsidTr="00FF4983">
        <w:tc>
          <w:tcPr>
            <w:tcW w:w="895" w:type="dxa"/>
            <w:shd w:val="clear" w:color="auto" w:fill="1F497D" w:themeFill="text2"/>
          </w:tcPr>
          <w:p w14:paraId="5558F019" w14:textId="6CBAE433" w:rsidR="00626580" w:rsidRPr="006F16D5" w:rsidRDefault="00626580" w:rsidP="00FF4983">
            <w:pPr>
              <w:spacing w:before="100" w:beforeAutospacing="1" w:after="100" w:afterAutospacing="1"/>
              <w:jc w:val="center"/>
              <w:rPr>
                <w:rFonts w:ascii="Calibri Light" w:hAnsi="Calibri Light" w:cs="Calibri Light"/>
                <w:color w:val="FFFFFF" w:themeColor="background1"/>
                <w:szCs w:val="22"/>
              </w:rPr>
            </w:pPr>
            <w:r w:rsidRPr="006F16D5">
              <w:rPr>
                <w:rFonts w:ascii="Calibri Light" w:hAnsi="Calibri Light" w:cs="Calibri Light"/>
                <w:color w:val="FFFFFF" w:themeColor="background1"/>
                <w:szCs w:val="22"/>
              </w:rPr>
              <w:t>Tier</w:t>
            </w:r>
          </w:p>
        </w:tc>
        <w:tc>
          <w:tcPr>
            <w:tcW w:w="6750" w:type="dxa"/>
            <w:shd w:val="clear" w:color="auto" w:fill="1F497D" w:themeFill="text2"/>
          </w:tcPr>
          <w:p w14:paraId="4FFFDB5A" w14:textId="007E743C" w:rsidR="00626580" w:rsidRPr="006F16D5" w:rsidRDefault="00626580" w:rsidP="00FF4983">
            <w:pPr>
              <w:spacing w:before="100" w:beforeAutospacing="1" w:after="100" w:afterAutospacing="1"/>
              <w:jc w:val="center"/>
              <w:rPr>
                <w:rFonts w:ascii="Calibri Light" w:hAnsi="Calibri Light" w:cs="Calibri Light"/>
                <w:color w:val="FFFFFF" w:themeColor="background1"/>
                <w:szCs w:val="22"/>
              </w:rPr>
            </w:pPr>
            <w:r w:rsidRPr="006F16D5">
              <w:rPr>
                <w:rFonts w:ascii="Calibri Light" w:hAnsi="Calibri Light" w:cs="Calibri Light"/>
                <w:color w:val="FFFFFF" w:themeColor="background1"/>
                <w:szCs w:val="22"/>
              </w:rPr>
              <w:t>Definition</w:t>
            </w:r>
          </w:p>
        </w:tc>
        <w:tc>
          <w:tcPr>
            <w:tcW w:w="1710" w:type="dxa"/>
            <w:shd w:val="clear" w:color="auto" w:fill="1F497D" w:themeFill="text2"/>
          </w:tcPr>
          <w:p w14:paraId="258EF798" w14:textId="4B25D666" w:rsidR="00626580" w:rsidRPr="006F16D5" w:rsidRDefault="00FF4983" w:rsidP="00FF4983">
            <w:pPr>
              <w:spacing w:before="100" w:beforeAutospacing="1" w:after="100" w:afterAutospacing="1"/>
              <w:jc w:val="center"/>
              <w:rPr>
                <w:rFonts w:ascii="Calibri Light" w:hAnsi="Calibri Light" w:cs="Calibri Light"/>
                <w:color w:val="FFFFFF" w:themeColor="background1"/>
                <w:szCs w:val="22"/>
              </w:rPr>
            </w:pPr>
            <w:r w:rsidRPr="006F16D5">
              <w:rPr>
                <w:rFonts w:ascii="Calibri Light" w:hAnsi="Calibri Light" w:cs="Calibri Light"/>
                <w:color w:val="FFFFFF" w:themeColor="background1"/>
                <w:szCs w:val="22"/>
              </w:rPr>
              <w:t>RTO/RPO</w:t>
            </w:r>
          </w:p>
        </w:tc>
      </w:tr>
      <w:tr w:rsidR="00626580" w:rsidRPr="006F16D5" w14:paraId="079A0D4B" w14:textId="77777777" w:rsidTr="00FF4983">
        <w:tc>
          <w:tcPr>
            <w:tcW w:w="895" w:type="dxa"/>
          </w:tcPr>
          <w:p w14:paraId="10FD9A18" w14:textId="7D22B8AB"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Tier 1</w:t>
            </w:r>
          </w:p>
        </w:tc>
        <w:tc>
          <w:tcPr>
            <w:tcW w:w="6750" w:type="dxa"/>
          </w:tcPr>
          <w:p w14:paraId="6C0D4024" w14:textId="2D29CC23"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Systems or processes that are essential to the core operations of the business. Their failure would cause an immediate and severe impact on the organization, potentially leading to significant financial loss, legal or regulatory penalties, or damage to the organization's reputation.</w:t>
            </w:r>
          </w:p>
        </w:tc>
        <w:tc>
          <w:tcPr>
            <w:tcW w:w="1710" w:type="dxa"/>
          </w:tcPr>
          <w:p w14:paraId="542070B7" w14:textId="29EFA10F"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RTO = 1 hours</w:t>
            </w:r>
          </w:p>
          <w:p w14:paraId="53629279" w14:textId="21AE792E" w:rsidR="00FF4983"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RPO = 1 hours</w:t>
            </w:r>
          </w:p>
        </w:tc>
      </w:tr>
      <w:tr w:rsidR="00626580" w:rsidRPr="006F16D5" w14:paraId="23BC3F25" w14:textId="77777777" w:rsidTr="00FF4983">
        <w:tc>
          <w:tcPr>
            <w:tcW w:w="895" w:type="dxa"/>
          </w:tcPr>
          <w:p w14:paraId="3BFCA7D9" w14:textId="7949E2D4"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Tier 2</w:t>
            </w:r>
          </w:p>
        </w:tc>
        <w:tc>
          <w:tcPr>
            <w:tcW w:w="6750" w:type="dxa"/>
          </w:tcPr>
          <w:p w14:paraId="66C0131C" w14:textId="13CE0A4E"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Systems or processes that are very important to the business but can tolerate a short period of downtime without causing severe disruption. While their failure would be problematic, it would not have the same immediate impact as Tier 1 systems.</w:t>
            </w:r>
          </w:p>
        </w:tc>
        <w:tc>
          <w:tcPr>
            <w:tcW w:w="1710" w:type="dxa"/>
          </w:tcPr>
          <w:p w14:paraId="3295CC87" w14:textId="3D6B9EB8"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RTO = 4 hours</w:t>
            </w:r>
          </w:p>
          <w:p w14:paraId="71AA0CDC" w14:textId="64B4DDD8" w:rsidR="00FF4983"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RPO = 4 hours</w:t>
            </w:r>
          </w:p>
        </w:tc>
      </w:tr>
      <w:tr w:rsidR="00626580" w:rsidRPr="006F16D5" w14:paraId="6A4E9DB4" w14:textId="77777777" w:rsidTr="00FF4983">
        <w:tc>
          <w:tcPr>
            <w:tcW w:w="895" w:type="dxa"/>
          </w:tcPr>
          <w:p w14:paraId="07CF4596" w14:textId="54784316"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Tier 3</w:t>
            </w:r>
          </w:p>
        </w:tc>
        <w:tc>
          <w:tcPr>
            <w:tcW w:w="6750" w:type="dxa"/>
          </w:tcPr>
          <w:p w14:paraId="35AD487C" w14:textId="51794D5E"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Systems or processes that are important to the business but can withstand longer periods of downtime with manageable impact. These systems are necessary for day-to-day operations but do not directly support mission-critical functions.</w:t>
            </w:r>
          </w:p>
        </w:tc>
        <w:tc>
          <w:tcPr>
            <w:tcW w:w="1710" w:type="dxa"/>
          </w:tcPr>
          <w:p w14:paraId="04751A08" w14:textId="57F5BF3B" w:rsidR="00626580"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RTO = 24 hours</w:t>
            </w:r>
          </w:p>
          <w:p w14:paraId="53C29157" w14:textId="78A8A259" w:rsidR="00FF4983" w:rsidRPr="006F16D5" w:rsidRDefault="00FF4983" w:rsidP="005E785A">
            <w:p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RPO = 24 hours</w:t>
            </w:r>
          </w:p>
        </w:tc>
      </w:tr>
    </w:tbl>
    <w:p w14:paraId="260F40C0" w14:textId="77777777" w:rsidR="00626580" w:rsidRPr="006F16D5" w:rsidRDefault="00626580" w:rsidP="005E785A">
      <w:pPr>
        <w:spacing w:before="100" w:beforeAutospacing="1" w:after="100" w:afterAutospacing="1"/>
        <w:ind w:left="360"/>
        <w:rPr>
          <w:rFonts w:ascii="Calibri Light" w:hAnsi="Calibri Light" w:cs="Calibri Light"/>
          <w:color w:val="000000" w:themeColor="text1"/>
          <w:szCs w:val="22"/>
        </w:rPr>
      </w:pPr>
    </w:p>
    <w:p w14:paraId="2D1CAB42" w14:textId="77777777" w:rsidR="00574AA5" w:rsidRPr="006F16D5" w:rsidRDefault="009829CA" w:rsidP="00AD496D">
      <w:pPr>
        <w:pStyle w:val="Heading1"/>
      </w:pPr>
      <w:r w:rsidRPr="006F16D5">
        <w:t>Policy</w:t>
      </w:r>
      <w:bookmarkEnd w:id="3"/>
    </w:p>
    <w:p w14:paraId="3312F1C7" w14:textId="29755F63" w:rsidR="00EE63AE" w:rsidRPr="006F16D5" w:rsidRDefault="00EE63AE" w:rsidP="005E785A">
      <w:pPr>
        <w:spacing w:before="100" w:beforeAutospacing="1" w:after="100" w:afterAutospacing="1"/>
        <w:ind w:firstLine="360"/>
        <w:rPr>
          <w:rFonts w:ascii="Calibri Light" w:hAnsi="Calibri Light" w:cs="Calibri Light"/>
          <w:color w:val="1F497D" w:themeColor="text2"/>
          <w:szCs w:val="22"/>
        </w:rPr>
      </w:pPr>
      <w:r w:rsidRPr="006F16D5">
        <w:rPr>
          <w:rFonts w:ascii="Calibri Light" w:hAnsi="Calibri Light" w:cs="Calibri Light"/>
          <w:color w:val="1F497D" w:themeColor="text2"/>
          <w:szCs w:val="22"/>
        </w:rPr>
        <w:t>Business Impact Analysis (BIA)</w:t>
      </w:r>
    </w:p>
    <w:p w14:paraId="78D23D7A" w14:textId="2B1930F1" w:rsidR="00EE63AE" w:rsidRPr="006F16D5" w:rsidRDefault="009C2224" w:rsidP="00EE63AE">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ACME</w:t>
      </w:r>
      <w:r w:rsidR="00EE63AE" w:rsidRPr="006F16D5">
        <w:rPr>
          <w:rFonts w:ascii="Calibri Light" w:hAnsi="Calibri Light" w:cs="Calibri Light"/>
          <w:color w:val="000000" w:themeColor="text1"/>
          <w:szCs w:val="22"/>
        </w:rPr>
        <w:t xml:space="preserve"> shall maintain a Business Impact Analysis (BIA) Process</w:t>
      </w:r>
      <w:r w:rsidR="007B613B" w:rsidRPr="006F16D5">
        <w:rPr>
          <w:rFonts w:ascii="Calibri Light" w:hAnsi="Calibri Light" w:cs="Calibri Light"/>
          <w:color w:val="000000" w:themeColor="text1"/>
          <w:szCs w:val="22"/>
        </w:rPr>
        <w:t>,</w:t>
      </w:r>
      <w:r w:rsidR="00EE63AE" w:rsidRPr="006F16D5">
        <w:rPr>
          <w:rFonts w:ascii="Calibri Light" w:hAnsi="Calibri Light" w:cs="Calibri Light"/>
          <w:color w:val="000000" w:themeColor="text1"/>
          <w:szCs w:val="22"/>
        </w:rPr>
        <w:t xml:space="preserve"> which will be exercised periodically based on material changes to essential business technologies.</w:t>
      </w:r>
    </w:p>
    <w:p w14:paraId="348D5786" w14:textId="719F6223" w:rsidR="00EE63AE" w:rsidRPr="006F16D5" w:rsidRDefault="005072A6" w:rsidP="00EE63AE">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BIA process will quantify the impact of business process unavailability, expressed in terms of Maximum Tolerable Downtime (MTD), Recovery Time Objective (RTO), and Recovery Point Objective (RPO)</w:t>
      </w:r>
      <w:r w:rsidR="00FF4983" w:rsidRPr="006F16D5">
        <w:rPr>
          <w:rFonts w:ascii="Calibri Light" w:hAnsi="Calibri Light" w:cs="Calibri Light"/>
          <w:color w:val="000000" w:themeColor="text1"/>
          <w:szCs w:val="22"/>
        </w:rPr>
        <w:t>.</w:t>
      </w:r>
      <w:r w:rsidR="00EE63AE" w:rsidRPr="006F16D5">
        <w:rPr>
          <w:rFonts w:ascii="Calibri Light" w:hAnsi="Calibri Light" w:cs="Calibri Light"/>
          <w:color w:val="000000" w:themeColor="text1"/>
          <w:szCs w:val="22"/>
        </w:rPr>
        <w:t xml:space="preserve"> The output of this activity should be used to determine business continuity priorities and requirements. At a minimum, the following should be considered in the business impact analysis exercise: </w:t>
      </w:r>
    </w:p>
    <w:p w14:paraId="1F5A18E5" w14:textId="3735BBAB" w:rsidR="00CC7767" w:rsidRPr="006F16D5" w:rsidRDefault="00CC7767" w:rsidP="00CC7767">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BIA will determine which systems are essential to a given business process.</w:t>
      </w:r>
    </w:p>
    <w:p w14:paraId="379154D7" w14:textId="15E1DBAD" w:rsidR="00CC7767" w:rsidRPr="006F16D5" w:rsidRDefault="00CC7767" w:rsidP="00CC7767">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Systems will inherit its ‘Tier’ from the most critical business process it supports. For instance, if a database server ‘mssql01’ supports business process ‘a’</w:t>
      </w:r>
      <w:r w:rsidR="007B613B" w:rsidRPr="006F16D5">
        <w:rPr>
          <w:rFonts w:ascii="Calibri Light" w:hAnsi="Calibri Light" w:cs="Calibri Light"/>
          <w:color w:val="000000" w:themeColor="text1"/>
          <w:szCs w:val="22"/>
        </w:rPr>
        <w:t>, which is a Tier 3 process, and business process ‘b’, which,</w:t>
      </w:r>
      <w:r w:rsidRPr="006F16D5">
        <w:rPr>
          <w:rFonts w:ascii="Calibri Light" w:hAnsi="Calibri Light" w:cs="Calibri Light"/>
          <w:color w:val="000000" w:themeColor="text1"/>
          <w:szCs w:val="22"/>
        </w:rPr>
        <w:t xml:space="preserve"> is a Tier 1 process, ‘mssql01’ will be classified as a ‘Tier 1’ system.  </w:t>
      </w:r>
    </w:p>
    <w:p w14:paraId="55E7934E" w14:textId="2D7E6956" w:rsidR="00CC7767" w:rsidRPr="006F16D5" w:rsidRDefault="005072A6" w:rsidP="00CC7767">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BIA will include a ‘System Risk Analysis’ to evaluate cyber and operational risks, producing a risk score for each system categorized as Tier 3 or lower</w:t>
      </w:r>
      <w:r w:rsidR="00CC7767" w:rsidRPr="006F16D5">
        <w:rPr>
          <w:rFonts w:ascii="Calibri Light" w:hAnsi="Calibri Light" w:cs="Calibri Light"/>
          <w:color w:val="000000" w:themeColor="text1"/>
          <w:szCs w:val="22"/>
        </w:rPr>
        <w:t>.</w:t>
      </w:r>
    </w:p>
    <w:p w14:paraId="300AF213" w14:textId="77777777" w:rsidR="00CC7767" w:rsidRPr="006F16D5" w:rsidRDefault="00CC7767" w:rsidP="00CC7767">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BIA will map the minimum acceptable standards for each category of risk mitigation strategy on a per-tier basis. For example, determining that implementing ‘highly available systems’ is a requirement for a system integral to a Tier 1 business process.</w:t>
      </w:r>
    </w:p>
    <w:p w14:paraId="6B0824BA" w14:textId="77777777" w:rsidR="007B613B" w:rsidRPr="006F16D5" w:rsidRDefault="007B613B" w:rsidP="00CC7767">
      <w:pPr>
        <w:numPr>
          <w:ilvl w:val="0"/>
          <w:numId w:val="4"/>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 xml:space="preserve">Systems within a given tier, that have risk scores that indicate a failure to meet the requirements of that tier will be put on a remediation plan. </w:t>
      </w:r>
    </w:p>
    <w:p w14:paraId="5AD91AD7" w14:textId="75E4B7EE" w:rsidR="007B613B" w:rsidRPr="006F16D5" w:rsidRDefault="007B613B">
      <w:pPr>
        <w:rPr>
          <w:rFonts w:ascii="Calibri Light" w:hAnsi="Calibri Light" w:cs="Calibri Light"/>
          <w:color w:val="000000" w:themeColor="text1"/>
          <w:szCs w:val="22"/>
        </w:rPr>
      </w:pPr>
      <w:r w:rsidRPr="006F16D5">
        <w:rPr>
          <w:rFonts w:ascii="Calibri Light" w:hAnsi="Calibri Light" w:cs="Calibri Light"/>
          <w:color w:val="000000" w:themeColor="text1"/>
          <w:szCs w:val="22"/>
        </w:rPr>
        <w:br w:type="page"/>
      </w:r>
    </w:p>
    <w:p w14:paraId="627123CA" w14:textId="77777777" w:rsidR="00CC7767" w:rsidRPr="006F16D5" w:rsidRDefault="00CC7767" w:rsidP="00CC7767">
      <w:pPr>
        <w:spacing w:before="100" w:beforeAutospacing="1" w:after="100" w:afterAutospacing="1"/>
        <w:ind w:left="720"/>
        <w:rPr>
          <w:rFonts w:ascii="Calibri Light" w:hAnsi="Calibri Light" w:cs="Calibri Light"/>
          <w:color w:val="000000" w:themeColor="text1"/>
          <w:szCs w:val="22"/>
        </w:rPr>
      </w:pPr>
    </w:p>
    <w:p w14:paraId="4A565307" w14:textId="7415CECB" w:rsidR="00EE63AE" w:rsidRPr="006F16D5" w:rsidRDefault="00EE63AE" w:rsidP="005E785A">
      <w:pPr>
        <w:spacing w:before="100" w:beforeAutospacing="1" w:after="100" w:afterAutospacing="1"/>
        <w:ind w:firstLine="360"/>
        <w:rPr>
          <w:rFonts w:ascii="Calibri Light" w:hAnsi="Calibri Light" w:cs="Calibri Light"/>
          <w:color w:val="1F497D" w:themeColor="text2"/>
          <w:szCs w:val="22"/>
        </w:rPr>
      </w:pPr>
      <w:r w:rsidRPr="006F16D5">
        <w:rPr>
          <w:rFonts w:ascii="Calibri Light" w:hAnsi="Calibri Light" w:cs="Calibri Light"/>
          <w:color w:val="1F497D" w:themeColor="text2"/>
          <w:szCs w:val="22"/>
        </w:rPr>
        <w:t>Business Continuity Planning (BCP)</w:t>
      </w:r>
    </w:p>
    <w:p w14:paraId="6CBC079C" w14:textId="7FA3BA8C" w:rsidR="00EE63AE" w:rsidRPr="006F16D5" w:rsidRDefault="009C2224"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ACME</w:t>
      </w:r>
      <w:r w:rsidR="00EE63AE" w:rsidRPr="006F16D5">
        <w:rPr>
          <w:rFonts w:ascii="Calibri Light" w:hAnsi="Calibri Light" w:cs="Calibri Light"/>
          <w:color w:val="000000" w:themeColor="text1"/>
          <w:szCs w:val="22"/>
        </w:rPr>
        <w:t xml:space="preserve"> shall maintain a Business Continuity (BCP) that is informed by the BIA.</w:t>
      </w:r>
    </w:p>
    <w:p w14:paraId="506F4A15" w14:textId="6120A995" w:rsidR="007B613B" w:rsidRPr="006F16D5" w:rsidRDefault="009C2224" w:rsidP="007B613B">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ACME</w:t>
      </w:r>
      <w:r w:rsidR="007B613B" w:rsidRPr="006F16D5">
        <w:rPr>
          <w:rFonts w:ascii="Calibri Light" w:hAnsi="Calibri Light" w:cs="Calibri Light"/>
          <w:color w:val="000000" w:themeColor="text1"/>
          <w:szCs w:val="22"/>
        </w:rPr>
        <w:t xml:space="preserve"> will exercise backup validation exercises according to a yearly calendar that systematically verify that the RPO and RTO of critical business processes are, in fact, attainable.</w:t>
      </w:r>
    </w:p>
    <w:p w14:paraId="047CE43C" w14:textId="00CC6E00" w:rsidR="00EE63AE" w:rsidRPr="006F16D5" w:rsidRDefault="005072A6"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BCP will address disruptions affecting day-to-day operations without compromising infrastructure integrity</w:t>
      </w:r>
      <w:r w:rsidR="00EE63AE" w:rsidRPr="006F16D5">
        <w:rPr>
          <w:rFonts w:ascii="Calibri Light" w:hAnsi="Calibri Light" w:cs="Calibri Light"/>
          <w:color w:val="000000" w:themeColor="text1"/>
          <w:szCs w:val="22"/>
        </w:rPr>
        <w:t>.</w:t>
      </w:r>
    </w:p>
    <w:p w14:paraId="0222CEC7" w14:textId="640820FC" w:rsidR="00EE63AE" w:rsidRPr="006F16D5" w:rsidRDefault="00EE63AE"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shd w:val="clear" w:color="auto" w:fill="F7F7F8"/>
        </w:rPr>
        <w:t xml:space="preserve">Contracts with essential third-party suppliers will be assessed based on their impact on </w:t>
      </w:r>
      <w:r w:rsidR="009C2224" w:rsidRPr="006F16D5">
        <w:rPr>
          <w:rFonts w:ascii="Calibri Light" w:hAnsi="Calibri Light" w:cs="Calibri Light"/>
          <w:color w:val="000000" w:themeColor="text1"/>
          <w:szCs w:val="22"/>
          <w:shd w:val="clear" w:color="auto" w:fill="F7F7F8"/>
        </w:rPr>
        <w:t>ACME</w:t>
      </w:r>
      <w:r w:rsidRPr="006F16D5">
        <w:rPr>
          <w:rFonts w:ascii="Calibri Light" w:hAnsi="Calibri Light" w:cs="Calibri Light"/>
          <w:color w:val="000000" w:themeColor="text1"/>
          <w:szCs w:val="22"/>
          <w:shd w:val="clear" w:color="auto" w:fill="F7F7F8"/>
        </w:rPr>
        <w:t>' BCP with an eye toward ensuring they meet our dependency requirements.</w:t>
      </w:r>
    </w:p>
    <w:p w14:paraId="0C634C30" w14:textId="77777777" w:rsidR="00EE63AE" w:rsidRPr="006F16D5" w:rsidRDefault="00EE63AE"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All management personnel and employees shall be made aware of the business continuity plans and their roles and responsibilities in achieving the defined continuity objectives.</w:t>
      </w:r>
    </w:p>
    <w:p w14:paraId="63013C3C" w14:textId="6F34726E" w:rsidR="00F92F1E" w:rsidRPr="006F16D5" w:rsidRDefault="009C2224"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ACME</w:t>
      </w:r>
      <w:r w:rsidR="00F92F1E" w:rsidRPr="006F16D5">
        <w:rPr>
          <w:rFonts w:ascii="Calibri Light" w:hAnsi="Calibri Light" w:cs="Calibri Light"/>
          <w:color w:val="000000" w:themeColor="text1"/>
          <w:szCs w:val="22"/>
        </w:rPr>
        <w:t xml:space="preserve"> will conduct a ‘tabletop exercise’ yearly to ensure that all stakeholders in the process understand their roles and are prepared to fill them.</w:t>
      </w:r>
    </w:p>
    <w:p w14:paraId="586E8124" w14:textId="77777777" w:rsidR="00EE63AE" w:rsidRPr="006F16D5" w:rsidRDefault="00EE63AE"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business continuity plan shall be reviewed periodically to ensure it remains relevant.</w:t>
      </w:r>
    </w:p>
    <w:p w14:paraId="225D194A" w14:textId="77777777" w:rsidR="00EE63AE" w:rsidRPr="006F16D5" w:rsidRDefault="00EE63AE"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BCP will include communication strategies that include both employees and third parties.</w:t>
      </w:r>
    </w:p>
    <w:p w14:paraId="689FE08E" w14:textId="77777777" w:rsidR="00EE63AE" w:rsidRPr="006F16D5" w:rsidRDefault="00EE63AE"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BCP will include recovery strategies that address the entire product lifecycle of our essential products and services.</w:t>
      </w:r>
    </w:p>
    <w:p w14:paraId="58769C06" w14:textId="77777777" w:rsidR="00EE63AE" w:rsidRPr="006F16D5" w:rsidRDefault="00EE63AE" w:rsidP="00EE63AE">
      <w:pPr>
        <w:numPr>
          <w:ilvl w:val="0"/>
          <w:numId w:val="5"/>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BCP will include requirements for periodic exercise of the plan to validate expected outcomes.</w:t>
      </w:r>
    </w:p>
    <w:p w14:paraId="594C765C" w14:textId="67B87594" w:rsidR="00EE63AE" w:rsidRPr="006F16D5" w:rsidRDefault="00EE63AE" w:rsidP="005E785A">
      <w:pPr>
        <w:spacing w:before="100" w:beforeAutospacing="1" w:after="100" w:afterAutospacing="1"/>
        <w:ind w:firstLine="360"/>
        <w:rPr>
          <w:rFonts w:ascii="Calibri Light" w:hAnsi="Calibri Light" w:cs="Calibri Light"/>
          <w:color w:val="1F497D" w:themeColor="text2"/>
          <w:szCs w:val="22"/>
        </w:rPr>
      </w:pPr>
      <w:r w:rsidRPr="006F16D5">
        <w:rPr>
          <w:rFonts w:ascii="Calibri Light" w:hAnsi="Calibri Light" w:cs="Calibri Light"/>
          <w:color w:val="1F497D" w:themeColor="text2"/>
          <w:szCs w:val="22"/>
        </w:rPr>
        <w:t>Disaster Recovery Planning (DRP)</w:t>
      </w:r>
    </w:p>
    <w:p w14:paraId="65657BA4" w14:textId="679D7810" w:rsidR="00EE63AE" w:rsidRPr="006F16D5" w:rsidRDefault="009C2224"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ACME</w:t>
      </w:r>
      <w:r w:rsidR="00EE63AE" w:rsidRPr="006F16D5">
        <w:rPr>
          <w:rFonts w:ascii="Calibri Light" w:hAnsi="Calibri Light" w:cs="Calibri Light"/>
          <w:color w:val="000000" w:themeColor="text1"/>
          <w:szCs w:val="22"/>
        </w:rPr>
        <w:t xml:space="preserve"> shall maintain a Disaster Recovery Plan (DRP) that is informed by the BIA.</w:t>
      </w:r>
    </w:p>
    <w:p w14:paraId="014522B7" w14:textId="2275C8E1" w:rsidR="00EE63AE" w:rsidRPr="006F16D5" w:rsidRDefault="005072A6"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DRP covers significant events affecting major parts of our operations, infrastructure, or data</w:t>
      </w:r>
      <w:r w:rsidR="00EE63AE" w:rsidRPr="006F16D5">
        <w:rPr>
          <w:rFonts w:ascii="Calibri Light" w:hAnsi="Calibri Light" w:cs="Calibri Light"/>
          <w:color w:val="000000" w:themeColor="text1"/>
          <w:szCs w:val="22"/>
        </w:rPr>
        <w:t>. Examples include natural disasters, major cyber-attacks, or significant hardware failures. The DRP focuses on the recovery and restoration of IT systems, applications, and data to ensure the organization can continue its critical operations. The activation of the DRP signifies a situation beyond normal contingencies and requires a coordinated and extensive response to restore services.</w:t>
      </w:r>
    </w:p>
    <w:p w14:paraId="54517BAE" w14:textId="2CB8AB8B" w:rsidR="00EE63AE" w:rsidRPr="006F16D5" w:rsidRDefault="00EE63AE"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shd w:val="clear" w:color="auto" w:fill="F7F7F8"/>
        </w:rPr>
        <w:t xml:space="preserve">Contracts with essential third-party suppliers will be assessed based on their impact on </w:t>
      </w:r>
      <w:r w:rsidR="009C2224" w:rsidRPr="006F16D5">
        <w:rPr>
          <w:rFonts w:ascii="Calibri Light" w:hAnsi="Calibri Light" w:cs="Calibri Light"/>
          <w:color w:val="000000" w:themeColor="text1"/>
          <w:szCs w:val="22"/>
          <w:shd w:val="clear" w:color="auto" w:fill="F7F7F8"/>
        </w:rPr>
        <w:t>ACME</w:t>
      </w:r>
      <w:r w:rsidRPr="006F16D5">
        <w:rPr>
          <w:rFonts w:ascii="Calibri Light" w:hAnsi="Calibri Light" w:cs="Calibri Light"/>
          <w:color w:val="000000" w:themeColor="text1"/>
          <w:szCs w:val="22"/>
          <w:shd w:val="clear" w:color="auto" w:fill="F7F7F8"/>
        </w:rPr>
        <w:t>'s DRP with an eye toward ensuring they meet our dependency requirements.</w:t>
      </w:r>
    </w:p>
    <w:p w14:paraId="55029AB4" w14:textId="77777777" w:rsidR="00EE63AE" w:rsidRPr="006F16D5" w:rsidRDefault="00EE63AE"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All management personnel and employees shall be made aware of the DRP and their roles and responsibilities in achieving the defined recovery objectives.</w:t>
      </w:r>
    </w:p>
    <w:p w14:paraId="5FF5BE2F" w14:textId="77777777" w:rsidR="00EE63AE" w:rsidRPr="006F16D5" w:rsidRDefault="00EE63AE"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DRP shall be reviewed periodically to ensure it remains relevant.</w:t>
      </w:r>
    </w:p>
    <w:p w14:paraId="718E0642" w14:textId="77777777" w:rsidR="00EE63AE" w:rsidRPr="006F16D5" w:rsidRDefault="00EE63AE"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DRP will include communication strategies that include both employees and third parties.</w:t>
      </w:r>
    </w:p>
    <w:p w14:paraId="70931579" w14:textId="77777777" w:rsidR="00EE63AE" w:rsidRPr="006F16D5" w:rsidRDefault="00EE63AE"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DRP will include recovery strategies that address the entire product lifecycle of our essential products and services.</w:t>
      </w:r>
    </w:p>
    <w:p w14:paraId="55ABBAC4" w14:textId="77777777" w:rsidR="00EE63AE" w:rsidRPr="006F16D5" w:rsidRDefault="00EE63AE" w:rsidP="00EE63AE">
      <w:pPr>
        <w:numPr>
          <w:ilvl w:val="0"/>
          <w:numId w:val="6"/>
        </w:numPr>
        <w:spacing w:before="100" w:beforeAutospacing="1" w:after="100" w:afterAutospacing="1"/>
        <w:rPr>
          <w:rFonts w:ascii="Calibri Light" w:hAnsi="Calibri Light" w:cs="Calibri Light"/>
          <w:color w:val="000000" w:themeColor="text1"/>
          <w:szCs w:val="22"/>
        </w:rPr>
      </w:pPr>
      <w:r w:rsidRPr="006F16D5">
        <w:rPr>
          <w:rFonts w:ascii="Calibri Light" w:hAnsi="Calibri Light" w:cs="Calibri Light"/>
          <w:color w:val="000000" w:themeColor="text1"/>
          <w:szCs w:val="22"/>
        </w:rPr>
        <w:t>The DRP will include requirements for periodic exercise of the plan to validate expected outcomes.</w:t>
      </w:r>
    </w:p>
    <w:p w14:paraId="3828DC20" w14:textId="77777777" w:rsidR="00EE63AE" w:rsidRPr="006F16D5" w:rsidRDefault="00EE63AE" w:rsidP="00EE63AE">
      <w:pPr>
        <w:rPr>
          <w:rFonts w:ascii="Calibri Light" w:hAnsi="Calibri Light" w:cs="Calibri Light"/>
          <w:color w:val="000000" w:themeColor="text1"/>
          <w:szCs w:val="22"/>
        </w:rPr>
      </w:pPr>
    </w:p>
    <w:p w14:paraId="0ACB4496" w14:textId="77777777" w:rsidR="00EE63AE" w:rsidRPr="006F16D5" w:rsidRDefault="00EE63AE" w:rsidP="00EE63AE">
      <w:pPr>
        <w:rPr>
          <w:rFonts w:ascii="Calibri Light" w:hAnsi="Calibri Light" w:cs="Calibri Light"/>
          <w:color w:val="000000" w:themeColor="text1"/>
          <w:szCs w:val="22"/>
        </w:rPr>
      </w:pPr>
    </w:p>
    <w:sectPr w:rsidR="00EE63AE" w:rsidRPr="006F16D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CC9D" w14:textId="77777777" w:rsidR="00112EDC" w:rsidRDefault="00112EDC">
      <w:r>
        <w:separator/>
      </w:r>
    </w:p>
  </w:endnote>
  <w:endnote w:type="continuationSeparator" w:id="0">
    <w:p w14:paraId="582A9036" w14:textId="77777777" w:rsidR="00112EDC" w:rsidRDefault="0011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venir Next LT Pro">
    <w:panose1 w:val="020B0504020202020204"/>
    <w:charset w:val="4D"/>
    <w:family w:val="swiss"/>
    <w:pitch w:val="variable"/>
    <w:sig w:usb0="800000EF" w:usb1="5000204A" w:usb2="00000000" w:usb3="00000000" w:csb0="00000093" w:csb1="00000000"/>
  </w:font>
  <w:font w:name="Libre Franklin">
    <w:panose1 w:val="00000000000000000000"/>
    <w:charset w:val="4D"/>
    <w:family w:val="auto"/>
    <w:pitch w:val="variable"/>
    <w:sig w:usb0="A00000FF" w:usb1="4000205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CBF4" w14:textId="7431F49B" w:rsidR="00574AA5" w:rsidRDefault="000E45E1" w:rsidP="000E45E1">
    <w:pPr>
      <w:pStyle w:val="Footer"/>
      <w:rPr>
        <w:i/>
      </w:rPr>
    </w:pPr>
    <w:r w:rsidRPr="00076857">
      <w:rPr>
        <w:rFonts w:cs="Calibri"/>
        <w:noProof/>
        <w:color w:val="404040" w:themeColor="text1" w:themeTint="BF"/>
      </w:rPr>
      <w:t>©</w:t>
    </w:r>
    <w:r>
      <w:rPr>
        <w:rFonts w:cs="Calibri"/>
        <w:noProof/>
        <w:color w:val="404040" w:themeColor="text1" w:themeTint="BF"/>
      </w:rPr>
      <w:t xml:space="preserve">2024 - </w:t>
    </w:r>
    <w:r w:rsidRPr="00C42826">
      <w:rPr>
        <w:rFonts w:cs="Calibri"/>
        <w:b/>
        <w:bCs/>
        <w:i/>
        <w:iCs/>
        <w:noProof/>
        <w:color w:val="FF0000"/>
      </w:rPr>
      <w:t>Vizius</w:t>
    </w:r>
    <w:r w:rsidRPr="00C42826">
      <w:rPr>
        <w:rFonts w:cs="Calibri"/>
        <w:b/>
        <w:bCs/>
        <w:i/>
        <w:iCs/>
        <w:noProof/>
        <w:color w:val="404040" w:themeColor="text1" w:themeTint="BF"/>
      </w:rPr>
      <w:t>.</w:t>
    </w:r>
    <w:r w:rsidRPr="00C42826">
      <w:rPr>
        <w:rFonts w:cs="Calibri"/>
        <w:b/>
        <w:bCs/>
        <w:i/>
        <w:iCs/>
        <w:noProof/>
        <w:color w:val="FF0000"/>
      </w:rPr>
      <w:t>com</w:t>
    </w:r>
    <w:r w:rsidRPr="00C42826">
      <w:rPr>
        <w:rFonts w:cs="Calibri"/>
        <w:noProof/>
        <w:color w:val="FF0000"/>
      </w:rPr>
      <w:t xml:space="preserve"> </w:t>
    </w:r>
    <w:r w:rsidRPr="00076857">
      <w:rPr>
        <w:rFonts w:cs="Calibri"/>
        <w:i/>
        <w:iCs/>
        <w:noProof/>
        <w:color w:val="FF0000"/>
      </w:rPr>
      <w:t xml:space="preserve">– </w:t>
    </w:r>
    <w:r w:rsidRPr="00076857">
      <w:rPr>
        <w:rFonts w:cs="Calibri"/>
        <w:i/>
        <w:iCs/>
        <w:noProof/>
        <w:color w:val="E84133"/>
      </w:rPr>
      <w:t>Pragmatic Cybersecurity</w:t>
    </w:r>
    <w:r>
      <w:rPr>
        <w:rFonts w:cs="Calibri"/>
        <w:i/>
        <w:iCs/>
        <w:noProof/>
        <w:color w:val="E84133"/>
      </w:rPr>
      <w:t xml:space="preserve"> </w:t>
    </w:r>
    <w:r>
      <w:rPr>
        <w:rFonts w:cs="Calibri"/>
        <w:i/>
        <w:iCs/>
        <w:noProof/>
        <w:color w:val="E84133"/>
      </w:rPr>
      <w:tab/>
    </w:r>
    <w:r>
      <w:rPr>
        <w:rFonts w:cs="Calibri"/>
        <w:i/>
        <w:iCs/>
        <w:noProof/>
        <w:color w:val="E84133"/>
      </w:rPr>
      <w:tab/>
    </w:r>
    <w:r w:rsidR="009829CA">
      <w:rPr>
        <w:b/>
        <w:bCs/>
      </w:rPr>
      <w:fldChar w:fldCharType="begin"/>
    </w:r>
    <w:r w:rsidR="009829CA">
      <w:rPr>
        <w:b/>
        <w:bCs/>
      </w:rPr>
      <w:instrText xml:space="preserve"> PAGE  \* Arabic  \* MERGEFORMAT </w:instrText>
    </w:r>
    <w:r w:rsidR="009829CA">
      <w:rPr>
        <w:b/>
        <w:bCs/>
      </w:rPr>
      <w:fldChar w:fldCharType="separate"/>
    </w:r>
    <w:r w:rsidR="009829CA">
      <w:rPr>
        <w:b/>
        <w:bCs/>
      </w:rPr>
      <w:t>3</w:t>
    </w:r>
    <w:r w:rsidR="009829CA">
      <w:rPr>
        <w:b/>
        <w:bCs/>
      </w:rPr>
      <w:fldChar w:fldCharType="end"/>
    </w:r>
    <w:r w:rsidR="009829CA">
      <w:t xml:space="preserve"> of </w:t>
    </w:r>
    <w:r w:rsidR="009829CA">
      <w:rPr>
        <w:b/>
        <w:bCs/>
      </w:rPr>
      <w:fldChar w:fldCharType="begin"/>
    </w:r>
    <w:r w:rsidR="009829CA">
      <w:rPr>
        <w:b/>
        <w:bCs/>
      </w:rPr>
      <w:instrText xml:space="preserve"> NUMPAGES  \* Arabic  \* MERGEFORMAT </w:instrText>
    </w:r>
    <w:r w:rsidR="009829CA">
      <w:rPr>
        <w:b/>
        <w:bCs/>
      </w:rPr>
      <w:fldChar w:fldCharType="separate"/>
    </w:r>
    <w:r w:rsidR="009829CA">
      <w:rPr>
        <w:b/>
        <w:bCs/>
      </w:rPr>
      <w:t>3</w:t>
    </w:r>
    <w:r w:rsidR="009829CA">
      <w:rPr>
        <w:b/>
        <w:bCs/>
      </w:rPr>
      <w:fldChar w:fldCharType="end"/>
    </w:r>
    <w:r w:rsidR="009829CA">
      <w:rPr>
        <w:b/>
        <w:bCs/>
      </w:rPr>
      <w:t xml:space="preserve"> </w:t>
    </w:r>
  </w:p>
  <w:p w14:paraId="05FB273D" w14:textId="77777777" w:rsidR="00574AA5" w:rsidRDefault="0057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56C3" w14:textId="77777777" w:rsidR="00112EDC" w:rsidRDefault="00112EDC">
      <w:r>
        <w:separator/>
      </w:r>
    </w:p>
  </w:footnote>
  <w:footnote w:type="continuationSeparator" w:id="0">
    <w:p w14:paraId="6B9809C3" w14:textId="77777777" w:rsidR="00112EDC" w:rsidRDefault="00112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D0B86" w14:textId="6DAFB8E9" w:rsidR="00574AA5" w:rsidRDefault="009C2224">
    <w:pPr>
      <w:spacing w:line="276" w:lineRule="auto"/>
      <w:rPr>
        <w:rStyle w:val="TitleChar"/>
        <w:sz w:val="20"/>
        <w:szCs w:val="20"/>
      </w:rPr>
    </w:pPr>
    <w:r w:rsidRPr="009C2224">
      <w:rPr>
        <w:rStyle w:val="TitleChar"/>
        <w:noProof/>
        <w:sz w:val="32"/>
        <w:szCs w:val="32"/>
      </w:rPr>
      <w:drawing>
        <wp:anchor distT="0" distB="0" distL="114300" distR="114300" simplePos="0" relativeHeight="251658240" behindDoc="1" locked="0" layoutInCell="1" allowOverlap="1" wp14:anchorId="0955B8BC" wp14:editId="5AF40B7A">
          <wp:simplePos x="0" y="0"/>
          <wp:positionH relativeFrom="column">
            <wp:posOffset>0</wp:posOffset>
          </wp:positionH>
          <wp:positionV relativeFrom="paragraph">
            <wp:posOffset>0</wp:posOffset>
          </wp:positionV>
          <wp:extent cx="766689" cy="541870"/>
          <wp:effectExtent l="0" t="0" r="0" b="4445"/>
          <wp:wrapNone/>
          <wp:docPr id="1254723298"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23298"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6689" cy="541870"/>
                  </a:xfrm>
                  <a:prstGeom prst="rect">
                    <a:avLst/>
                  </a:prstGeom>
                </pic:spPr>
              </pic:pic>
            </a:graphicData>
          </a:graphic>
          <wp14:sizeRelH relativeFrom="page">
            <wp14:pctWidth>0</wp14:pctWidth>
          </wp14:sizeRelH>
          <wp14:sizeRelV relativeFrom="page">
            <wp14:pctHeight>0</wp14:pctHeight>
          </wp14:sizeRelV>
        </wp:anchor>
      </w:drawing>
    </w:r>
    <w:r w:rsidR="009829CA">
      <w:rPr>
        <w:rStyle w:val="TitleChar"/>
        <w:sz w:val="32"/>
        <w:szCs w:val="32"/>
      </w:rPr>
      <w:tab/>
    </w:r>
  </w:p>
  <w:p w14:paraId="0CBFCBCE" w14:textId="084EE999" w:rsidR="00574AA5" w:rsidRPr="00AD496D" w:rsidRDefault="009829CA">
    <w:pPr>
      <w:spacing w:line="276" w:lineRule="auto"/>
      <w:jc w:val="right"/>
      <w:rPr>
        <w:rFonts w:ascii="Avenir Next LT Pro" w:eastAsia="Libre Franklin" w:hAnsi="Avenir Next LT Pro"/>
        <w:szCs w:val="22"/>
      </w:rPr>
    </w:pPr>
    <w:r>
      <w:rPr>
        <w:rStyle w:val="TitleChar"/>
        <w:sz w:val="32"/>
        <w:szCs w:val="32"/>
      </w:rPr>
      <w:tab/>
    </w:r>
    <w:r w:rsidR="00EE63AE" w:rsidRPr="00AD496D">
      <w:rPr>
        <w:rStyle w:val="TitleChar"/>
        <w:rFonts w:ascii="Avenir Next LT Pro" w:hAnsi="Avenir Next LT Pro"/>
        <w:sz w:val="32"/>
        <w:szCs w:val="32"/>
      </w:rPr>
      <w:t>Business Continuity and Disaster Recovery Policy</w:t>
    </w:r>
  </w:p>
  <w:p w14:paraId="34FA5330" w14:textId="77777777" w:rsidR="00574AA5" w:rsidRDefault="00574AA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511"/>
    <w:multiLevelType w:val="multilevel"/>
    <w:tmpl w:val="91D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D3F53"/>
    <w:multiLevelType w:val="multilevel"/>
    <w:tmpl w:val="111D3F53"/>
    <w:lvl w:ilvl="0">
      <w:start w:val="1"/>
      <w:numFmt w:val="decimal"/>
      <w:lvlText w:val="%1.0"/>
      <w:lvlJc w:val="left"/>
      <w:pPr>
        <w:ind w:left="630" w:hanging="360"/>
      </w:pPr>
      <w:rPr>
        <w:rFonts w:hint="default"/>
      </w:rPr>
    </w:lvl>
    <w:lvl w:ilvl="1">
      <w:start w:val="1"/>
      <w:numFmt w:val="decimal"/>
      <w:lvlText w:val="%1.%2"/>
      <w:lvlJc w:val="left"/>
      <w:pPr>
        <w:ind w:left="1350" w:hanging="360"/>
      </w:pPr>
      <w:rPr>
        <w:rFonts w:hint="default"/>
        <w:b w:val="0"/>
        <w:bCs w:val="0"/>
        <w:i w:val="0"/>
        <w:iCs w:val="0"/>
      </w:rPr>
    </w:lvl>
    <w:lvl w:ilvl="2">
      <w:start w:val="1"/>
      <w:numFmt w:val="decimal"/>
      <w:lvlText w:val="%1.%2.%3"/>
      <w:lvlJc w:val="left"/>
      <w:pPr>
        <w:ind w:left="2430" w:hanging="720"/>
      </w:pPr>
      <w:rPr>
        <w:rFonts w:hint="default"/>
        <w:b w:val="0"/>
        <w:bCs w:val="0"/>
        <w:i w:val="0"/>
        <w:iCs w:val="0"/>
      </w:rPr>
    </w:lvl>
    <w:lvl w:ilvl="3">
      <w:start w:val="1"/>
      <w:numFmt w:val="decimal"/>
      <w:lvlText w:val="%1.%2.%3.%4"/>
      <w:lvlJc w:val="left"/>
      <w:pPr>
        <w:ind w:left="3150" w:hanging="720"/>
      </w:pPr>
      <w:rPr>
        <w:rFonts w:hint="default"/>
      </w:rPr>
    </w:lvl>
    <w:lvl w:ilvl="4">
      <w:start w:val="1"/>
      <w:numFmt w:val="decimal"/>
      <w:lvlText w:val="%1.%2.%3.%4.%5"/>
      <w:lvlJc w:val="left"/>
      <w:pPr>
        <w:ind w:left="4230"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50" w:hanging="1440"/>
      </w:pPr>
      <w:rPr>
        <w:rFonts w:hint="default"/>
      </w:rPr>
    </w:lvl>
    <w:lvl w:ilvl="8">
      <w:start w:val="1"/>
      <w:numFmt w:val="decimal"/>
      <w:lvlText w:val="%1.%2.%3.%4.%5.%6.%7.%8.%9"/>
      <w:lvlJc w:val="left"/>
      <w:pPr>
        <w:ind w:left="7470" w:hanging="1440"/>
      </w:pPr>
      <w:rPr>
        <w:rFonts w:hint="default"/>
      </w:rPr>
    </w:lvl>
  </w:abstractNum>
  <w:abstractNum w:abstractNumId="2" w15:restartNumberingAfterBreak="0">
    <w:nsid w:val="2E594BBD"/>
    <w:multiLevelType w:val="hybridMultilevel"/>
    <w:tmpl w:val="451CC904"/>
    <w:lvl w:ilvl="0" w:tplc="1B445F1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F011DF"/>
    <w:multiLevelType w:val="multilevel"/>
    <w:tmpl w:val="B79E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50DB"/>
    <w:multiLevelType w:val="multilevel"/>
    <w:tmpl w:val="3EA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D4BE3"/>
    <w:multiLevelType w:val="multilevel"/>
    <w:tmpl w:val="069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A7801"/>
    <w:multiLevelType w:val="multilevel"/>
    <w:tmpl w:val="1D5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45759">
    <w:abstractNumId w:val="1"/>
  </w:num>
  <w:num w:numId="2" w16cid:durableId="1497568630">
    <w:abstractNumId w:val="6"/>
  </w:num>
  <w:num w:numId="3" w16cid:durableId="257183449">
    <w:abstractNumId w:val="0"/>
  </w:num>
  <w:num w:numId="4" w16cid:durableId="1530021297">
    <w:abstractNumId w:val="3"/>
  </w:num>
  <w:num w:numId="5" w16cid:durableId="1642341062">
    <w:abstractNumId w:val="5"/>
  </w:num>
  <w:num w:numId="6" w16cid:durableId="1647003374">
    <w:abstractNumId w:val="4"/>
  </w:num>
  <w:num w:numId="7" w16cid:durableId="32967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A3"/>
    <w:rsid w:val="97BFB7B5"/>
    <w:rsid w:val="F7EB4EE8"/>
    <w:rsid w:val="00045EE2"/>
    <w:rsid w:val="0005578D"/>
    <w:rsid w:val="000644E6"/>
    <w:rsid w:val="00073EF4"/>
    <w:rsid w:val="00074873"/>
    <w:rsid w:val="00074BA0"/>
    <w:rsid w:val="00083F8B"/>
    <w:rsid w:val="00090898"/>
    <w:rsid w:val="000944E2"/>
    <w:rsid w:val="000E45E1"/>
    <w:rsid w:val="001072C4"/>
    <w:rsid w:val="00112EDC"/>
    <w:rsid w:val="00141513"/>
    <w:rsid w:val="0016703E"/>
    <w:rsid w:val="001734C4"/>
    <w:rsid w:val="00191495"/>
    <w:rsid w:val="001A5723"/>
    <w:rsid w:val="001B0CE5"/>
    <w:rsid w:val="001B556F"/>
    <w:rsid w:val="001D2500"/>
    <w:rsid w:val="001F07DB"/>
    <w:rsid w:val="001F0DA1"/>
    <w:rsid w:val="001F1048"/>
    <w:rsid w:val="001F2C31"/>
    <w:rsid w:val="001F7324"/>
    <w:rsid w:val="00204DE9"/>
    <w:rsid w:val="00244229"/>
    <w:rsid w:val="0025264E"/>
    <w:rsid w:val="00254E7A"/>
    <w:rsid w:val="0029313E"/>
    <w:rsid w:val="002961D2"/>
    <w:rsid w:val="00297AD7"/>
    <w:rsid w:val="002A7256"/>
    <w:rsid w:val="002B50C6"/>
    <w:rsid w:val="002C0531"/>
    <w:rsid w:val="002E248B"/>
    <w:rsid w:val="002E64BD"/>
    <w:rsid w:val="002E7038"/>
    <w:rsid w:val="00305082"/>
    <w:rsid w:val="00307C3B"/>
    <w:rsid w:val="003130E5"/>
    <w:rsid w:val="0031481D"/>
    <w:rsid w:val="00331AD8"/>
    <w:rsid w:val="00342192"/>
    <w:rsid w:val="003653BE"/>
    <w:rsid w:val="00373770"/>
    <w:rsid w:val="00385F82"/>
    <w:rsid w:val="003C1B8C"/>
    <w:rsid w:val="003C2103"/>
    <w:rsid w:val="003C5137"/>
    <w:rsid w:val="003C72E4"/>
    <w:rsid w:val="003E1AB7"/>
    <w:rsid w:val="003E3795"/>
    <w:rsid w:val="003F09FA"/>
    <w:rsid w:val="00412782"/>
    <w:rsid w:val="0041407E"/>
    <w:rsid w:val="00451671"/>
    <w:rsid w:val="004568E0"/>
    <w:rsid w:val="0046162E"/>
    <w:rsid w:val="00471ADC"/>
    <w:rsid w:val="00481C4B"/>
    <w:rsid w:val="004826F3"/>
    <w:rsid w:val="004C5C37"/>
    <w:rsid w:val="004D2353"/>
    <w:rsid w:val="004D37EB"/>
    <w:rsid w:val="004F668C"/>
    <w:rsid w:val="005072A6"/>
    <w:rsid w:val="00527C0C"/>
    <w:rsid w:val="00534B43"/>
    <w:rsid w:val="0055795D"/>
    <w:rsid w:val="00565B97"/>
    <w:rsid w:val="005748A6"/>
    <w:rsid w:val="00574AA5"/>
    <w:rsid w:val="00575A04"/>
    <w:rsid w:val="005766F6"/>
    <w:rsid w:val="00581766"/>
    <w:rsid w:val="0058697B"/>
    <w:rsid w:val="005872F3"/>
    <w:rsid w:val="005A04C5"/>
    <w:rsid w:val="005A1FF0"/>
    <w:rsid w:val="005A4B62"/>
    <w:rsid w:val="005A74DB"/>
    <w:rsid w:val="005B23C5"/>
    <w:rsid w:val="005C2789"/>
    <w:rsid w:val="005D04C0"/>
    <w:rsid w:val="005D52B4"/>
    <w:rsid w:val="005E785A"/>
    <w:rsid w:val="00601518"/>
    <w:rsid w:val="00602078"/>
    <w:rsid w:val="00604C49"/>
    <w:rsid w:val="00605569"/>
    <w:rsid w:val="00607A57"/>
    <w:rsid w:val="006173D9"/>
    <w:rsid w:val="006200A9"/>
    <w:rsid w:val="006247CC"/>
    <w:rsid w:val="00626580"/>
    <w:rsid w:val="00633DB4"/>
    <w:rsid w:val="00635509"/>
    <w:rsid w:val="00656012"/>
    <w:rsid w:val="006575AE"/>
    <w:rsid w:val="006B0277"/>
    <w:rsid w:val="006B27EB"/>
    <w:rsid w:val="006C099D"/>
    <w:rsid w:val="006E59BB"/>
    <w:rsid w:val="006F16D5"/>
    <w:rsid w:val="006F4944"/>
    <w:rsid w:val="00726246"/>
    <w:rsid w:val="00727215"/>
    <w:rsid w:val="007558AB"/>
    <w:rsid w:val="00756040"/>
    <w:rsid w:val="00761E58"/>
    <w:rsid w:val="00762B67"/>
    <w:rsid w:val="00772D6A"/>
    <w:rsid w:val="0077342D"/>
    <w:rsid w:val="007B613B"/>
    <w:rsid w:val="007C7AB3"/>
    <w:rsid w:val="007D37A8"/>
    <w:rsid w:val="007D70A7"/>
    <w:rsid w:val="00813666"/>
    <w:rsid w:val="008241DB"/>
    <w:rsid w:val="008314F4"/>
    <w:rsid w:val="00850747"/>
    <w:rsid w:val="008777F2"/>
    <w:rsid w:val="00882131"/>
    <w:rsid w:val="00885BBD"/>
    <w:rsid w:val="008A36B3"/>
    <w:rsid w:val="008A4364"/>
    <w:rsid w:val="008B63E6"/>
    <w:rsid w:val="00924538"/>
    <w:rsid w:val="009246D3"/>
    <w:rsid w:val="00955117"/>
    <w:rsid w:val="00975083"/>
    <w:rsid w:val="00975F72"/>
    <w:rsid w:val="00980BB7"/>
    <w:rsid w:val="009829CA"/>
    <w:rsid w:val="009A3499"/>
    <w:rsid w:val="009A4764"/>
    <w:rsid w:val="009B0682"/>
    <w:rsid w:val="009C2224"/>
    <w:rsid w:val="009F1FA2"/>
    <w:rsid w:val="00A004EA"/>
    <w:rsid w:val="00A016B8"/>
    <w:rsid w:val="00A121C7"/>
    <w:rsid w:val="00A33801"/>
    <w:rsid w:val="00A358C5"/>
    <w:rsid w:val="00A437C9"/>
    <w:rsid w:val="00A87956"/>
    <w:rsid w:val="00AA0582"/>
    <w:rsid w:val="00AA69A1"/>
    <w:rsid w:val="00AA7C2E"/>
    <w:rsid w:val="00AC50B0"/>
    <w:rsid w:val="00AC62E8"/>
    <w:rsid w:val="00AC6C0E"/>
    <w:rsid w:val="00AD496D"/>
    <w:rsid w:val="00AE6B51"/>
    <w:rsid w:val="00AF5689"/>
    <w:rsid w:val="00B04D92"/>
    <w:rsid w:val="00B154A7"/>
    <w:rsid w:val="00B17927"/>
    <w:rsid w:val="00B2538C"/>
    <w:rsid w:val="00B36AF7"/>
    <w:rsid w:val="00B4226E"/>
    <w:rsid w:val="00B42901"/>
    <w:rsid w:val="00B53867"/>
    <w:rsid w:val="00B53A89"/>
    <w:rsid w:val="00B55123"/>
    <w:rsid w:val="00B60157"/>
    <w:rsid w:val="00B749DA"/>
    <w:rsid w:val="00B90B0C"/>
    <w:rsid w:val="00BA162C"/>
    <w:rsid w:val="00BA2C30"/>
    <w:rsid w:val="00BC5FDC"/>
    <w:rsid w:val="00BE1052"/>
    <w:rsid w:val="00C11F03"/>
    <w:rsid w:val="00C30AB6"/>
    <w:rsid w:val="00C355D8"/>
    <w:rsid w:val="00C46841"/>
    <w:rsid w:val="00C51809"/>
    <w:rsid w:val="00C51C73"/>
    <w:rsid w:val="00C6198A"/>
    <w:rsid w:val="00CA6213"/>
    <w:rsid w:val="00CB4F7E"/>
    <w:rsid w:val="00CC4C26"/>
    <w:rsid w:val="00CC7767"/>
    <w:rsid w:val="00CF37F5"/>
    <w:rsid w:val="00D13DA3"/>
    <w:rsid w:val="00D37966"/>
    <w:rsid w:val="00D76252"/>
    <w:rsid w:val="00D86AF2"/>
    <w:rsid w:val="00DA209E"/>
    <w:rsid w:val="00DA625C"/>
    <w:rsid w:val="00DB09F5"/>
    <w:rsid w:val="00DB76B9"/>
    <w:rsid w:val="00DB7AB4"/>
    <w:rsid w:val="00DC3386"/>
    <w:rsid w:val="00DF0D7B"/>
    <w:rsid w:val="00DF7356"/>
    <w:rsid w:val="00E06246"/>
    <w:rsid w:val="00E16CD9"/>
    <w:rsid w:val="00E364EF"/>
    <w:rsid w:val="00E461E1"/>
    <w:rsid w:val="00EC100F"/>
    <w:rsid w:val="00EE63AE"/>
    <w:rsid w:val="00EF734B"/>
    <w:rsid w:val="00F07EAE"/>
    <w:rsid w:val="00F31154"/>
    <w:rsid w:val="00F41327"/>
    <w:rsid w:val="00F51BD1"/>
    <w:rsid w:val="00F534BF"/>
    <w:rsid w:val="00F6253C"/>
    <w:rsid w:val="00F63D6A"/>
    <w:rsid w:val="00F65E40"/>
    <w:rsid w:val="00F72C43"/>
    <w:rsid w:val="00F76B47"/>
    <w:rsid w:val="00F822A7"/>
    <w:rsid w:val="00F92F1E"/>
    <w:rsid w:val="00FA78F7"/>
    <w:rsid w:val="00FB50F1"/>
    <w:rsid w:val="00FE2000"/>
    <w:rsid w:val="00FF4983"/>
    <w:rsid w:val="760CF1A9"/>
    <w:rsid w:val="7FD7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8BCE7"/>
  <w15:docId w15:val="{62EFEB9E-9BAE-48FD-A2A3-A3BFCD9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sz w:val="22"/>
      <w:szCs w:val="24"/>
    </w:rPr>
  </w:style>
  <w:style w:type="paragraph" w:styleId="Heading1">
    <w:name w:val="heading 1"/>
    <w:basedOn w:val="Normal"/>
    <w:next w:val="Normal"/>
    <w:link w:val="Heading1Char"/>
    <w:qFormat/>
    <w:rsid w:val="00AD496D"/>
    <w:pPr>
      <w:keepNext/>
      <w:numPr>
        <w:numId w:val="7"/>
      </w:numPr>
      <w:spacing w:before="240" w:after="60"/>
      <w:outlineLvl w:val="0"/>
    </w:pPr>
    <w:rPr>
      <w:rFonts w:ascii="Calibri Light" w:hAnsi="Calibri Light" w:cs="Calibri Light"/>
      <w:b/>
      <w:bCs/>
      <w:color w:val="1F497D" w:themeColor="text2"/>
      <w:kern w:val="32"/>
      <w:szCs w:val="22"/>
    </w:rPr>
  </w:style>
  <w:style w:type="paragraph" w:styleId="Heading2">
    <w:name w:val="heading 2"/>
    <w:basedOn w:val="Normal"/>
    <w:next w:val="Normal"/>
    <w:link w:val="Heading2Char"/>
    <w:semiHidden/>
    <w:unhideWhenUsed/>
    <w:qFormat/>
    <w:pPr>
      <w:keepNext/>
      <w:spacing w:before="240" w:after="60"/>
      <w:outlineLvl w:val="1"/>
    </w:pPr>
    <w:rPr>
      <w:rFonts w:ascii="Cambria" w:hAnsi="Cambria"/>
      <w:b/>
      <w:bCs/>
      <w:i/>
      <w:iCs/>
      <w:sz w:val="28"/>
      <w:szCs w:val="28"/>
    </w:rPr>
  </w:style>
  <w:style w:type="paragraph" w:styleId="Heading3">
    <w:name w:val="heading 3"/>
    <w:basedOn w:val="PolicySubheader"/>
    <w:next w:val="Normal"/>
    <w:link w:val="Heading3Char"/>
    <w:qFormat/>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Subheader">
    <w:name w:val="Policy Subheader"/>
    <w:qFormat/>
    <w:pPr>
      <w:widowControl w:val="0"/>
    </w:pPr>
    <w:rPr>
      <w:rFonts w:ascii="Arial" w:hAnsi="Arial"/>
      <w:b/>
      <w:bCs/>
      <w:color w:val="00527A"/>
      <w:sz w:val="24"/>
    </w:rPr>
  </w:style>
  <w:style w:type="paragraph" w:styleId="BalloonText">
    <w:name w:val="Balloon Text"/>
    <w:basedOn w:val="Normal"/>
    <w:semiHidden/>
    <w:qFormat/>
    <w:rPr>
      <w:rFonts w:ascii="Tahoma" w:hAnsi="Tahoma" w:cs="Tahoma"/>
      <w:sz w:val="16"/>
      <w:szCs w:val="16"/>
    </w:rPr>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rPr>
      <w:sz w:val="20"/>
      <w:szCs w:val="20"/>
    </w:rPr>
  </w:style>
  <w:style w:type="paragraph" w:styleId="CommentSubject">
    <w:name w:val="annotation subject"/>
    <w:basedOn w:val="CommentText"/>
    <w:next w:val="CommentText"/>
    <w:semiHidden/>
    <w:qFormat/>
    <w:rPr>
      <w:b/>
      <w:bCs/>
    </w:rPr>
  </w:style>
  <w:style w:type="paragraph" w:styleId="Footer">
    <w:name w:val="footer"/>
    <w:basedOn w:val="Normal"/>
    <w:link w:val="FooterChar"/>
    <w:uiPriority w:val="99"/>
    <w:pPr>
      <w:tabs>
        <w:tab w:val="center" w:pos="4320"/>
        <w:tab w:val="right" w:pos="8640"/>
      </w:tabs>
    </w:pPr>
    <w:rPr>
      <w:color w:val="003366"/>
      <w:sz w:val="20"/>
    </w:r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character" w:styleId="Strong">
    <w:name w:val="Strong"/>
    <w:basedOn w:val="DefaultParagraphFont"/>
    <w:qFormat/>
    <w:rPr>
      <w:b/>
      <w:bCs/>
    </w:rPr>
  </w:style>
  <w:style w:type="table" w:styleId="TableGrid">
    <w:name w:val="Table Grid"/>
    <w:basedOn w:val="TableNormal"/>
    <w:uiPriority w:val="5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tabs>
        <w:tab w:val="left" w:pos="6840"/>
        <w:tab w:val="right" w:pos="9990"/>
      </w:tabs>
    </w:pPr>
    <w:rPr>
      <w:rFonts w:asciiTheme="minorHAnsi" w:hAnsiTheme="minorHAnsi"/>
      <w:b/>
      <w:color w:val="003E6A"/>
      <w:sz w:val="28"/>
      <w:szCs w:val="28"/>
    </w:rPr>
  </w:style>
  <w:style w:type="paragraph" w:styleId="TOC1">
    <w:name w:val="toc 1"/>
    <w:basedOn w:val="Normal"/>
    <w:next w:val="Normal"/>
    <w:uiPriority w:val="39"/>
    <w:qFormat/>
  </w:style>
  <w:style w:type="paragraph" w:styleId="TOC2">
    <w:name w:val="toc 2"/>
    <w:basedOn w:val="Normal"/>
    <w:next w:val="Normal"/>
    <w:uiPriority w:val="39"/>
    <w:pPr>
      <w:ind w:left="220"/>
    </w:pPr>
  </w:style>
  <w:style w:type="paragraph" w:customStyle="1" w:styleId="PolicyElementHeader">
    <w:name w:val="Policy Element Header"/>
    <w:basedOn w:val="Heading1"/>
    <w:next w:val="Normal"/>
    <w:qFormat/>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qFormat/>
    <w:pPr>
      <w:jc w:val="center"/>
    </w:pPr>
    <w:rPr>
      <w:sz w:val="20"/>
      <w:szCs w:val="20"/>
    </w:rPr>
  </w:style>
  <w:style w:type="paragraph" w:customStyle="1" w:styleId="FooterTableHeader">
    <w:name w:val="Footer Table Header"/>
    <w:basedOn w:val="Normal"/>
    <w:qFormat/>
    <w:pPr>
      <w:widowControl w:val="0"/>
      <w:jc w:val="center"/>
    </w:pPr>
    <w:rPr>
      <w:b/>
      <w:bCs/>
      <w:color w:val="00527A"/>
      <w:sz w:val="20"/>
      <w:szCs w:val="20"/>
    </w:rPr>
  </w:style>
  <w:style w:type="paragraph" w:customStyle="1" w:styleId="policytitle">
    <w:name w:val="policytitle"/>
    <w:basedOn w:val="Normal"/>
    <w:qFormat/>
    <w:pPr>
      <w:jc w:val="center"/>
    </w:pPr>
    <w:rPr>
      <w:b/>
      <w:sz w:val="32"/>
      <w:szCs w:val="20"/>
    </w:rPr>
  </w:style>
  <w:style w:type="paragraph" w:customStyle="1" w:styleId="PolicyHeaderLabel">
    <w:name w:val="Policy Header Label"/>
    <w:basedOn w:val="Normal"/>
    <w:qFormat/>
    <w:pPr>
      <w:jc w:val="right"/>
    </w:pPr>
    <w:rPr>
      <w:color w:val="00527A"/>
      <w:sz w:val="20"/>
      <w:szCs w:val="20"/>
    </w:rPr>
  </w:style>
  <w:style w:type="paragraph" w:customStyle="1" w:styleId="MasterTitle">
    <w:name w:val="Master Title"/>
    <w:basedOn w:val="Normal"/>
    <w:qFormat/>
    <w:pPr>
      <w:widowControl w:val="0"/>
      <w:jc w:val="center"/>
    </w:pPr>
    <w:rPr>
      <w:color w:val="00517A"/>
      <w:position w:val="20"/>
      <w:sz w:val="36"/>
      <w:szCs w:val="20"/>
    </w:rPr>
  </w:style>
  <w:style w:type="paragraph" w:customStyle="1" w:styleId="AuthorComment">
    <w:name w:val="Author Comment"/>
    <w:basedOn w:val="Normal"/>
    <w:qFormat/>
    <w:pPr>
      <w:spacing w:before="120" w:after="120"/>
    </w:pPr>
    <w:rPr>
      <w:i/>
      <w:color w:val="1F497D"/>
      <w:sz w:val="20"/>
    </w:rPr>
  </w:style>
  <w:style w:type="paragraph" w:customStyle="1" w:styleId="PolicyDefinition">
    <w:name w:val="Policy Definition"/>
    <w:basedOn w:val="Normal"/>
    <w:link w:val="PolicyDefinitionChar"/>
    <w:qFormat/>
    <w:pPr>
      <w:spacing w:after="120"/>
    </w:pPr>
    <w:rPr>
      <w:bCs/>
    </w:rPr>
  </w:style>
  <w:style w:type="character" w:customStyle="1" w:styleId="PolicyDefinitionChar">
    <w:name w:val="Policy Definition Char"/>
    <w:basedOn w:val="DefaultParagraphFont"/>
    <w:link w:val="PolicyDefinition"/>
    <w:qFormat/>
    <w:rPr>
      <w:rFonts w:ascii="Arial" w:hAnsi="Arial"/>
      <w:bCs/>
      <w:sz w:val="22"/>
      <w:szCs w:val="24"/>
    </w:rPr>
  </w:style>
  <w:style w:type="paragraph" w:customStyle="1" w:styleId="PolicyBodyText">
    <w:name w:val="Policy Body Text"/>
    <w:basedOn w:val="Normal"/>
    <w:link w:val="PolicyBodyTextChar"/>
    <w:qFormat/>
    <w:pPr>
      <w:spacing w:after="120"/>
      <w:ind w:left="360"/>
    </w:pPr>
    <w:rPr>
      <w:szCs w:val="20"/>
    </w:rPr>
  </w:style>
  <w:style w:type="character" w:customStyle="1" w:styleId="Heading2Char">
    <w:name w:val="Heading 2 Char"/>
    <w:basedOn w:val="DefaultParagraphFont"/>
    <w:link w:val="Heading2"/>
    <w:semiHidden/>
    <w:rPr>
      <w:rFonts w:ascii="Cambria" w:eastAsia="Times New Roman" w:hAnsi="Cambria" w:cs="Times New Roman"/>
      <w:b/>
      <w:bCs/>
      <w:i/>
      <w:iCs/>
      <w:sz w:val="28"/>
      <w:szCs w:val="28"/>
      <w:lang w:val="en-US" w:eastAsia="en-US"/>
    </w:rPr>
  </w:style>
  <w:style w:type="paragraph" w:customStyle="1" w:styleId="PolicyText">
    <w:name w:val="Policy Text"/>
    <w:basedOn w:val="Normal"/>
    <w:link w:val="PolicyTextChar"/>
    <w:qFormat/>
    <w:pPr>
      <w:widowControl w:val="0"/>
      <w:spacing w:after="120"/>
      <w:ind w:left="360"/>
    </w:pPr>
  </w:style>
  <w:style w:type="character" w:customStyle="1" w:styleId="PolicyTextChar">
    <w:name w:val="Policy Text Char"/>
    <w:basedOn w:val="DefaultParagraphFont"/>
    <w:link w:val="PolicyText"/>
    <w:rPr>
      <w:rFonts w:ascii="Arial" w:hAnsi="Arial"/>
      <w:sz w:val="22"/>
      <w:szCs w:val="24"/>
    </w:rPr>
  </w:style>
  <w:style w:type="character" w:customStyle="1" w:styleId="PolicyBodyTextChar">
    <w:name w:val="Policy Body Text Char"/>
    <w:basedOn w:val="DefaultParagraphFont"/>
    <w:link w:val="PolicyBodyText"/>
    <w:qFormat/>
    <w:rPr>
      <w:rFonts w:ascii="Arial" w:hAnsi="Arial"/>
      <w:sz w:val="22"/>
    </w:rPr>
  </w:style>
  <w:style w:type="character" w:customStyle="1" w:styleId="Heading3Char">
    <w:name w:val="Heading 3 Char"/>
    <w:basedOn w:val="DefaultParagraphFont"/>
    <w:link w:val="Heading3"/>
    <w:qFormat/>
    <w:rPr>
      <w:rFonts w:ascii="Arial" w:hAnsi="Arial"/>
      <w:b/>
      <w:bCs/>
      <w:color w:val="00527A"/>
      <w:sz w:val="24"/>
    </w:rPr>
  </w:style>
  <w:style w:type="character" w:customStyle="1" w:styleId="FooterChar">
    <w:name w:val="Footer Char"/>
    <w:basedOn w:val="DefaultParagraphFont"/>
    <w:link w:val="Footer"/>
    <w:uiPriority w:val="99"/>
    <w:qFormat/>
    <w:rPr>
      <w:rFonts w:ascii="Arial" w:hAnsi="Arial"/>
      <w:color w:val="003366"/>
      <w:szCs w:val="24"/>
    </w:rPr>
  </w:style>
  <w:style w:type="character" w:customStyle="1" w:styleId="TitleChar">
    <w:name w:val="Title Char"/>
    <w:basedOn w:val="DefaultParagraphFont"/>
    <w:link w:val="Title"/>
    <w:qFormat/>
    <w:rPr>
      <w:rFonts w:asciiTheme="minorHAnsi" w:hAnsiTheme="minorHAnsi"/>
      <w:b/>
      <w:color w:val="003E6A"/>
      <w:sz w:val="28"/>
      <w:szCs w:val="28"/>
    </w:rPr>
  </w:style>
  <w:style w:type="paragraph" w:customStyle="1" w:styleId="Table">
    <w:name w:val="Table"/>
    <w:basedOn w:val="Normal"/>
    <w:qFormat/>
    <w:pPr>
      <w:keepNext/>
      <w:keepLines/>
      <w:tabs>
        <w:tab w:val="left" w:pos="6840"/>
        <w:tab w:val="right" w:pos="9990"/>
      </w:tabs>
      <w:jc w:val="center"/>
    </w:pPr>
    <w:rPr>
      <w:rFonts w:ascii="Century Gothic" w:hAnsi="Century Gothic"/>
      <w:b/>
      <w:bCs/>
      <w:color w:val="003E6A"/>
      <w:sz w:val="20"/>
      <w:szCs w:val="21"/>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qFormat/>
    <w:rsid w:val="00AD496D"/>
    <w:rPr>
      <w:rFonts w:ascii="Calibri Light" w:hAnsi="Calibri Light" w:cs="Calibri Light"/>
      <w:b/>
      <w:bCs/>
      <w:color w:val="1F497D" w:themeColor="text2"/>
      <w:kern w:val="32"/>
      <w:sz w:val="22"/>
      <w:szCs w:val="22"/>
    </w:rPr>
  </w:style>
  <w:style w:type="paragraph" w:styleId="NormalWeb">
    <w:name w:val="Normal (Web)"/>
    <w:basedOn w:val="Normal"/>
    <w:semiHidden/>
    <w:unhideWhenUsed/>
    <w:rsid w:val="00FF49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739313">
      <w:bodyDiv w:val="1"/>
      <w:marLeft w:val="0"/>
      <w:marRight w:val="0"/>
      <w:marTop w:val="0"/>
      <w:marBottom w:val="0"/>
      <w:divBdr>
        <w:top w:val="none" w:sz="0" w:space="0" w:color="auto"/>
        <w:left w:val="none" w:sz="0" w:space="0" w:color="auto"/>
        <w:bottom w:val="none" w:sz="0" w:space="0" w:color="auto"/>
        <w:right w:val="none" w:sz="0" w:space="0" w:color="auto"/>
      </w:divBdr>
    </w:div>
    <w:div w:id="1144005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Hayden</dc:creator>
  <cp:lastModifiedBy>Glenn Johnson</cp:lastModifiedBy>
  <cp:revision>8</cp:revision>
  <dcterms:created xsi:type="dcterms:W3CDTF">2024-08-27T17:33:00Z</dcterms:created>
  <dcterms:modified xsi:type="dcterms:W3CDTF">2024-08-28T12:24:00Z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y fmtid="{D5CDD505-2E9C-101B-9397-08002B2CF9AE}" pid="3" name="GrammarlyDocumentId">
    <vt:lpwstr>6e2548ad440962af24cca0f1ff1b9cb1d1a238cbb6c87d683c386268bb4eb07e</vt:lpwstr>
  </property>
</Properties>
</file>