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CC439" w14:textId="77777777" w:rsidR="00BD004D" w:rsidRDefault="00BD004D" w:rsidP="00BD004D">
      <w:pPr>
        <w:rPr>
          <w:b/>
          <w:bCs/>
          <w:sz w:val="28"/>
          <w:szCs w:val="28"/>
        </w:rPr>
      </w:pPr>
      <w:r w:rsidRPr="00BD004D">
        <w:rPr>
          <w:b/>
          <w:bCs/>
          <w:sz w:val="28"/>
          <w:szCs w:val="28"/>
        </w:rPr>
        <w:t>ReadMe file for script (</w:t>
      </w:r>
      <w:proofErr w:type="spellStart"/>
      <w:r w:rsidRPr="00BD004D">
        <w:rPr>
          <w:b/>
          <w:bCs/>
          <w:sz w:val="28"/>
          <w:szCs w:val="28"/>
        </w:rPr>
        <w:t>Jusyte</w:t>
      </w:r>
      <w:proofErr w:type="spellEnd"/>
      <w:r w:rsidRPr="00BD004D">
        <w:rPr>
          <w:b/>
          <w:bCs/>
          <w:sz w:val="28"/>
          <w:szCs w:val="28"/>
        </w:rPr>
        <w:t xml:space="preserve"> et al.)</w:t>
      </w:r>
    </w:p>
    <w:p w14:paraId="4EADE363" w14:textId="5F648078" w:rsidR="00FB47D2" w:rsidRDefault="00FB47D2" w:rsidP="00BD004D">
      <w:pPr>
        <w:rPr>
          <w:b/>
          <w:bCs/>
        </w:rPr>
      </w:pPr>
      <w:r w:rsidRPr="00FB47D2">
        <w:rPr>
          <w:b/>
          <w:bCs/>
        </w:rPr>
        <w:t>About the script</w:t>
      </w:r>
    </w:p>
    <w:p w14:paraId="25AFC2F3" w14:textId="28339962" w:rsidR="00FB47D2" w:rsidRPr="00FB47D2" w:rsidRDefault="00FB47D2" w:rsidP="00BD004D">
      <w:r>
        <w:t xml:space="preserve">The model and </w:t>
      </w:r>
      <w:r w:rsidR="00300410">
        <w:t>some of the following instructions are</w:t>
      </w:r>
      <w:r>
        <w:t xml:space="preserve"> based on the 2020</w:t>
      </w:r>
      <w:r w:rsidR="00300410">
        <w:t>,</w:t>
      </w:r>
      <w:r>
        <w:t xml:space="preserve"> </w:t>
      </w:r>
      <w:proofErr w:type="spellStart"/>
      <w:r>
        <w:t>Kobbersmed</w:t>
      </w:r>
      <w:proofErr w:type="spellEnd"/>
      <w:r>
        <w:t xml:space="preserve"> at al. </w:t>
      </w:r>
      <w:proofErr w:type="spellStart"/>
      <w:r>
        <w:t>eLife</w:t>
      </w:r>
      <w:proofErr w:type="spellEnd"/>
      <w:r>
        <w:t xml:space="preserve"> paper "Rapid regulation of vesicle priming explains synaptic facilitation despite heterogeneous </w:t>
      </w:r>
      <w:proofErr w:type="gramStart"/>
      <w:r>
        <w:t>vesicle:Ca</w:t>
      </w:r>
      <w:proofErr w:type="gramEnd"/>
      <w:r>
        <w:t xml:space="preserve">2+ channel distances". The paper and the original code can be found here: </w:t>
      </w:r>
      <w:hyperlink r:id="rId5" w:anchor="content" w:history="1">
        <w:r w:rsidRPr="008B2CF9">
          <w:rPr>
            <w:rStyle w:val="Hyperlink"/>
          </w:rPr>
          <w:t>https://elifesciences.org/articles/51032/figures#content</w:t>
        </w:r>
      </w:hyperlink>
      <w:r>
        <w:t xml:space="preserve">. In the original code different variations of the model are explored. For this paper </w:t>
      </w:r>
      <w:r w:rsidRPr="00FB47D2">
        <w:rPr>
          <w:i/>
          <w:iCs/>
        </w:rPr>
        <w:t>model type 47</w:t>
      </w:r>
      <w:r>
        <w:t xml:space="preserve"> was updated with a new </w:t>
      </w:r>
      <w:proofErr w:type="spellStart"/>
      <w:r>
        <w:t>unpriming</w:t>
      </w:r>
      <w:proofErr w:type="spellEnd"/>
      <w:r>
        <w:t xml:space="preserve"> reaction. Since some of the old parameters were updated and new parameters were added the other model types may not work anymore.</w:t>
      </w:r>
    </w:p>
    <w:p w14:paraId="3FE0A309" w14:textId="77777777" w:rsidR="00BD004D" w:rsidRPr="00BD004D" w:rsidRDefault="00BD004D" w:rsidP="00BD004D">
      <w:pPr>
        <w:rPr>
          <w:b/>
          <w:bCs/>
        </w:rPr>
      </w:pPr>
      <w:r w:rsidRPr="00BD004D">
        <w:rPr>
          <w:b/>
          <w:bCs/>
        </w:rPr>
        <w:t>Prior to simulations</w:t>
      </w:r>
    </w:p>
    <w:p w14:paraId="28C1977E" w14:textId="4330F502" w:rsidR="00BD004D" w:rsidRDefault="00BD004D" w:rsidP="00BD004D">
      <w:r>
        <w:t xml:space="preserve">All simulations were carried out in </w:t>
      </w:r>
      <w:proofErr w:type="spellStart"/>
      <w:r>
        <w:t>Matlab</w:t>
      </w:r>
      <w:proofErr w:type="spellEnd"/>
      <w:r>
        <w:t xml:space="preserve"> (R2020a) on a computer allowing parallel computing. </w:t>
      </w:r>
    </w:p>
    <w:p w14:paraId="25027620" w14:textId="5250895E" w:rsidR="00BD004D" w:rsidRDefault="00BD004D" w:rsidP="00BD004D">
      <w:pPr>
        <w:pStyle w:val="ListParagraph"/>
        <w:numPr>
          <w:ilvl w:val="0"/>
          <w:numId w:val="1"/>
        </w:numPr>
      </w:pPr>
      <w:r>
        <w:t xml:space="preserve">Before simulations the calcium calculator </w:t>
      </w:r>
      <w:proofErr w:type="spellStart"/>
      <w:r w:rsidRPr="00BD004D">
        <w:rPr>
          <w:i/>
          <w:iCs/>
        </w:rPr>
        <w:t>CalC</w:t>
      </w:r>
      <w:proofErr w:type="spellEnd"/>
      <w:r>
        <w:t xml:space="preserve"> needs to be installed in the same folder as the scripts (the outermost folder). The program as well as a manual on installation and usage can be found here: </w:t>
      </w:r>
      <w:hyperlink r:id="rId6" w:history="1">
        <w:r w:rsidRPr="008B2CF9">
          <w:rPr>
            <w:rStyle w:val="Hyperlink"/>
          </w:rPr>
          <w:t>https://web.njit.edu/~matveev/calc.html</w:t>
        </w:r>
      </w:hyperlink>
      <w:r>
        <w:t xml:space="preserve">. After installation, remember to set permissions to allow execution of </w:t>
      </w:r>
      <w:proofErr w:type="spellStart"/>
      <w:r w:rsidRPr="00BD004D">
        <w:rPr>
          <w:i/>
          <w:iCs/>
        </w:rPr>
        <w:t>CalC</w:t>
      </w:r>
      <w:r>
        <w:t>.</w:t>
      </w:r>
      <w:proofErr w:type="spellEnd"/>
      <w:r>
        <w:t xml:space="preserve"> Also make sure that the path to the </w:t>
      </w:r>
      <w:proofErr w:type="spellStart"/>
      <w:r w:rsidRPr="00BD004D">
        <w:rPr>
          <w:i/>
          <w:iCs/>
        </w:rPr>
        <w:t>CalC</w:t>
      </w:r>
      <w:proofErr w:type="spellEnd"/>
      <w:r>
        <w:t xml:space="preserve"> program is correct in the bottom of the </w:t>
      </w:r>
      <w:proofErr w:type="spellStart"/>
      <w:r w:rsidRPr="00BD004D">
        <w:rPr>
          <w:i/>
          <w:iCs/>
        </w:rPr>
        <w:t>RunCalC_det.m</w:t>
      </w:r>
      <w:proofErr w:type="spellEnd"/>
      <w:r>
        <w:t xml:space="preserve"> script. Otherwise, no calcium files will be created, and the </w:t>
      </w:r>
      <w:proofErr w:type="spellStart"/>
      <w:r>
        <w:t>Matlab</w:t>
      </w:r>
      <w:proofErr w:type="spellEnd"/>
      <w:r>
        <w:t xml:space="preserve"> script will return an error as it cannot open the calcium file. </w:t>
      </w:r>
      <w:proofErr w:type="spellStart"/>
      <w:r w:rsidRPr="00BD004D">
        <w:rPr>
          <w:i/>
          <w:iCs/>
        </w:rPr>
        <w:t>CalC</w:t>
      </w:r>
      <w:proofErr w:type="spellEnd"/>
      <w:r>
        <w:t xml:space="preserve"> version 6.8.6 for Windows was used in the simulations presented in the paper. This version of the program (</w:t>
      </w:r>
      <w:r w:rsidRPr="00096B50">
        <w:rPr>
          <w:i/>
          <w:iCs/>
        </w:rPr>
        <w:t>calc_686.exe</w:t>
      </w:r>
      <w:r w:rsidR="00096B50">
        <w:t xml:space="preserve">, with plug-ins: </w:t>
      </w:r>
      <w:r w:rsidR="00096B50" w:rsidRPr="00096B50">
        <w:rPr>
          <w:i/>
          <w:iCs/>
        </w:rPr>
        <w:t>cygcc_s-she.dll</w:t>
      </w:r>
      <w:r w:rsidR="00096B50">
        <w:t xml:space="preserve">, </w:t>
      </w:r>
      <w:proofErr w:type="spellStart"/>
      <w:r w:rsidR="00096B50" w:rsidRPr="00096B50">
        <w:rPr>
          <w:i/>
          <w:iCs/>
        </w:rPr>
        <w:t>cygstdc</w:t>
      </w:r>
      <w:proofErr w:type="spellEnd"/>
      <w:r w:rsidR="00096B50" w:rsidRPr="00096B50">
        <w:rPr>
          <w:i/>
          <w:iCs/>
        </w:rPr>
        <w:t>++-6.dll</w:t>
      </w:r>
      <w:r w:rsidR="00096B50">
        <w:t xml:space="preserve">, </w:t>
      </w:r>
      <w:r w:rsidR="00096B50" w:rsidRPr="00096B50">
        <w:rPr>
          <w:i/>
          <w:iCs/>
        </w:rPr>
        <w:t>cygwin1.dll</w:t>
      </w:r>
      <w:r>
        <w:t xml:space="preserve">) </w:t>
      </w:r>
      <w:r w:rsidR="00300410">
        <w:t>can be</w:t>
      </w:r>
      <w:r>
        <w:t xml:space="preserve"> in the folder containing the scripts</w:t>
      </w:r>
      <w:r w:rsidR="00300410">
        <w:t xml:space="preserve"> and can be used without further installation</w:t>
      </w:r>
      <w:r>
        <w:t xml:space="preserve">. </w:t>
      </w:r>
    </w:p>
    <w:p w14:paraId="7893C397" w14:textId="1AA44D65" w:rsidR="00BD004D" w:rsidRDefault="00BD004D" w:rsidP="00BD004D">
      <w:pPr>
        <w:pStyle w:val="ListParagraph"/>
        <w:numPr>
          <w:ilvl w:val="0"/>
          <w:numId w:val="1"/>
        </w:numPr>
      </w:pPr>
      <w:r>
        <w:t>As the scripts are sorted in folders (Common, Deterministic, Stochastic, etc.). Remember to add all folders to the search path.</w:t>
      </w:r>
    </w:p>
    <w:p w14:paraId="79CD5871" w14:textId="0937CFEC" w:rsidR="00096B50" w:rsidRPr="00096B50" w:rsidRDefault="00096B50" w:rsidP="00096B50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t xml:space="preserve">Lines 59-61 in </w:t>
      </w:r>
      <w:proofErr w:type="spellStart"/>
      <w:r w:rsidRPr="00096B50">
        <w:rPr>
          <w:i/>
          <w:iCs/>
        </w:rPr>
        <w:t>testing_the_system.m</w:t>
      </w:r>
      <w:proofErr w:type="spellEnd"/>
      <w:r w:rsidRPr="00096B50">
        <w:rPr>
          <w:i/>
          <w:iCs/>
        </w:rPr>
        <w:t xml:space="preserve"> </w:t>
      </w:r>
      <w:r>
        <w:t xml:space="preserve">are responsible for deleting old </w:t>
      </w:r>
      <w:proofErr w:type="spellStart"/>
      <w:r>
        <w:t>CalC</w:t>
      </w:r>
      <w:proofErr w:type="spellEnd"/>
      <w:r>
        <w:t xml:space="preserve"> files when running new ones for the current simulation. In line 59 </w:t>
      </w:r>
      <w:r w:rsidRPr="00096B50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PCWIN64</w:t>
      </w:r>
      <w:r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</w:t>
      </w:r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must be changed to the name of the computer (this can be acquired by simply typing </w:t>
      </w:r>
      <w:r w:rsidR="00717F8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“computer” to the Command Window</w:t>
      </w:r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). Lines 60-61 may need other syntax on Mac OS and Linux systems.</w:t>
      </w:r>
    </w:p>
    <w:p w14:paraId="57C36D1E" w14:textId="309BCF3B" w:rsidR="00BD004D" w:rsidRPr="00BD004D" w:rsidRDefault="00BD004D" w:rsidP="00BD004D">
      <w:pPr>
        <w:rPr>
          <w:b/>
          <w:bCs/>
        </w:rPr>
      </w:pPr>
      <w:r w:rsidRPr="00BD004D">
        <w:rPr>
          <w:b/>
          <w:bCs/>
        </w:rPr>
        <w:t>Calling a single simulation</w:t>
      </w:r>
    </w:p>
    <w:p w14:paraId="77E7F82D" w14:textId="32228895" w:rsidR="00BD004D" w:rsidRDefault="00BD004D" w:rsidP="00BD004D">
      <w:r>
        <w:t xml:space="preserve">The script </w:t>
      </w:r>
      <w:proofErr w:type="spellStart"/>
      <w:r w:rsidRPr="00BD004D">
        <w:rPr>
          <w:i/>
          <w:iCs/>
        </w:rPr>
        <w:t>test_run.m</w:t>
      </w:r>
      <w:proofErr w:type="spellEnd"/>
      <w:r>
        <w:t xml:space="preserve"> in the main folder defines all relevant parameters for (both a deterministic and a stochastic) simulation of the </w:t>
      </w:r>
      <w:proofErr w:type="spellStart"/>
      <w:r>
        <w:t>unpriming</w:t>
      </w:r>
      <w:proofErr w:type="spellEnd"/>
      <w:r>
        <w:t xml:space="preserve"> model presented in the paper with the best fitted parameters. As default it runs 200 repetitions of the stochastic simulation.</w:t>
      </w:r>
      <w:r w:rsidR="00307E6E">
        <w:t xml:space="preserve"> This can be adjusted in line 10 of </w:t>
      </w:r>
      <w:proofErr w:type="spellStart"/>
      <w:r w:rsidR="00307E6E" w:rsidRPr="00307E6E">
        <w:rPr>
          <w:i/>
          <w:iCs/>
        </w:rPr>
        <w:t>model_parameters_det.m</w:t>
      </w:r>
      <w:proofErr w:type="spellEnd"/>
      <w:r w:rsidR="00307E6E">
        <w:t>.</w:t>
      </w:r>
      <w:r>
        <w:t xml:space="preserve"> </w:t>
      </w:r>
      <w:r w:rsidR="00307E6E">
        <w:t xml:space="preserve">Function </w:t>
      </w:r>
      <w:proofErr w:type="spellStart"/>
      <w:r w:rsidRPr="00FB47D2">
        <w:rPr>
          <w:i/>
          <w:iCs/>
        </w:rPr>
        <w:t>run_more_reps.m</w:t>
      </w:r>
      <w:proofErr w:type="spellEnd"/>
      <w:r w:rsidR="00307E6E">
        <w:t xml:space="preserve"> can also be used for running more repetitions</w:t>
      </w:r>
      <w:r>
        <w:t>.</w:t>
      </w:r>
    </w:p>
    <w:p w14:paraId="1928D847" w14:textId="5B48BA44" w:rsidR="00BD004D" w:rsidRDefault="00300410" w:rsidP="00BD004D">
      <w:pPr>
        <w:rPr>
          <w:b/>
          <w:bCs/>
        </w:rPr>
      </w:pPr>
      <w:r>
        <w:rPr>
          <w:b/>
          <w:bCs/>
        </w:rPr>
        <w:t>Other relevant functions</w:t>
      </w:r>
      <w:r w:rsidR="00BD004D" w:rsidRPr="00FB47D2">
        <w:rPr>
          <w:b/>
          <w:bCs/>
        </w:rPr>
        <w:t>:</w:t>
      </w:r>
    </w:p>
    <w:p w14:paraId="0173D1A8" w14:textId="45CB99E3" w:rsidR="00300410" w:rsidRPr="00300410" w:rsidRDefault="00300410" w:rsidP="00BD004D">
      <w:r w:rsidRPr="00300410">
        <w:t xml:space="preserve">The following functions are relevant to the model type presented in the paper. </w:t>
      </w:r>
      <w:r>
        <w:t xml:space="preserve">For other details of the script refer to the 2020 </w:t>
      </w:r>
      <w:proofErr w:type="spellStart"/>
      <w:r>
        <w:t>Kobbersmed</w:t>
      </w:r>
      <w:proofErr w:type="spellEnd"/>
      <w:r>
        <w:t xml:space="preserve"> et al.</w:t>
      </w:r>
    </w:p>
    <w:p w14:paraId="02CF53AE" w14:textId="2A54777D" w:rsidR="002A24E2" w:rsidRDefault="00BD004D" w:rsidP="00BD004D">
      <w:proofErr w:type="spellStart"/>
      <w:r w:rsidRPr="00FB47D2">
        <w:rPr>
          <w:i/>
          <w:iCs/>
        </w:rPr>
        <w:t>parameter_choices.m</w:t>
      </w:r>
      <w:proofErr w:type="spellEnd"/>
      <w:r>
        <w:t xml:space="preserve">: Given a model choice and initial parameters, this script provides an input vector of parameters to be fed into </w:t>
      </w:r>
      <w:proofErr w:type="spellStart"/>
      <w:r w:rsidRPr="00D65762">
        <w:rPr>
          <w:i/>
          <w:iCs/>
        </w:rPr>
        <w:t>model_parameters_DET</w:t>
      </w:r>
      <w:proofErr w:type="spellEnd"/>
      <w:r>
        <w:t xml:space="preserve">. Also provides an initial result file name (modified in other scripts). </w:t>
      </w:r>
      <w:r w:rsidR="00717F89">
        <w:t xml:space="preserve"> Lines 419-426 of </w:t>
      </w:r>
      <w:proofErr w:type="spellStart"/>
      <w:r w:rsidR="00717F89" w:rsidRPr="00717F89">
        <w:rPr>
          <w:i/>
          <w:iCs/>
        </w:rPr>
        <w:t>parameter_choices.m</w:t>
      </w:r>
      <w:proofErr w:type="spellEnd"/>
      <w:r w:rsidR="00717F89">
        <w:t xml:space="preserve"> contain the parameters of the model that are set from </w:t>
      </w:r>
      <w:proofErr w:type="spellStart"/>
      <w:r w:rsidR="00717F89" w:rsidRPr="00717F89">
        <w:rPr>
          <w:i/>
          <w:iCs/>
        </w:rPr>
        <w:t>test_tun.m</w:t>
      </w:r>
      <w:proofErr w:type="spellEnd"/>
      <w:r w:rsidR="00717F89">
        <w:t xml:space="preserve"> as default.</w:t>
      </w:r>
      <w:r w:rsidR="007F54B2">
        <w:t xml:space="preserve"> </w:t>
      </w:r>
      <w:r w:rsidR="007F54B2">
        <w:rPr>
          <w:i/>
          <w:iCs/>
        </w:rPr>
        <w:t>K</w:t>
      </w:r>
      <w:r w:rsidR="007F54B2" w:rsidRPr="007F54B2">
        <w:rPr>
          <w:i/>
          <w:iCs/>
          <w:vertAlign w:val="subscript"/>
        </w:rPr>
        <w:t>D</w:t>
      </w:r>
      <w:r w:rsidR="007F54B2">
        <w:t xml:space="preserve"> is raised to the power of </w:t>
      </w:r>
      <w:r w:rsidR="007F54B2" w:rsidRPr="007F54B2">
        <w:rPr>
          <w:i/>
          <w:iCs/>
        </w:rPr>
        <w:t>n*m</w:t>
      </w:r>
      <w:r w:rsidR="00717F89">
        <w:t xml:space="preserve"> </w:t>
      </w:r>
      <w:r w:rsidR="007F54B2">
        <w:t>(</w:t>
      </w:r>
      <m:oMath>
        <m:sSubSup>
          <m:sSubSupPr>
            <m:ctrlPr>
              <w:rPr>
                <w:rFonts w:ascii="Cambria Math" w:eastAsia="Calibri" w:hAnsi="Cambria Math" w:cs="Calibri"/>
                <w:i/>
                <w:color w:val="000000" w:themeColor="text1"/>
              </w:rPr>
            </m:ctrlPr>
          </m:sSubSupPr>
          <m:e>
            <m:r>
              <w:rPr>
                <w:rFonts w:ascii="Cambria Math" w:eastAsia="Calibri" w:hAnsi="Cambria Math" w:cs="Calibri"/>
                <w:color w:val="000000" w:themeColor="text1"/>
              </w:rPr>
              <m:t>K</m:t>
            </m:r>
          </m:e>
          <m:sub>
            <m:r>
              <w:rPr>
                <w:rFonts w:ascii="Cambria Math" w:eastAsia="Calibri" w:hAnsi="Cambria Math" w:cs="Calibri"/>
                <w:color w:val="000000" w:themeColor="text1"/>
              </w:rPr>
              <m:t>D</m:t>
            </m:r>
          </m:sub>
          <m:sup>
            <m:r>
              <w:rPr>
                <w:rFonts w:ascii="Cambria Math" w:eastAsia="Calibri" w:hAnsi="Cambria Math" w:cs="Calibri"/>
                <w:color w:val="000000" w:themeColor="text1"/>
              </w:rPr>
              <m:t>n*m</m:t>
            </m:r>
          </m:sup>
        </m:sSubSup>
      </m:oMath>
      <w:r w:rsidR="007F54B2">
        <w:t xml:space="preserve">) in the parameter initialization and </w:t>
      </w:r>
      <w:r w:rsidR="00307E6E">
        <w:t xml:space="preserve">it </w:t>
      </w:r>
      <w:r w:rsidR="00D65762">
        <w:t>is passed down in that form for further use (</w:t>
      </w:r>
      <w:proofErr w:type="spellStart"/>
      <w:r w:rsidR="00D65762">
        <w:t>prim_kM</w:t>
      </w:r>
      <w:proofErr w:type="spellEnd"/>
      <w:r w:rsidR="00D65762">
        <w:t xml:space="preserve">). </w:t>
      </w:r>
      <w:r w:rsidR="00D65762" w:rsidRPr="00D65762">
        <w:rPr>
          <w:i/>
          <w:iCs/>
        </w:rPr>
        <w:t>m</w:t>
      </w:r>
      <w:r w:rsidR="007F54B2">
        <w:t xml:space="preserve"> is </w:t>
      </w:r>
      <w:r w:rsidR="00D65762">
        <w:t xml:space="preserve">multiplied by </w:t>
      </w:r>
      <w:proofErr w:type="gramStart"/>
      <w:r w:rsidR="00D65762" w:rsidRPr="00D65762">
        <w:rPr>
          <w:i/>
          <w:iCs/>
        </w:rPr>
        <w:t>n</w:t>
      </w:r>
      <w:proofErr w:type="gramEnd"/>
      <w:r w:rsidR="00D65762">
        <w:rPr>
          <w:i/>
          <w:iCs/>
        </w:rPr>
        <w:t xml:space="preserve"> </w:t>
      </w:r>
      <w:r w:rsidR="00D65762" w:rsidRPr="00D65762">
        <w:t>and</w:t>
      </w:r>
      <w:r w:rsidR="00D65762">
        <w:t xml:space="preserve"> </w:t>
      </w:r>
      <w:r w:rsidR="00307E6E">
        <w:t xml:space="preserve">it is </w:t>
      </w:r>
      <w:r w:rsidR="00D65762">
        <w:t xml:space="preserve">passed down as </w:t>
      </w:r>
      <w:proofErr w:type="spellStart"/>
      <w:r w:rsidR="00D65762">
        <w:t>Ca_prim_type</w:t>
      </w:r>
      <w:proofErr w:type="spellEnd"/>
      <w:r w:rsidR="00D65762">
        <w:t xml:space="preserve">. </w:t>
      </w:r>
      <w:proofErr w:type="spellStart"/>
      <w:r w:rsidR="00D65762" w:rsidRPr="00D65762">
        <w:rPr>
          <w:i/>
          <w:iCs/>
        </w:rPr>
        <w:t>Unprim_mutant</w:t>
      </w:r>
      <w:proofErr w:type="spellEnd"/>
      <w:r w:rsidR="00D65762">
        <w:rPr>
          <w:i/>
          <w:iCs/>
        </w:rPr>
        <w:t xml:space="preserve"> </w:t>
      </w:r>
      <w:r w:rsidR="00D65762">
        <w:t xml:space="preserve">defines the type of </w:t>
      </w:r>
      <w:proofErr w:type="spellStart"/>
      <w:r w:rsidR="00D65762">
        <w:t>unpriming</w:t>
      </w:r>
      <w:proofErr w:type="spellEnd"/>
      <w:r w:rsidR="00D65762">
        <w:t xml:space="preserve"> (0: Ca</w:t>
      </w:r>
      <w:r w:rsidR="00D65762" w:rsidRPr="00D65762">
        <w:rPr>
          <w:vertAlign w:val="superscript"/>
        </w:rPr>
        <w:t>2+</w:t>
      </w:r>
      <w:r w:rsidR="00D65762">
        <w:rPr>
          <w:vertAlign w:val="superscript"/>
        </w:rPr>
        <w:t xml:space="preserve"> </w:t>
      </w:r>
      <w:r w:rsidR="00D65762">
        <w:lastRenderedPageBreak/>
        <w:t xml:space="preserve">dependent </w:t>
      </w:r>
      <w:proofErr w:type="spellStart"/>
      <w:r w:rsidR="00D65762">
        <w:t>unpriming</w:t>
      </w:r>
      <w:proofErr w:type="spellEnd"/>
      <w:r w:rsidR="00D65762">
        <w:t xml:space="preserve"> </w:t>
      </w:r>
      <w:r w:rsidR="00D15090">
        <w:t xml:space="preserve">rate </w:t>
      </w:r>
      <w:r w:rsidR="00D65762">
        <w:t xml:space="preserve">defined in equation 18 of the article, 1: </w:t>
      </w:r>
      <w:r w:rsidR="00D15090">
        <w:t>Constant low Ca</w:t>
      </w:r>
      <w:r w:rsidR="00D15090" w:rsidRPr="00D65762">
        <w:rPr>
          <w:vertAlign w:val="superscript"/>
        </w:rPr>
        <w:t>2+</w:t>
      </w:r>
      <w:r w:rsidR="00D15090" w:rsidRPr="00D15090">
        <w:t xml:space="preserve"> in</w:t>
      </w:r>
      <w:r w:rsidR="00D15090">
        <w:t xml:space="preserve">dependent </w:t>
      </w:r>
      <w:proofErr w:type="spellStart"/>
      <w:r w:rsidR="00D15090">
        <w:t>unpriming</w:t>
      </w:r>
      <w:proofErr w:type="spellEnd"/>
      <w:r w:rsidR="00D15090">
        <w:t xml:space="preserve"> rate defined in equation 19 of the article, 2: Constant high </w:t>
      </w:r>
      <w:proofErr w:type="spellStart"/>
      <w:r w:rsidR="00D15090">
        <w:t>unpriming</w:t>
      </w:r>
      <w:proofErr w:type="spellEnd"/>
      <w:r w:rsidR="00D15090">
        <w:t xml:space="preserve"> rate)</w:t>
      </w:r>
      <w:r w:rsidR="00307E6E">
        <w:t>.</w:t>
      </w:r>
    </w:p>
    <w:p w14:paraId="439611B3" w14:textId="47C33473" w:rsidR="00307E6E" w:rsidRDefault="00307E6E" w:rsidP="00BD004D">
      <w:proofErr w:type="spellStart"/>
      <w:r w:rsidRPr="00307E6E">
        <w:rPr>
          <w:i/>
          <w:iCs/>
        </w:rPr>
        <w:t>calculate_Caprim_rate</w:t>
      </w:r>
      <w:r w:rsidR="00EC02D4">
        <w:rPr>
          <w:i/>
          <w:iCs/>
        </w:rPr>
        <w:t>.m</w:t>
      </w:r>
      <w:proofErr w:type="spellEnd"/>
      <w:r>
        <w:t xml:space="preserve">: Function calculating the priming and </w:t>
      </w:r>
      <w:proofErr w:type="spellStart"/>
      <w:r>
        <w:t>unpriming</w:t>
      </w:r>
      <w:proofErr w:type="spellEnd"/>
      <w:r>
        <w:t xml:space="preserve"> rates.</w:t>
      </w:r>
    </w:p>
    <w:p w14:paraId="4278B751" w14:textId="46A7C305" w:rsidR="00307E6E" w:rsidRDefault="00087D0A" w:rsidP="00BD004D">
      <w:pPr>
        <w:rPr>
          <w:lang w:val="hu-HU"/>
        </w:rPr>
      </w:pPr>
      <w:r w:rsidRPr="00AE251F">
        <w:rPr>
          <w:i/>
          <w:iCs/>
          <w:lang w:val="hu-HU"/>
        </w:rPr>
        <w:t>fit_model4_mutant_and_wt</w:t>
      </w:r>
      <w:r w:rsidR="00EC02D4">
        <w:rPr>
          <w:i/>
          <w:iCs/>
          <w:lang w:val="hu-HU"/>
        </w:rPr>
        <w:t>.m</w:t>
      </w:r>
      <w:r>
        <w:rPr>
          <w:lang w:val="hu-HU"/>
        </w:rPr>
        <w:t xml:space="preserve">, </w:t>
      </w:r>
      <w:r w:rsidRPr="00AE251F">
        <w:rPr>
          <w:i/>
          <w:iCs/>
          <w:lang w:val="hu-HU"/>
        </w:rPr>
        <w:t>cost_model4</w:t>
      </w:r>
      <w:r w:rsidR="00842551" w:rsidRPr="00AE251F">
        <w:rPr>
          <w:i/>
          <w:iCs/>
          <w:lang w:val="hu-HU"/>
        </w:rPr>
        <w:t>_mutant_and_wt</w:t>
      </w:r>
      <w:r w:rsidR="00EC02D4">
        <w:rPr>
          <w:i/>
          <w:iCs/>
          <w:lang w:val="hu-HU"/>
        </w:rPr>
        <w:t>.m</w:t>
      </w:r>
      <w:r w:rsidR="00842551">
        <w:rPr>
          <w:lang w:val="hu-HU"/>
        </w:rPr>
        <w:t xml:space="preserve"> and </w:t>
      </w:r>
      <w:proofErr w:type="spellStart"/>
      <w:r w:rsidR="00842551" w:rsidRPr="00AE251F">
        <w:rPr>
          <w:i/>
          <w:iCs/>
          <w:lang w:val="hu-HU"/>
        </w:rPr>
        <w:t>determine_cost_bothpeaks_numves_factor</w:t>
      </w:r>
      <w:r w:rsidR="00AE251F" w:rsidRPr="00AE251F">
        <w:rPr>
          <w:i/>
          <w:iCs/>
          <w:lang w:val="hu-HU"/>
        </w:rPr>
        <w:t>_mutant_and_wt</w:t>
      </w:r>
      <w:r w:rsidR="00EC02D4">
        <w:rPr>
          <w:i/>
          <w:iCs/>
          <w:lang w:val="hu-HU"/>
        </w:rPr>
        <w:t>.m</w:t>
      </w:r>
      <w:proofErr w:type="spellEnd"/>
      <w:r w:rsidR="00F55046">
        <w:rPr>
          <w:lang w:val="hu-HU"/>
        </w:rPr>
        <w:t xml:space="preserve">: </w:t>
      </w:r>
      <w:proofErr w:type="spellStart"/>
      <w:r w:rsidR="00AE251F">
        <w:rPr>
          <w:lang w:val="hu-HU"/>
        </w:rPr>
        <w:t>functions</w:t>
      </w:r>
      <w:proofErr w:type="spellEnd"/>
      <w:r w:rsidR="00AE251F">
        <w:rPr>
          <w:lang w:val="hu-HU"/>
        </w:rPr>
        <w:t xml:space="preserve"> </w:t>
      </w:r>
      <w:proofErr w:type="spellStart"/>
      <w:r w:rsidR="00AE251F">
        <w:rPr>
          <w:lang w:val="hu-HU"/>
        </w:rPr>
        <w:t>used</w:t>
      </w:r>
      <w:proofErr w:type="spellEnd"/>
      <w:r w:rsidR="00AE251F">
        <w:rPr>
          <w:lang w:val="hu-HU"/>
        </w:rPr>
        <w:t xml:space="preserve"> </w:t>
      </w:r>
      <w:proofErr w:type="spellStart"/>
      <w:r w:rsidR="00AE251F">
        <w:rPr>
          <w:lang w:val="hu-HU"/>
        </w:rPr>
        <w:t>for</w:t>
      </w:r>
      <w:proofErr w:type="spellEnd"/>
      <w:r w:rsidR="00AE251F">
        <w:rPr>
          <w:lang w:val="hu-HU"/>
        </w:rPr>
        <w:t xml:space="preserve"> fitting </w:t>
      </w:r>
      <w:proofErr w:type="spellStart"/>
      <w:r w:rsidR="00AE251F">
        <w:rPr>
          <w:lang w:val="hu-HU"/>
        </w:rPr>
        <w:t>the</w:t>
      </w:r>
      <w:proofErr w:type="spellEnd"/>
      <w:r w:rsidR="00AE251F">
        <w:rPr>
          <w:lang w:val="hu-HU"/>
        </w:rPr>
        <w:t xml:space="preserve"> </w:t>
      </w:r>
      <w:proofErr w:type="spellStart"/>
      <w:r w:rsidR="00AE251F">
        <w:rPr>
          <w:lang w:val="hu-HU"/>
        </w:rPr>
        <w:t>model</w:t>
      </w:r>
      <w:proofErr w:type="spellEnd"/>
      <w:r w:rsidR="00AE251F">
        <w:rPr>
          <w:lang w:val="hu-HU"/>
        </w:rPr>
        <w:t xml:space="preserve"> </w:t>
      </w:r>
      <w:proofErr w:type="spellStart"/>
      <w:r w:rsidR="00AE251F">
        <w:rPr>
          <w:lang w:val="hu-HU"/>
        </w:rPr>
        <w:t>parameters</w:t>
      </w:r>
      <w:proofErr w:type="spellEnd"/>
      <w:r w:rsidR="00AE251F">
        <w:rPr>
          <w:lang w:val="hu-HU"/>
        </w:rPr>
        <w:t xml:space="preserve"> </w:t>
      </w:r>
      <w:proofErr w:type="spellStart"/>
      <w:r w:rsidR="00AE251F">
        <w:rPr>
          <w:lang w:val="hu-HU"/>
        </w:rPr>
        <w:t>to</w:t>
      </w:r>
      <w:proofErr w:type="spellEnd"/>
      <w:r w:rsidR="00AE251F">
        <w:rPr>
          <w:lang w:val="hu-HU"/>
        </w:rPr>
        <w:t xml:space="preserve"> </w:t>
      </w:r>
      <w:proofErr w:type="spellStart"/>
      <w:r w:rsidR="00AE251F">
        <w:rPr>
          <w:lang w:val="hu-HU"/>
        </w:rPr>
        <w:t>the</w:t>
      </w:r>
      <w:proofErr w:type="spellEnd"/>
      <w:r w:rsidR="00AE251F">
        <w:rPr>
          <w:lang w:val="hu-HU"/>
        </w:rPr>
        <w:t xml:space="preserve"> </w:t>
      </w:r>
      <w:proofErr w:type="spellStart"/>
      <w:r w:rsidR="00AE251F">
        <w:rPr>
          <w:lang w:val="hu-HU"/>
        </w:rPr>
        <w:t>experimental</w:t>
      </w:r>
      <w:proofErr w:type="spellEnd"/>
      <w:r w:rsidR="00AE251F">
        <w:rPr>
          <w:lang w:val="hu-HU"/>
        </w:rPr>
        <w:t xml:space="preserve"> </w:t>
      </w:r>
      <w:proofErr w:type="spellStart"/>
      <w:r w:rsidR="00AE251F">
        <w:rPr>
          <w:lang w:val="hu-HU"/>
        </w:rPr>
        <w:t>data</w:t>
      </w:r>
      <w:proofErr w:type="spellEnd"/>
      <w:r w:rsidR="00AE251F">
        <w:rPr>
          <w:lang w:val="hu-HU"/>
        </w:rPr>
        <w:t>.</w:t>
      </w:r>
    </w:p>
    <w:p w14:paraId="18B7F8DB" w14:textId="247DB4AB" w:rsidR="00AE251F" w:rsidRDefault="00EE22C4" w:rsidP="00BD004D">
      <w:r w:rsidRPr="00D46C17">
        <w:rPr>
          <w:i/>
          <w:iCs/>
        </w:rPr>
        <w:t>New_experiments_mutant_and_wt_peaks12_ppr.mat</w:t>
      </w:r>
      <w:r>
        <w:t xml:space="preserve"> and </w:t>
      </w:r>
      <w:proofErr w:type="spellStart"/>
      <w:r w:rsidR="00E8082B" w:rsidRPr="00D46C17">
        <w:rPr>
          <w:i/>
          <w:iCs/>
        </w:rPr>
        <w:t>full_exp_data.mat</w:t>
      </w:r>
      <w:proofErr w:type="spellEnd"/>
      <w:r w:rsidR="00130BC8">
        <w:t>:</w:t>
      </w:r>
      <w:r w:rsidR="00E8082B">
        <w:t xml:space="preserve"> files</w:t>
      </w:r>
      <w:r w:rsidR="00130BC8">
        <w:t xml:space="preserve"> that</w:t>
      </w:r>
      <w:r w:rsidR="00E8082B">
        <w:t xml:space="preserve"> contain the experimental data used for </w:t>
      </w:r>
      <w:r w:rsidR="00F55046">
        <w:t>the fitting and generating the figures.</w:t>
      </w:r>
    </w:p>
    <w:p w14:paraId="5F598D3B" w14:textId="7DC71ED9" w:rsidR="00F55046" w:rsidRDefault="00D46C17" w:rsidP="00BD004D">
      <w:proofErr w:type="spellStart"/>
      <w:r w:rsidRPr="00D46C17">
        <w:rPr>
          <w:i/>
          <w:iCs/>
        </w:rPr>
        <w:t>figures</w:t>
      </w:r>
      <w:r w:rsidR="00EC02D4">
        <w:rPr>
          <w:i/>
          <w:iCs/>
        </w:rPr>
        <w:t>.m</w:t>
      </w:r>
      <w:proofErr w:type="spellEnd"/>
      <w:r>
        <w:t xml:space="preserve">: </w:t>
      </w:r>
      <w:r w:rsidR="00EC02D4">
        <w:t>script</w:t>
      </w:r>
      <w:r>
        <w:t xml:space="preserve"> used for generating figures </w:t>
      </w:r>
      <w:r w:rsidR="005F1E68">
        <w:t>2 and s1.</w:t>
      </w:r>
    </w:p>
    <w:p w14:paraId="4D3DAFF7" w14:textId="31CEFA4C" w:rsidR="000B32C2" w:rsidRPr="00087D0A" w:rsidRDefault="00540077" w:rsidP="00BD004D">
      <w:proofErr w:type="spellStart"/>
      <w:r w:rsidRPr="00540077">
        <w:rPr>
          <w:i/>
          <w:iCs/>
        </w:rPr>
        <w:t>new_result</w:t>
      </w:r>
      <w:proofErr w:type="spellEnd"/>
      <w:r>
        <w:t xml:space="preserve">: folder containing the simulation results used for </w:t>
      </w:r>
      <w:r w:rsidR="00406CB3">
        <w:t>generating the figures.</w:t>
      </w:r>
    </w:p>
    <w:sectPr w:rsidR="000B32C2" w:rsidRPr="00087D0A" w:rsidSect="00167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3294E"/>
    <w:multiLevelType w:val="hybridMultilevel"/>
    <w:tmpl w:val="38E4F5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138CF"/>
    <w:multiLevelType w:val="hybridMultilevel"/>
    <w:tmpl w:val="0AD61A92"/>
    <w:lvl w:ilvl="0" w:tplc="59184F0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409780">
    <w:abstractNumId w:val="0"/>
  </w:num>
  <w:num w:numId="2" w16cid:durableId="276568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4D"/>
    <w:rsid w:val="00087D0A"/>
    <w:rsid w:val="00096B50"/>
    <w:rsid w:val="000B32C2"/>
    <w:rsid w:val="00130BC8"/>
    <w:rsid w:val="001673EB"/>
    <w:rsid w:val="0025394C"/>
    <w:rsid w:val="002A24E2"/>
    <w:rsid w:val="00300410"/>
    <w:rsid w:val="00307E6E"/>
    <w:rsid w:val="00340B5D"/>
    <w:rsid w:val="003F1AF8"/>
    <w:rsid w:val="00406CB3"/>
    <w:rsid w:val="004B5736"/>
    <w:rsid w:val="00540077"/>
    <w:rsid w:val="005F1E68"/>
    <w:rsid w:val="00717F89"/>
    <w:rsid w:val="007F54B2"/>
    <w:rsid w:val="00842551"/>
    <w:rsid w:val="008C5504"/>
    <w:rsid w:val="009C558D"/>
    <w:rsid w:val="00A161F3"/>
    <w:rsid w:val="00AE251F"/>
    <w:rsid w:val="00BC2240"/>
    <w:rsid w:val="00BD004D"/>
    <w:rsid w:val="00D138D9"/>
    <w:rsid w:val="00D15090"/>
    <w:rsid w:val="00D46C17"/>
    <w:rsid w:val="00D51BD9"/>
    <w:rsid w:val="00D65762"/>
    <w:rsid w:val="00E8082B"/>
    <w:rsid w:val="00EC02D4"/>
    <w:rsid w:val="00EE22C4"/>
    <w:rsid w:val="00F55046"/>
    <w:rsid w:val="00FB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7C5F4"/>
  <w15:chartTrackingRefBased/>
  <w15:docId w15:val="{7E74C507-C382-4F79-A877-B2886044E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0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0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0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njit.edu/~matveev/calc.html" TargetMode="External"/><Relationship Id="rId5" Type="http://schemas.openxmlformats.org/officeDocument/2006/relationships/hyperlink" Target="https://elifesciences.org/articles/51032/figu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Botond Vamosi</dc:creator>
  <cp:keywords/>
  <dc:description/>
  <cp:lastModifiedBy>Abel Botond Vamosi</cp:lastModifiedBy>
  <cp:revision>16</cp:revision>
  <dcterms:created xsi:type="dcterms:W3CDTF">2023-04-13T11:56:00Z</dcterms:created>
  <dcterms:modified xsi:type="dcterms:W3CDTF">2023-04-19T09:22:00Z</dcterms:modified>
</cp:coreProperties>
</file>