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集团核心系统运维保障与服务等级协议 (SLA)</w:t>
      </w:r>
    </w:p>
    <w:p>
      <w:r>
        <w:t>本协议由集团基础设施技术保障部与各业务中心联合制定，用于规范生产故障处理链路与考核指标。</w:t>
      </w:r>
    </w:p>
    <w:p>
      <w:r>
        <w:t>各业务系统负责人必须严格遵守以下故障定级标准与恢复预案要求。</w:t>
      </w:r>
    </w:p>
    <w:p>
      <w:pPr>
        <w:pStyle w:val="Heading2"/>
      </w:pPr>
      <w:r>
        <w:t>一、故障等级与紧急响应时限矩阵</w:t>
      </w:r>
    </w:p>
    <w:p>
      <w:r>
        <w:t>系统突发故障发生时，各责任中心应按下表规定的时限启动应急响应，严禁瞒报或推诿：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故障级别</w:t>
            </w:r>
          </w:p>
        </w:tc>
        <w:tc>
          <w:tcPr>
            <w:tcW w:type="dxa" w:w="2160"/>
          </w:tcPr>
          <w:p>
            <w:r>
              <w:t>业务影响范围</w:t>
            </w:r>
          </w:p>
        </w:tc>
        <w:tc>
          <w:tcPr>
            <w:tcW w:type="dxa" w:w="2160"/>
          </w:tcPr>
          <w:p>
            <w:r>
              <w:t>响应达标时限</w:t>
            </w:r>
          </w:p>
        </w:tc>
        <w:tc>
          <w:tcPr>
            <w:tcW w:type="dxa" w:w="2160"/>
          </w:tcPr>
          <w:p>
            <w:r>
              <w:t>降级与容灾措施</w:t>
            </w:r>
          </w:p>
        </w:tc>
      </w:tr>
      <w:tr>
        <w:tc>
          <w:tcPr>
            <w:tcW w:type="dxa" w:w="2160"/>
          </w:tcPr>
          <w:p>
            <w:r>
              <w:t>P0 (灾难级)</w:t>
            </w:r>
          </w:p>
        </w:tc>
        <w:tc>
          <w:tcPr>
            <w:tcW w:type="dxa" w:w="2160"/>
          </w:tcPr>
          <w:p>
            <w:r>
              <w:t>核心交易或结算链路中断 &gt; 5分钟</w:t>
            </w:r>
          </w:p>
        </w:tc>
        <w:tc>
          <w:tcPr>
            <w:tcW w:type="dxa" w:w="2160"/>
          </w:tcPr>
          <w:p>
            <w:r>
              <w:t>≤ 3 分钟</w:t>
            </w:r>
          </w:p>
        </w:tc>
        <w:tc>
          <w:tcPr>
            <w:tcW w:type="dxa" w:w="2160"/>
          </w:tcPr>
          <w:p>
            <w:r>
              <w:t>自动触发跨机房切流，拉起 WarRoom 指挥群</w:t>
            </w:r>
          </w:p>
        </w:tc>
      </w:tr>
      <w:tr>
        <w:tc>
          <w:tcPr>
            <w:tcW w:type="dxa" w:w="2160"/>
          </w:tcPr>
          <w:p>
            <w:r>
              <w:t>P1 (严重级)</w:t>
            </w:r>
          </w:p>
        </w:tc>
        <w:tc>
          <w:tcPr>
            <w:tcW w:type="dxa" w:w="2160"/>
          </w:tcPr>
          <w:p>
            <w:r>
              <w:t>单一业务集群或主打业务功能不可用</w:t>
            </w:r>
          </w:p>
        </w:tc>
        <w:tc>
          <w:tcPr>
            <w:tcW w:type="dxa" w:w="2160"/>
          </w:tcPr>
          <w:p>
            <w:r>
              <w:t>≤ 10 分钟</w:t>
            </w:r>
          </w:p>
        </w:tc>
        <w:tc>
          <w:tcPr>
            <w:tcW w:type="dxa" w:w="2160"/>
          </w:tcPr>
          <w:p>
            <w:r>
              <w:t>熔断故障依赖，开启只读兜底降级方案</w:t>
            </w:r>
          </w:p>
        </w:tc>
      </w:tr>
      <w:tr>
        <w:tc>
          <w:tcPr>
            <w:tcW w:type="dxa" w:w="2160"/>
          </w:tcPr>
          <w:p>
            <w:r>
              <w:t>P2 (一般级)</w:t>
            </w:r>
          </w:p>
        </w:tc>
        <w:tc>
          <w:tcPr>
            <w:tcW w:type="dxa" w:w="2160"/>
          </w:tcPr>
          <w:p>
            <w:r>
              <w:t>非核心业务模块异常或偶发性超时</w:t>
            </w:r>
          </w:p>
        </w:tc>
        <w:tc>
          <w:tcPr>
            <w:tcW w:type="dxa" w:w="2160"/>
          </w:tcPr>
          <w:p>
            <w:r>
              <w:t>≤ 30 分钟</w:t>
            </w:r>
          </w:p>
        </w:tc>
        <w:tc>
          <w:tcPr>
            <w:tcW w:type="dxa" w:w="2160"/>
          </w:tcPr>
          <w:p>
            <w:r>
              <w:t>摘除异常实例，收集链路追踪 Log 工单排期</w:t>
            </w:r>
          </w:p>
        </w:tc>
      </w:tr>
    </w:tbl>
    <w:p>
      <w:r>
        <w:t>【特别声明】：上表中的响应时限以 APM 监控平台自动触发告警的打点时间戳为准。</w:t>
      </w:r>
    </w:p>
    <w:p>
      <w:pPr>
        <w:pStyle w:val="Heading2"/>
      </w:pPr>
      <w:r>
        <w:t>二、免责条款与不可抗力说明</w:t>
      </w:r>
    </w:p>
    <w:p>
      <w:r>
        <w:t>由外部运营商骨干网络中断或云厂商基础机房断电引发的大规模不可抗力事件，经技术委员会评审核实后可免予扣减 SLA 绩效积分。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