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A1A2E"/>
          <w:sz w:val="72"/>
          <w:szCs w:val="72"/>
        </w:rPr>
        <w:t xml:space="preserve">FROM PROOF OF FAMILY</w:t>
      </w:r>
    </w:p>
    <w:p>
      <w:pPr>
        <w:spacing w:before="0" w:after="80"/>
      </w:pPr>
      <w:r>
        <w:rPr>
          <w:rFonts w:ascii="Arial" w:cs="Arial" w:eastAsia="Arial" w:hAnsi="Arial"/>
          <w:b/>
          <w:bCs/>
          <w:color w:val="E8B84B"/>
          <w:sz w:val="72"/>
          <w:szCs w:val="72"/>
        </w:rPr>
        <w:t xml:space="preserve">TO PROOF OF PERSONHOOD</w:t>
      </w:r>
    </w:p>
    <w:p>
      <w:pPr>
        <w:spacing w:before="120" w:after="400"/>
      </w:pPr>
      <w:r>
        <w:rPr>
          <w:rFonts w:ascii="Arial" w:cs="Arial" w:eastAsia="Arial" w:hAnsi="Arial"/>
          <w:i/>
          <w:iCs/>
          <w:color w:val="6B6B6B"/>
          <w:sz w:val="28"/>
          <w:szCs w:val="28"/>
        </w:rPr>
        <w:t xml:space="preserve">A Rural Social Experiment on the Kusama Network</w:t>
      </w:r>
    </w:p>
    <w:p>
      <w:pPr>
        <w:spacing w:before="0" w:after="80"/>
      </w:pPr>
      <w:r>
        <w:rPr>
          <w:rFonts w:ascii="Arial" w:cs="Arial" w:eastAsia="Arial" w:hAnsi="Arial"/>
          <w:color w:val="444444"/>
          <w:sz w:val="22"/>
          <w:szCs w:val="22"/>
        </w:rPr>
        <w:t xml:space="preserve">MVP Proposal — Art &amp; Social Experiments Bounty</w:t>
      </w:r>
    </w:p>
    <w:p>
      <w:pPr>
        <w:spacing w:before="0" w:after="80"/>
      </w:pPr>
      <w:r>
        <w:rPr>
          <w:rFonts w:ascii="Arial" w:cs="Arial" w:eastAsia="Arial" w:hAnsi="Arial"/>
          <w:color w:val="6B6B6B"/>
          <w:sz w:val="20"/>
          <w:szCs w:val="20"/>
        </w:rPr>
        <w:t xml:space="preserve">Kusama Vision Initiative  |  Web3 Foundation  |  2025</w:t>
      </w:r>
    </w:p>
    <w:p>
      <w:pPr>
        <w:spacing w:before="100" w:after="100"/>
      </w:pPr>
    </w:p>
    <w:p>
      <w:pPr>
        <w:pStyle w:val="Heading1"/>
        <w:spacing w:before="400" w:after="160"/>
      </w:pPr>
      <w:r>
        <w:rPr>
          <w:rFonts w:ascii="Arial" w:cs="Arial" w:eastAsia="Arial" w:hAnsi="Arial"/>
          <w:b/>
          <w:bCs/>
          <w:color w:val="1A1A2E"/>
          <w:sz w:val="36"/>
          <w:szCs w:val="36"/>
        </w:rPr>
        <w:t xml:space="preserve">Abstract</w:t>
      </w:r>
    </w:p>
    <w:p>
      <w:pPr>
        <w:spacing w:before="80" w:after="120"/>
      </w:pPr>
      <w:r>
        <w:rPr>
          <w:rFonts w:ascii="Arial" w:cs="Arial" w:eastAsia="Arial" w:hAnsi="Arial"/>
          <w:color w:val="222222"/>
          <w:sz w:val="22"/>
          <w:szCs w:val="22"/>
        </w:rPr>
        <w:t xml:space="preserve">This proposal outlines a three-month minimum viable experiment (MVP) applying Kusama's Proof of Personhood primitives to a radically non-digital context: the oral tradition of family nicknames in a small rural village of Southern Italy.</w:t>
      </w:r>
    </w:p>
    <w:p>
      <w:pPr>
        <w:spacing w:before="80" w:after="120"/>
      </w:pPr>
      <w:r>
        <w:rPr>
          <w:rFonts w:ascii="Arial" w:cs="Arial" w:eastAsia="Arial" w:hAnsi="Arial"/>
          <w:color w:val="222222"/>
          <w:sz w:val="22"/>
          <w:szCs w:val="22"/>
        </w:rPr>
        <w:t xml:space="preserve">In these communities, every family carries a nickname — locally known as 'u nomme 'e casa (the house name) — passed down orally for generations and invisible to any official registry. This hyper-local knowledge constitutes the most ancient and robust anti-Sybil mechanism imaginable: you cannot fake belonging to a place if you do not know who the people are and what they are called.</w:t>
      </w:r>
    </w:p>
    <w:p>
      <w:pPr>
        <w:spacing w:before="80" w:after="120"/>
      </w:pPr>
      <w:r>
        <w:rPr>
          <w:rFonts w:ascii="Arial" w:cs="Arial" w:eastAsia="Arial" w:hAnsi="Arial"/>
          <w:color w:val="222222"/>
          <w:sz w:val="22"/>
          <w:szCs w:val="22"/>
        </w:rPr>
        <w:t xml:space="preserve">The experiment asks a fundamental question: can a community that has solved human authentication for centuries through oral tradition migrate this trust onto a public blockchain — preserving its living, evolving nature — and in doing so, produce a replicable framework for other villages across the Mediterranean and beyond?</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KEY INSIGHT</w:t>
            </w:r>
          </w:p>
        </w:tc>
        <w:tc>
          <w:tcPr>
            <w:tcW w:type="dxa" w:w="7920"/>
            <w:tcBorders>
              <w:top w:val="none" w:color="FFFFFF" w:sz="0"/>
              <w:left w:val="none" w:color="FFFFFF" w:sz="0"/>
              <w:bottom w:val="none" w:color="FFFFFF" w:sz="0"/>
              <w:right w:val="none" w:color="FFFFFF" w:sz="0"/>
            </w:tcBorders>
            <w:shd w:fill="F5F0E8" w:val="clear"/>
            <w:tcMar>
              <w:top w:type="dxa" w:w="120"/>
              <w:left w:type="dxa" w:w="200"/>
              <w:bottom w:type="dxa" w:w="120"/>
              <w:right w:type="dxa" w:w="200"/>
            </w:tcMar>
          </w:tcPr>
          <w:p>
            <w:r>
              <w:rPr>
                <w:rFonts w:ascii="Arial" w:cs="Arial" w:eastAsia="Arial" w:hAnsi="Arial"/>
                <w:color w:val="333333"/>
                <w:sz w:val="22"/>
                <w:szCs w:val="22"/>
              </w:rPr>
              <w:t xml:space="preserve">Family nicknames are a pre-digital, distributed identity system. They are anti-Sybil by design, human-led, privacy-preserving, and — crucially — they grow: when a new branch of a family forms, it generates a new nickname, creating an organic, living graph of social identity.</w:t>
            </w:r>
          </w:p>
        </w:tc>
      </w:tr>
    </w:tbl>
    <w:p>
      <w:pPr>
        <w:spacing w:before="0" w:after="200"/>
      </w:pPr>
    </w:p>
    <w:p>
      <w:pPr>
        <w:spacing w:before="100" w:after="100"/>
      </w:pPr>
    </w:p>
    <w:p>
      <w:pPr>
        <w:pStyle w:val="Heading1"/>
        <w:spacing w:before="400" w:after="160"/>
      </w:pPr>
      <w:r>
        <w:rPr>
          <w:rFonts w:ascii="Arial" w:cs="Arial" w:eastAsia="Arial" w:hAnsi="Arial"/>
          <w:b/>
          <w:bCs/>
          <w:color w:val="1A1A2E"/>
          <w:sz w:val="36"/>
          <w:szCs w:val="36"/>
        </w:rPr>
        <w:t xml:space="preserve">Background &amp; Conceptual Framework</w:t>
      </w:r>
    </w:p>
    <w:p>
      <w:pPr>
        <w:pStyle w:val="Heading2"/>
        <w:spacing w:before="320" w:after="120"/>
      </w:pPr>
      <w:r>
        <w:rPr>
          <w:rFonts w:ascii="Arial" w:cs="Arial" w:eastAsia="Arial" w:hAnsi="Arial"/>
          <w:b/>
          <w:bCs/>
          <w:color w:val="1A1A2E"/>
          <w:sz w:val="26"/>
          <w:szCs w:val="26"/>
        </w:rPr>
        <w:t xml:space="preserve">The House Name as Proof of Personhood</w:t>
      </w:r>
    </w:p>
    <w:p>
      <w:pPr>
        <w:spacing w:before="80" w:after="120"/>
      </w:pPr>
      <w:r>
        <w:rPr>
          <w:rFonts w:ascii="Arial" w:cs="Arial" w:eastAsia="Arial" w:hAnsi="Arial"/>
          <w:color w:val="222222"/>
          <w:sz w:val="22"/>
          <w:szCs w:val="22"/>
        </w:rPr>
        <w:t xml:space="preserve">Across rural Southern Italy, the 'u nomme 'e casa is a social identifier that predates identity documents by centuries. Unlike surnames, which are administratively assigned and often shared by thousands of people across a region, house names are:</w:t>
      </w:r>
    </w:p>
    <w:p>
      <w:pPr>
        <w:pStyle w:val="ListParagraph"/>
        <w:numPr>
          <w:ilvl w:val="0"/>
          <w:numId w:val="2"/>
        </w:numPr>
        <w:spacing w:before="60" w:after="60"/>
      </w:pPr>
      <w:r>
        <w:rPr>
          <w:rFonts w:ascii="Arial" w:cs="Arial" w:eastAsia="Arial" w:hAnsi="Arial"/>
          <w:color w:val="222222"/>
          <w:sz w:val="22"/>
          <w:szCs w:val="22"/>
        </w:rPr>
        <w:t xml:space="preserve">Hyper-local — known only within the village and its diaspora</w:t>
      </w:r>
    </w:p>
    <w:p>
      <w:pPr>
        <w:pStyle w:val="ListParagraph"/>
        <w:numPr>
          <w:ilvl w:val="0"/>
          <w:numId w:val="2"/>
        </w:numPr>
        <w:spacing w:before="60" w:after="60"/>
      </w:pPr>
      <w:r>
        <w:rPr>
          <w:rFonts w:ascii="Arial" w:cs="Arial" w:eastAsia="Arial" w:hAnsi="Arial"/>
          <w:color w:val="222222"/>
          <w:sz w:val="22"/>
          <w:szCs w:val="22"/>
        </w:rPr>
        <w:t xml:space="preserve">Orally transmitted — never written in official records, invisible to outsiders and algorithms</w:t>
      </w:r>
    </w:p>
    <w:p>
      <w:pPr>
        <w:pStyle w:val="ListParagraph"/>
        <w:numPr>
          <w:ilvl w:val="0"/>
          <w:numId w:val="2"/>
        </w:numPr>
        <w:spacing w:before="60" w:after="60"/>
      </w:pPr>
      <w:r>
        <w:rPr>
          <w:rFonts w:ascii="Arial" w:cs="Arial" w:eastAsia="Arial" w:hAnsi="Arial"/>
          <w:color w:val="222222"/>
          <w:sz w:val="22"/>
          <w:szCs w:val="22"/>
        </w:rPr>
        <w:t xml:space="preserve">Semantically rich — often encoding a family's history, trade, physical trait, or ancestral story</w:t>
      </w:r>
    </w:p>
    <w:p>
      <w:pPr>
        <w:pStyle w:val="ListParagraph"/>
        <w:numPr>
          <w:ilvl w:val="0"/>
          <w:numId w:val="2"/>
        </w:numPr>
        <w:spacing w:before="60" w:after="60"/>
      </w:pPr>
      <w:r>
        <w:rPr>
          <w:rFonts w:ascii="Arial" w:cs="Arial" w:eastAsia="Arial" w:hAnsi="Arial"/>
          <w:color w:val="222222"/>
          <w:sz w:val="22"/>
          <w:szCs w:val="22"/>
        </w:rPr>
        <w:t xml:space="preserve">Socially validated — their meaning and attribution are confirmed by the community itself, not by any authority</w:t>
      </w:r>
    </w:p>
    <w:p>
      <w:pPr>
        <w:pStyle w:val="ListParagraph"/>
        <w:numPr>
          <w:ilvl w:val="0"/>
          <w:numId w:val="2"/>
        </w:numPr>
        <w:spacing w:before="60" w:after="60"/>
      </w:pPr>
      <w:r>
        <w:rPr>
          <w:rFonts w:ascii="Arial" w:cs="Arial" w:eastAsia="Arial" w:hAnsi="Arial"/>
          <w:color w:val="222222"/>
          <w:sz w:val="22"/>
          <w:szCs w:val="22"/>
        </w:rPr>
        <w:t xml:space="preserve">Organically growing — new branches of a family, through marriage or generational splits, generate new house names over time</w:t>
      </w:r>
    </w:p>
    <w:p>
      <w:pPr>
        <w:spacing w:before="0" w:after="100"/>
      </w:pPr>
    </w:p>
    <w:p>
      <w:pPr>
        <w:spacing w:before="80" w:after="120"/>
      </w:pPr>
      <w:r>
        <w:rPr>
          <w:rFonts w:ascii="Arial" w:cs="Arial" w:eastAsia="Arial" w:hAnsi="Arial"/>
          <w:color w:val="222222"/>
          <w:sz w:val="22"/>
          <w:szCs w:val="22"/>
        </w:rPr>
        <w:t xml:space="preserve">This last property is the most important for our technical architecture. A house name system is not a static registry — it is a living, directed graph of social identity that updates itself through real human events. It is, in essence, a proto-blockchain: append-only, community-validated, tamper-resistant.</w:t>
      </w:r>
    </w:p>
    <w:p>
      <w:pPr>
        <w:pStyle w:val="Heading2"/>
        <w:spacing w:before="320" w:after="120"/>
      </w:pPr>
      <w:r>
        <w:rPr>
          <w:rFonts w:ascii="Arial" w:cs="Arial" w:eastAsia="Arial" w:hAnsi="Arial"/>
          <w:b/>
          <w:bCs/>
          <w:color w:val="1A1A2E"/>
          <w:sz w:val="26"/>
          <w:szCs w:val="26"/>
        </w:rPr>
        <w:t xml:space="preserve">The Problem We Are Solving</w:t>
      </w:r>
    </w:p>
    <w:p>
      <w:pPr>
        <w:spacing w:before="80" w:after="120"/>
      </w:pPr>
      <w:r>
        <w:rPr>
          <w:rFonts w:ascii="Arial" w:cs="Arial" w:eastAsia="Arial" w:hAnsi="Arial"/>
          <w:color w:val="222222"/>
          <w:sz w:val="22"/>
          <w:szCs w:val="22"/>
        </w:rPr>
        <w:t xml:space="preserve">As AI systems become capable of generating convincing digital identities at scale, the ability to distinguish genuine human participants from automated agents has become one of the central challenges of digital infrastructure. Current Proof of Personhood solutions — biometric systems, zero-knowledge identity proofs, social graph attestations — tend to be technically sophisticated but culturally thin: they verify existence without verifying belonging.</w:t>
      </w:r>
    </w:p>
    <w:p>
      <w:pPr>
        <w:spacing w:before="80" w:after="120"/>
      </w:pPr>
      <w:r>
        <w:rPr>
          <w:rFonts w:ascii="Arial" w:cs="Arial" w:eastAsia="Arial" w:hAnsi="Arial"/>
          <w:color w:val="222222"/>
          <w:sz w:val="22"/>
          <w:szCs w:val="22"/>
        </w:rPr>
        <w:t xml:space="preserve">Our experiment proposes a complementary approach: deep cultural attestation, rooted in a specific place and community, that cannot be simulated or manufactured. We are not replacing existing PoP systems — we are stress-testing them with the oldest trust network in human history: a village that knows itself.</w:t>
      </w:r>
    </w:p>
    <w:p>
      <w:pPr>
        <w:spacing w:before="100" w:after="100"/>
      </w:pPr>
    </w:p>
    <w:p>
      <w:pPr>
        <w:pStyle w:val="Heading1"/>
        <w:spacing w:before="400" w:after="160"/>
      </w:pPr>
      <w:r>
        <w:rPr>
          <w:rFonts w:ascii="Arial" w:cs="Arial" w:eastAsia="Arial" w:hAnsi="Arial"/>
          <w:b/>
          <w:bCs/>
          <w:color w:val="1A1A2E"/>
          <w:sz w:val="36"/>
          <w:szCs w:val="36"/>
        </w:rPr>
        <w:t xml:space="preserve">Technical Architecture: Off-Chain &amp; On-Chain</w:t>
      </w:r>
    </w:p>
    <w:p>
      <w:pPr>
        <w:pStyle w:val="Heading2"/>
        <w:spacing w:before="320" w:after="120"/>
      </w:pPr>
      <w:r>
        <w:rPr>
          <w:rFonts w:ascii="Arial" w:cs="Arial" w:eastAsia="Arial" w:hAnsi="Arial"/>
          <w:b/>
          <w:bCs/>
          <w:color w:val="1A1A2E"/>
          <w:sz w:val="26"/>
          <w:szCs w:val="26"/>
        </w:rPr>
        <w:t xml:space="preserve">Off-Chain Layer: The Living Archive</w:t>
      </w:r>
    </w:p>
    <w:p>
      <w:pPr>
        <w:spacing w:before="80" w:after="120"/>
      </w:pPr>
      <w:r>
        <w:rPr>
          <w:rFonts w:ascii="Arial" w:cs="Arial" w:eastAsia="Arial" w:hAnsi="Arial"/>
          <w:color w:val="222222"/>
          <w:sz w:val="22"/>
          <w:szCs w:val="22"/>
        </w:rPr>
        <w:t xml:space="preserve">The off-chain layer is not a precursor to the on-chain layer — it is its foundation and its ground truth. It has independent cultural value regardless of what happens on the blockchain.</w:t>
      </w:r>
    </w:p>
    <w:p>
      <w:pPr>
        <w:spacing w:before="240" w:after="80"/>
      </w:pPr>
      <w:r>
        <w:rPr>
          <w:rFonts w:ascii="Arial" w:cs="Arial" w:eastAsia="Arial" w:hAnsi="Arial"/>
          <w:b/>
          <w:bCs/>
          <w:color w:val="444444"/>
          <w:sz w:val="22"/>
          <w:szCs w:val="22"/>
        </w:rPr>
        <w:t xml:space="preserve">1.1 Oral Collection Sessions</w:t>
      </w:r>
    </w:p>
    <w:p>
      <w:pPr>
        <w:spacing w:before="80" w:after="120"/>
      </w:pPr>
      <w:r>
        <w:rPr>
          <w:rFonts w:ascii="Arial" w:cs="Arial" w:eastAsia="Arial" w:hAnsi="Arial"/>
          <w:color w:val="222222"/>
          <w:sz w:val="22"/>
          <w:szCs w:val="22"/>
        </w:rPr>
        <w:t xml:space="preserve">Structured but informal sessions (at local bars, homes, and communal spaces) to document house names, their etymology, their family attribution, and their geographic location within the village. Each entry in the archive includes:</w:t>
      </w:r>
    </w:p>
    <w:p>
      <w:pPr>
        <w:pStyle w:val="ListParagraph"/>
        <w:numPr>
          <w:ilvl w:val="0"/>
          <w:numId w:val="2"/>
        </w:numPr>
        <w:spacing w:before="60" w:after="60"/>
      </w:pPr>
      <w:r>
        <w:rPr>
          <w:rFonts w:ascii="Arial" w:cs="Arial" w:eastAsia="Arial" w:hAnsi="Arial"/>
          <w:color w:val="222222"/>
          <w:sz w:val="22"/>
          <w:szCs w:val="22"/>
        </w:rPr>
        <w:t xml:space="preserve">Official family surname</w:t>
      </w:r>
    </w:p>
    <w:p>
      <w:pPr>
        <w:pStyle w:val="ListParagraph"/>
        <w:numPr>
          <w:ilvl w:val="0"/>
          <w:numId w:val="2"/>
        </w:numPr>
        <w:spacing w:before="60" w:after="60"/>
      </w:pPr>
      <w:r>
        <w:rPr>
          <w:rFonts w:ascii="Arial" w:cs="Arial" w:eastAsia="Arial" w:hAnsi="Arial"/>
          <w:color w:val="222222"/>
          <w:sz w:val="22"/>
          <w:szCs w:val="22"/>
        </w:rPr>
        <w:t xml:space="preserve">House name (in local dialect, with phonetic transcription)</w:t>
      </w:r>
    </w:p>
    <w:p>
      <w:pPr>
        <w:pStyle w:val="ListParagraph"/>
        <w:numPr>
          <w:ilvl w:val="0"/>
          <w:numId w:val="2"/>
        </w:numPr>
        <w:spacing w:before="60" w:after="60"/>
      </w:pPr>
      <w:r>
        <w:rPr>
          <w:rFonts w:ascii="Arial" w:cs="Arial" w:eastAsia="Arial" w:hAnsi="Arial"/>
          <w:color w:val="222222"/>
          <w:sz w:val="22"/>
          <w:szCs w:val="22"/>
        </w:rPr>
        <w:t xml:space="preserve">Etymology and oral history of the name</w:t>
      </w:r>
    </w:p>
    <w:p>
      <w:pPr>
        <w:pStyle w:val="ListParagraph"/>
        <w:numPr>
          <w:ilvl w:val="0"/>
          <w:numId w:val="2"/>
        </w:numPr>
        <w:spacing w:before="60" w:after="60"/>
      </w:pPr>
      <w:r>
        <w:rPr>
          <w:rFonts w:ascii="Arial" w:cs="Arial" w:eastAsia="Arial" w:hAnsi="Arial"/>
          <w:color w:val="222222"/>
          <w:sz w:val="22"/>
          <w:szCs w:val="22"/>
        </w:rPr>
        <w:t xml:space="preserve">Village quarter / neighborhood</w:t>
      </w:r>
    </w:p>
    <w:p>
      <w:pPr>
        <w:pStyle w:val="ListParagraph"/>
        <w:numPr>
          <w:ilvl w:val="0"/>
          <w:numId w:val="2"/>
        </w:numPr>
        <w:spacing w:before="60" w:after="60"/>
      </w:pPr>
      <w:r>
        <w:rPr>
          <w:rFonts w:ascii="Arial" w:cs="Arial" w:eastAsia="Arial" w:hAnsi="Arial"/>
          <w:color w:val="222222"/>
          <w:sz w:val="22"/>
          <w:szCs w:val="22"/>
        </w:rPr>
        <w:t xml:space="preserve">Approximate generation of origin</w:t>
      </w:r>
    </w:p>
    <w:p>
      <w:pPr>
        <w:pStyle w:val="ListParagraph"/>
        <w:numPr>
          <w:ilvl w:val="0"/>
          <w:numId w:val="2"/>
        </w:numPr>
        <w:spacing w:before="60" w:after="60"/>
      </w:pPr>
      <w:r>
        <w:rPr>
          <w:rFonts w:ascii="Arial" w:cs="Arial" w:eastAsia="Arial" w:hAnsi="Arial"/>
          <w:color w:val="222222"/>
          <w:sz w:val="22"/>
          <w:szCs w:val="22"/>
        </w:rPr>
        <w:t xml:space="preserve">Known branches and derivative house names (the lineage graph)</w:t>
      </w:r>
    </w:p>
    <w:p>
      <w:pPr>
        <w:spacing w:before="0" w:after="100"/>
      </w:pPr>
    </w:p>
    <w:p>
      <w:pPr>
        <w:spacing w:before="240" w:after="80"/>
      </w:pPr>
      <w:r>
        <w:rPr>
          <w:rFonts w:ascii="Arial" w:cs="Arial" w:eastAsia="Arial" w:hAnsi="Arial"/>
          <w:b/>
          <w:bCs/>
          <w:color w:val="444444"/>
          <w:sz w:val="22"/>
          <w:szCs w:val="22"/>
        </w:rPr>
        <w:t xml:space="preserve">1.2 The Book of Names</w:t>
      </w:r>
    </w:p>
    <w:p>
      <w:pPr>
        <w:spacing w:before="80" w:after="120"/>
      </w:pPr>
      <w:r>
        <w:rPr>
          <w:rFonts w:ascii="Arial" w:cs="Arial" w:eastAsia="Arial" w:hAnsi="Arial"/>
          <w:color w:val="222222"/>
          <w:sz w:val="22"/>
          <w:szCs w:val="22"/>
        </w:rPr>
        <w:t xml:space="preserve">A curated physical document — 30 to 50 pages, printed and bound — collecting the archive. This serves three purposes: it is a cultural artifact with standalone value; it is the physical proof of the off-chain work submitted to the bounty curators; and it acts as the legitimacy anchor for the on-chain registrations. A copy is deposited with the local municipality and any active cultural association.</w:t>
      </w:r>
    </w:p>
    <w:p>
      <w:pPr>
        <w:spacing w:before="240" w:after="80"/>
      </w:pPr>
      <w:r>
        <w:rPr>
          <w:rFonts w:ascii="Arial" w:cs="Arial" w:eastAsia="Arial" w:hAnsi="Arial"/>
          <w:b/>
          <w:bCs/>
          <w:color w:val="444444"/>
          <w:sz w:val="22"/>
          <w:szCs w:val="22"/>
        </w:rPr>
        <w:t xml:space="preserve">1.3 The Lineage Graph</w:t>
      </w:r>
    </w:p>
    <w:p>
      <w:pPr>
        <w:spacing w:before="80" w:after="120"/>
      </w:pPr>
      <w:r>
        <w:rPr>
          <w:rFonts w:ascii="Arial" w:cs="Arial" w:eastAsia="Arial" w:hAnsi="Arial"/>
          <w:color w:val="222222"/>
          <w:sz w:val="22"/>
          <w:szCs w:val="22"/>
        </w:rPr>
        <w:t xml:space="preserve">Beyond the linear archive, we construct a visual and digital graph mapping how house names branch over time. When Family A splits and a new branch generates House Name A1, this is recorded as a directed edge in the graph: A → A1, with metadata (approximate date, triggering event, community validators). This graph becomes the conceptual model for the on-chain data structure.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SCALABILITY NOTE</w:t>
            </w:r>
          </w:p>
        </w:tc>
        <w:tc>
          <w:tcPr>
            <w:tcW w:type="dxa" w:w="7920"/>
            <w:tcBorders>
              <w:top w:val="none" w:color="FFFFFF" w:sz="0"/>
              <w:left w:val="none" w:color="FFFFFF" w:sz="0"/>
              <w:bottom w:val="none" w:color="FFFFFF" w:sz="0"/>
              <w:right w:val="none" w:color="FFFFFF" w:sz="0"/>
            </w:tcBorders>
            <w:shd w:fill="F5F0E8" w:val="clear"/>
            <w:tcMar>
              <w:top w:type="dxa" w:w="120"/>
              <w:left w:type="dxa" w:w="200"/>
              <w:bottom w:type="dxa" w:w="120"/>
              <w:right w:type="dxa" w:w="200"/>
            </w:tcMar>
          </w:tcPr>
          <w:p>
            <w:r>
              <w:rPr>
                <w:rFonts w:ascii="Arial" w:cs="Arial" w:eastAsia="Arial" w:hAnsi="Arial"/>
                <w:color w:val="333333"/>
                <w:sz w:val="22"/>
                <w:szCs w:val="22"/>
              </w:rPr>
              <w:t xml:space="preserve">Every time a new house name is born in the village — which happens organically through family events — it generates a new node in the graph and a new on-chain attestation opportunity. The system does not require external updates: the community maintains it by living.</w:t>
            </w:r>
          </w:p>
        </w:tc>
      </w:tr>
    </w:tbl>
    <w:p>
      <w:pPr>
        <w:spacing w:before="200" w:after="200"/>
      </w:pPr>
    </w:p>
    <w:p>
      <w:pPr>
        <w:pStyle w:val="Heading2"/>
        <w:spacing w:before="320" w:after="120"/>
      </w:pPr>
      <w:r>
        <w:rPr>
          <w:rFonts w:ascii="Arial" w:cs="Arial" w:eastAsia="Arial" w:hAnsi="Arial"/>
          <w:b/>
          <w:bCs/>
          <w:color w:val="1A1A2E"/>
          <w:sz w:val="26"/>
          <w:szCs w:val="26"/>
        </w:rPr>
        <w:t xml:space="preserve">On-Chain Layer: Kusama as the Distributed Ledger</w:t>
      </w:r>
    </w:p>
    <w:p>
      <w:pPr>
        <w:spacing w:before="240" w:after="80"/>
      </w:pPr>
      <w:r>
        <w:rPr>
          <w:rFonts w:ascii="Arial" w:cs="Arial" w:eastAsia="Arial" w:hAnsi="Arial"/>
          <w:b/>
          <w:bCs/>
          <w:color w:val="444444"/>
          <w:sz w:val="22"/>
          <w:szCs w:val="22"/>
        </w:rPr>
        <w:t xml:space="preserve">2.1 Identity Registration via Kusama Identity Pallet</w:t>
      </w:r>
    </w:p>
    <w:p>
      <w:pPr>
        <w:spacing w:before="80" w:after="120"/>
      </w:pPr>
      <w:r>
        <w:rPr>
          <w:rFonts w:ascii="Arial" w:cs="Arial" w:eastAsia="Arial" w:hAnsi="Arial"/>
          <w:color w:val="222222"/>
          <w:sz w:val="22"/>
          <w:szCs w:val="22"/>
        </w:rPr>
        <w:t xml:space="preserve">Each attested participant registers an on-chain identity using the existing Kusama Identity Pallet, requiring no custom smart contract development for the MVP. The identity fields used are:</w:t>
      </w:r>
    </w:p>
    <w:p>
      <w:pPr>
        <w:pStyle w:val="ListParagraph"/>
        <w:numPr>
          <w:ilvl w:val="0"/>
          <w:numId w:val="2"/>
        </w:numPr>
        <w:spacing w:before="60" w:after="60"/>
      </w:pPr>
      <w:r>
        <w:rPr>
          <w:rFonts w:ascii="Arial" w:cs="Arial" w:eastAsia="Arial" w:hAnsi="Arial"/>
          <w:color w:val="222222"/>
          <w:sz w:val="22"/>
          <w:szCs w:val="22"/>
        </w:rPr>
        <w:t xml:space="preserve">display: Full name (or pseudonym, by participant choice)</w:t>
      </w:r>
    </w:p>
    <w:p>
      <w:pPr>
        <w:pStyle w:val="ListParagraph"/>
        <w:numPr>
          <w:ilvl w:val="0"/>
          <w:numId w:val="2"/>
        </w:numPr>
        <w:spacing w:before="60" w:after="60"/>
      </w:pPr>
      <w:r>
        <w:rPr>
          <w:rFonts w:ascii="Arial" w:cs="Arial" w:eastAsia="Arial" w:hAnsi="Arial"/>
          <w:color w:val="222222"/>
          <w:sz w:val="22"/>
          <w:szCs w:val="22"/>
        </w:rPr>
        <w:t xml:space="preserve">additional[0]: house_name — the family nickname in dialect</w:t>
      </w:r>
    </w:p>
    <w:p>
      <w:pPr>
        <w:pStyle w:val="ListParagraph"/>
        <w:numPr>
          <w:ilvl w:val="0"/>
          <w:numId w:val="2"/>
        </w:numPr>
        <w:spacing w:before="60" w:after="60"/>
      </w:pPr>
      <w:r>
        <w:rPr>
          <w:rFonts w:ascii="Arial" w:cs="Arial" w:eastAsia="Arial" w:hAnsi="Arial"/>
          <w:color w:val="222222"/>
          <w:sz w:val="22"/>
          <w:szCs w:val="22"/>
        </w:rPr>
        <w:t xml:space="preserve">additional[1]: village_quarter — neighborhood within the village</w:t>
      </w:r>
    </w:p>
    <w:p>
      <w:pPr>
        <w:pStyle w:val="ListParagraph"/>
        <w:numPr>
          <w:ilvl w:val="0"/>
          <w:numId w:val="2"/>
        </w:numPr>
        <w:spacing w:before="60" w:after="60"/>
      </w:pPr>
      <w:r>
        <w:rPr>
          <w:rFonts w:ascii="Arial" w:cs="Arial" w:eastAsia="Arial" w:hAnsi="Arial"/>
          <w:color w:val="222222"/>
          <w:sz w:val="22"/>
          <w:szCs w:val="22"/>
        </w:rPr>
        <w:t xml:space="preserve">additional[2]: attestation_hash — SHA-256 hash of the scanned physical attestation document, timestamped</w:t>
      </w:r>
    </w:p>
    <w:p>
      <w:pPr>
        <w:pStyle w:val="ListParagraph"/>
        <w:numPr>
          <w:ilvl w:val="0"/>
          <w:numId w:val="2"/>
        </w:numPr>
        <w:spacing w:before="60" w:after="60"/>
      </w:pPr>
      <w:r>
        <w:rPr>
          <w:rFonts w:ascii="Arial" w:cs="Arial" w:eastAsia="Arial" w:hAnsi="Arial"/>
          <w:color w:val="222222"/>
          <w:sz w:val="22"/>
          <w:szCs w:val="22"/>
        </w:rPr>
        <w:t xml:space="preserve">additional[3]: lineage_parent — on-chain address of the 'parent' family, if applicable</w:t>
      </w:r>
    </w:p>
    <w:p>
      <w:pPr>
        <w:spacing w:before="0" w:after="100"/>
      </w:pPr>
    </w:p>
    <w:p>
      <w:pPr>
        <w:spacing w:before="80" w:after="120"/>
      </w:pPr>
      <w:r>
        <w:rPr>
          <w:rFonts w:ascii="Arial" w:cs="Arial" w:eastAsia="Arial" w:hAnsi="Arial"/>
          <w:color w:val="222222"/>
          <w:sz w:val="22"/>
          <w:szCs w:val="22"/>
        </w:rPr>
        <w:t xml:space="preserve">The identity deposit on Kusama is currently 0.05333 KSM, which is low enough to be covered by the project for all participants. The identity can be sub-registered under a Registrar we designate for this experiment, providing a clear verification trail.</w:t>
      </w:r>
    </w:p>
    <w:p>
      <w:pPr>
        <w:spacing w:before="240" w:after="80"/>
      </w:pPr>
      <w:r>
        <w:rPr>
          <w:rFonts w:ascii="Arial" w:cs="Arial" w:eastAsia="Arial" w:hAnsi="Arial"/>
          <w:b/>
          <w:bCs/>
          <w:color w:val="444444"/>
          <w:sz w:val="22"/>
          <w:szCs w:val="22"/>
        </w:rPr>
        <w:t xml:space="preserve">2.2 The ROOTS Token</w:t>
      </w:r>
    </w:p>
    <w:p>
      <w:pPr>
        <w:spacing w:before="80" w:after="120"/>
      </w:pPr>
      <w:r>
        <w:rPr>
          <w:rFonts w:ascii="Arial" w:cs="Arial" w:eastAsia="Arial" w:hAnsi="Arial"/>
          <w:color w:val="222222"/>
          <w:sz w:val="22"/>
          <w:szCs w:val="22"/>
        </w:rPr>
        <w:t xml:space="preserve">The attestation identity token issued in this project is named ROOTS — reflecting the Italian concept of radici (roots, belonging, ancestry) while remaining universally legible in the Kusama ecosystem. The name carries the core logic of the token in a single word: you cannot transfer your roots.</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IMPORTANT DISCLAIMER</w:t>
            </w:r>
          </w:p>
        </w:tc>
        <w:tc>
          <w:tcPr>
            <w:tcW w:type="dxa" w:w="7920"/>
            <w:tcBorders>
              <w:top w:val="none" w:color="FFFFFF" w:sz="0"/>
              <w:left w:val="none" w:color="FFFFFF" w:sz="0"/>
              <w:bottom w:val="none" w:color="FFFFFF" w:sz="0"/>
              <w:right w:val="none" w:color="FFFFFF" w:sz="0"/>
            </w:tcBorders>
            <w:shd w:fill="F5F0E8" w:val="clear"/>
            <w:tcMar>
              <w:top w:type="dxa" w:w="120"/>
              <w:left w:type="dxa" w:w="200"/>
              <w:bottom w:type="dxa" w:w="120"/>
              <w:right w:type="dxa" w:w="200"/>
            </w:tcMar>
          </w:tcPr>
          <w:p>
            <w:r>
              <w:rPr>
                <w:rFonts w:ascii="Arial" w:cs="Arial" w:eastAsia="Arial" w:hAnsi="Arial"/>
                <w:color w:val="333333"/>
                <w:sz w:val="22"/>
                <w:szCs w:val="22"/>
              </w:rPr>
              <w:t xml:space="preserve">ROOTS tokens have no monetary value, no utility outside this experiment, and cannot be traded, sold, or exchanged. They are identity attestation records — the on-chain equivalent of a community certificate. Holding a ROOTS token confers no financial rights, no governance rights on Kusama at large, and no claim on any treasury. Its sole function is to record, in an immutable and publicly verifiable way, that a specific person has been attested as a genuine member of this community by their peers.</w:t>
            </w:r>
          </w:p>
        </w:tc>
      </w:tr>
    </w:tbl>
    <w:p>
      <w:pPr>
        <w:spacing w:before="0" w:after="200"/>
      </w:pPr>
    </w:p>
    <w:p>
      <w:pPr>
        <w:spacing w:before="80" w:after="120"/>
      </w:pPr>
      <w:r>
        <w:rPr>
          <w:rFonts w:ascii="Arial" w:cs="Arial" w:eastAsia="Arial" w:hAnsi="Arial"/>
          <w:color w:val="222222"/>
          <w:sz w:val="22"/>
          <w:szCs w:val="22"/>
        </w:rPr>
        <w:t xml:space="preserve">For participants who do not wish to manage a wallet themselves — particularly elderly residents — the project mints a ROOTS token on their behalf, held in a community custodial wallet managed by a local cultural association. The token metadata (stored on IPFS with hash anchored on Kusama) contains:</w:t>
      </w:r>
    </w:p>
    <w:p>
      <w:pPr>
        <w:pStyle w:val="ListParagraph"/>
        <w:numPr>
          <w:ilvl w:val="0"/>
          <w:numId w:val="2"/>
        </w:numPr>
        <w:spacing w:before="60" w:after="60"/>
      </w:pPr>
      <w:r>
        <w:rPr>
          <w:rFonts w:ascii="Arial" w:cs="Arial" w:eastAsia="Arial" w:hAnsi="Arial"/>
          <w:color w:val="222222"/>
          <w:sz w:val="22"/>
          <w:szCs w:val="22"/>
        </w:rPr>
        <w:t xml:space="preserve">house_name (string, dialect) — the family nickname as spoken in the village</w:t>
      </w:r>
    </w:p>
    <w:p>
      <w:pPr>
        <w:pStyle w:val="ListParagraph"/>
        <w:numPr>
          <w:ilvl w:val="0"/>
          <w:numId w:val="2"/>
        </w:numPr>
        <w:spacing w:before="60" w:after="60"/>
      </w:pPr>
      <w:r>
        <w:rPr>
          <w:rFonts w:ascii="Arial" w:cs="Arial" w:eastAsia="Arial" w:hAnsi="Arial"/>
          <w:color w:val="222222"/>
          <w:sz w:val="22"/>
          <w:szCs w:val="22"/>
        </w:rPr>
        <w:t xml:space="preserve">family_surname (string) — official registered surname</w:t>
      </w:r>
    </w:p>
    <w:p>
      <w:pPr>
        <w:pStyle w:val="ListParagraph"/>
        <w:numPr>
          <w:ilvl w:val="0"/>
          <w:numId w:val="2"/>
        </w:numPr>
        <w:spacing w:before="60" w:after="60"/>
      </w:pPr>
      <w:r>
        <w:rPr>
          <w:rFonts w:ascii="Arial" w:cs="Arial" w:eastAsia="Arial" w:hAnsi="Arial"/>
          <w:color w:val="222222"/>
          <w:sz w:val="22"/>
          <w:szCs w:val="22"/>
        </w:rPr>
        <w:t xml:space="preserve">village_quarter (string) — neighborhood within the village</w:t>
      </w:r>
    </w:p>
    <w:p>
      <w:pPr>
        <w:pStyle w:val="ListParagraph"/>
        <w:numPr>
          <w:ilvl w:val="0"/>
          <w:numId w:val="2"/>
        </w:numPr>
        <w:spacing w:before="60" w:after="60"/>
      </w:pPr>
      <w:r>
        <w:rPr>
          <w:rFonts w:ascii="Arial" w:cs="Arial" w:eastAsia="Arial" w:hAnsi="Arial"/>
          <w:color w:val="222222"/>
          <w:sz w:val="22"/>
          <w:szCs w:val="22"/>
        </w:rPr>
        <w:t xml:space="preserve">num_witnesses (integer) — number of community validators present at the ceremony</w:t>
      </w:r>
    </w:p>
    <w:p>
      <w:pPr>
        <w:pStyle w:val="ListParagraph"/>
        <w:numPr>
          <w:ilvl w:val="0"/>
          <w:numId w:val="2"/>
        </w:numPr>
        <w:spacing w:before="60" w:after="60"/>
      </w:pPr>
      <w:r>
        <w:rPr>
          <w:rFonts w:ascii="Arial" w:cs="Arial" w:eastAsia="Arial" w:hAnsi="Arial"/>
          <w:color w:val="222222"/>
          <w:sz w:val="22"/>
          <w:szCs w:val="22"/>
        </w:rPr>
        <w:t xml:space="preserve">ceremony_date (ISO 8601) — date of the attestation ceremony</w:t>
      </w:r>
    </w:p>
    <w:p>
      <w:pPr>
        <w:pStyle w:val="ListParagraph"/>
        <w:numPr>
          <w:ilvl w:val="0"/>
          <w:numId w:val="2"/>
        </w:numPr>
        <w:spacing w:before="60" w:after="60"/>
      </w:pPr>
      <w:r>
        <w:rPr>
          <w:rFonts w:ascii="Arial" w:cs="Arial" w:eastAsia="Arial" w:hAnsi="Arial"/>
          <w:color w:val="222222"/>
          <w:sz w:val="22"/>
          <w:szCs w:val="22"/>
        </w:rPr>
        <w:t xml:space="preserve">roots_parent_token_id (nullable) — linking to the parent family's ROOTS token if this is a new branch of the lineage graph</w:t>
      </w:r>
    </w:p>
    <w:p>
      <w:pPr>
        <w:pStyle w:val="ListParagraph"/>
        <w:numPr>
          <w:ilvl w:val="0"/>
          <w:numId w:val="2"/>
        </w:numPr>
        <w:spacing w:before="60" w:after="60"/>
      </w:pPr>
      <w:r>
        <w:rPr>
          <w:rFonts w:ascii="Arial" w:cs="Arial" w:eastAsia="Arial" w:hAnsi="Arial"/>
          <w:color w:val="222222"/>
          <w:sz w:val="22"/>
          <w:szCs w:val="22"/>
        </w:rPr>
        <w:t xml:space="preserve">attestation_ipfs_cid — IPFS hash of the scanned physical attestation certificate</w:t>
      </w:r>
    </w:p>
    <w:p>
      <w:pPr>
        <w:spacing w:before="0" w:after="100"/>
      </w:pPr>
    </w:p>
    <w:p>
      <w:pPr>
        <w:spacing w:before="80" w:after="120"/>
      </w:pPr>
      <w:r>
        <w:rPr>
          <w:rFonts w:ascii="Arial" w:cs="Arial" w:eastAsia="Arial" w:hAnsi="Arial"/>
          <w:color w:val="222222"/>
          <w:sz w:val="22"/>
          <w:szCs w:val="22"/>
        </w:rPr>
        <w:t xml:space="preserve">Technically, ROOTS tokens are minted using Kusama's native assets pallet with transfer permissions set to None at the pallet level — making non-transferability a protocol constraint, not merely a social convention. No external smart contract infrastructure is required beyond an IPFS pinning service.</w:t>
      </w:r>
    </w:p>
    <w:p>
      <w:pPr>
        <w:spacing w:before="240" w:after="80"/>
      </w:pPr>
      <w:r>
        <w:rPr>
          <w:rFonts w:ascii="Arial" w:cs="Arial" w:eastAsia="Arial" w:hAnsi="Arial"/>
          <w:b/>
          <w:bCs/>
          <w:color w:val="444444"/>
          <w:sz w:val="22"/>
          <w:szCs w:val="22"/>
        </w:rPr>
        <w:t xml:space="preserve">2.3 The Lineage Graph On-Chain</w:t>
      </w:r>
    </w:p>
    <w:p>
      <w:pPr>
        <w:spacing w:before="80" w:after="120"/>
      </w:pPr>
      <w:r>
        <w:rPr>
          <w:rFonts w:ascii="Arial" w:cs="Arial" w:eastAsia="Arial" w:hAnsi="Arial"/>
          <w:color w:val="222222"/>
          <w:sz w:val="22"/>
          <w:szCs w:val="22"/>
        </w:rPr>
        <w:t xml:space="preserve">The lineage_parent field in both the Identity Pallet entries and the ROOTS token metadata creates a traversable, on-chain social graph. This is the technical innovation of the project: a directed acyclic graph of human social identity, rooted in oral tradition, that grows organically as real community events occur.</w:t>
      </w:r>
    </w:p>
    <w:p>
      <w:pPr>
        <w:spacing w:before="80" w:after="120"/>
      </w:pPr>
      <w:r>
        <w:rPr>
          <w:rFonts w:ascii="Arial" w:cs="Arial" w:eastAsia="Arial" w:hAnsi="Arial"/>
          <w:color w:val="222222"/>
          <w:sz w:val="22"/>
          <w:szCs w:val="22"/>
        </w:rPr>
        <w:t xml:space="preserve">When a new house name is born — a young family splits from its ancestral line — the community performs a mini-ceremony (even informal), the elders attest, and a new on-chain node is added pointing to its parent. The graph expands itself. No central administrator is needed after the initial setup.</w:t>
      </w:r>
    </w:p>
    <w:p>
      <w:pPr>
        <w:spacing w:before="240" w:after="80"/>
      </w:pPr>
      <w:r>
        <w:rPr>
          <w:rFonts w:ascii="Arial" w:cs="Arial" w:eastAsia="Arial" w:hAnsi="Arial"/>
          <w:b/>
          <w:bCs/>
          <w:color w:val="444444"/>
          <w:sz w:val="22"/>
          <w:szCs w:val="22"/>
        </w:rPr>
        <w:t xml:space="preserve">2.4 Governance Experiment via OpenGov</w:t>
      </w:r>
    </w:p>
    <w:p>
      <w:pPr>
        <w:spacing w:before="80" w:after="120"/>
      </w:pPr>
      <w:r>
        <w:rPr>
          <w:rFonts w:ascii="Arial" w:cs="Arial" w:eastAsia="Arial" w:hAnsi="Arial"/>
          <w:color w:val="222222"/>
          <w:sz w:val="22"/>
          <w:szCs w:val="22"/>
        </w:rPr>
        <w:t xml:space="preserve">Once a critical mass of attested identities exists (target: 30 families), we launch a governance experiment using Kusama's OpenGov. A referendum is opened on a community question — selected by the participants themselves during Phase 1. Only wallets with a verified house name identity can vote. The referendum outcome is non-binding in the legal sense but the project team commits publicly to presenting it to the local municipality as an expression of community will.</w:t>
      </w:r>
    </w:p>
    <w:p>
      <w:pPr>
        <w:spacing w:before="80" w:after="120"/>
      </w:pPr>
      <w:r>
        <w:rPr>
          <w:rFonts w:ascii="Arial" w:cs="Arial" w:eastAsia="Arial" w:hAnsi="Arial"/>
          <w:color w:val="222222"/>
          <w:sz w:val="22"/>
          <w:szCs w:val="22"/>
        </w:rPr>
        <w:t xml:space="preserve">This tests a core hypothesis: does on-chain identity anchored in deep cultural attestation produce higher-quality collective decisions than anonymous voting? We measure participation rate, deliberation quality (via recorded village discussions), and whether the result reflects the outcome most experienced observers would have predicted.</w:t>
      </w:r>
    </w:p>
    <w:p>
      <w:pPr>
        <w:spacing w:before="100" w:after="100"/>
      </w:pPr>
    </w:p>
    <w:p>
      <w:pPr>
        <w:pStyle w:val="Heading1"/>
        <w:spacing w:before="400" w:after="160"/>
      </w:pPr>
      <w:r>
        <w:rPr>
          <w:rFonts w:ascii="Arial" w:cs="Arial" w:eastAsia="Arial" w:hAnsi="Arial"/>
          <w:b/>
          <w:bCs/>
          <w:color w:val="1A1A2E"/>
          <w:sz w:val="36"/>
          <w:szCs w:val="36"/>
        </w:rPr>
        <w:t xml:space="preserve">MVP Phases &amp; Deliverables</w:t>
      </w:r>
    </w:p>
    <w:p>
      <w:pPr>
        <w:pStyle w:val="Heading2"/>
        <w:spacing w:before="320" w:after="120"/>
      </w:pPr>
      <w:r>
        <w:rPr>
          <w:rFonts w:ascii="Arial" w:cs="Arial" w:eastAsia="Arial" w:hAnsi="Arial"/>
          <w:b/>
          <w:bCs/>
          <w:color w:val="1A1A2E"/>
          <w:sz w:val="26"/>
          <w:szCs w:val="26"/>
        </w:rPr>
        <w:t xml:space="preserve">Phase 1 — Oral Ethnography &amp; Book of Names</w:t>
      </w:r>
    </w:p>
    <w:p>
      <w:pPr>
        <w:spacing w:before="0" w:after="160"/>
      </w:pPr>
      <w:r>
        <w:rPr>
          <w:rFonts w:ascii="Arial" w:cs="Arial" w:eastAsia="Arial" w:hAnsi="Arial"/>
          <w:i/>
          <w:iCs/>
          <w:color w:val="6B6B6B"/>
          <w:sz w:val="20"/>
          <w:szCs w:val="20"/>
        </w:rPr>
        <w:t xml:space="preserve">4 weeks  |  Off-chain  |  6,500 DOT</w:t>
      </w:r>
    </w:p>
    <w:p>
      <w:pPr>
        <w:spacing w:before="80" w:after="120"/>
      </w:pPr>
      <w:r>
        <w:rPr>
          <w:rFonts w:ascii="Arial" w:cs="Arial" w:eastAsia="Arial" w:hAnsi="Arial"/>
          <w:color w:val="222222"/>
          <w:sz w:val="22"/>
          <w:szCs w:val="22"/>
        </w:rPr>
        <w:t xml:space="preserve">Structured oral collection sessions with village residents. Three to four informal gatherings over four weeks, held in natural social settings. Documentation of 40 to 60 house names, their histories, and their place in the lineage graph. Production of the Book of Names (printed, 50 copies) and a digital lineage graph visualization. All sessions video documented for the final report.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600"/>
        <w:gridCol w:w="1400"/>
      </w:tblGrid>
      <w:tr>
        <w:tc>
          <w:tcPr>
            <w:tcW w:type="dxa" w:w="12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b/>
                <w:bCs/>
                <w:color w:val="FFFFFF"/>
                <w:sz w:val="22"/>
                <w:szCs w:val="22"/>
              </w:rPr>
              <w:t xml:space="preserve">Phase 1</w:t>
            </w:r>
          </w:p>
        </w:tc>
        <w:tc>
          <w:tcPr>
            <w:tcW w:type="dxa" w:w="516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b/>
                <w:bCs/>
                <w:color w:val="E8B84B"/>
                <w:sz w:val="22"/>
                <w:szCs w:val="22"/>
              </w:rPr>
              <w:t xml:space="preserve">Oral Ethnography &amp; Book of Names</w:t>
            </w:r>
          </w:p>
        </w:tc>
        <w:tc>
          <w:tcPr>
            <w:tcW w:type="dxa" w:w="16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color w:val="CCCCCC"/>
                <w:sz w:val="20"/>
                <w:szCs w:val="20"/>
              </w:rPr>
              <w:t xml:space="preserve">4 weeks</w:t>
            </w:r>
          </w:p>
        </w:tc>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right"/>
            </w:pPr>
            <w:r>
              <w:rPr>
                <w:rFonts w:ascii="Arial" w:cs="Arial" w:eastAsia="Arial" w:hAnsi="Arial"/>
                <w:b/>
                <w:bCs/>
                <w:color w:val="E8B84B"/>
                <w:sz w:val="22"/>
                <w:szCs w:val="22"/>
              </w:rPr>
              <w:t xml:space="preserve">6,500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Local coordinator — 4 weeks full time (ethnography, community outreach)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2,800 DOT</w:t>
            </w:r>
          </w:p>
        </w:tc>
      </w:tr>
      <w:tr>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color w:val="333333"/>
                <w:sz w:val="20"/>
                <w:szCs w:val="20"/>
              </w:rPr>
              <w:t xml:space="preserve">Book of Names — graphic design, layout and print (100 copies, quality paper)</w:t>
            </w:r>
          </w:p>
        </w:tc>
        <w:tc>
          <w:tcPr>
            <w:tcW w:type="dxa" w:w="1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color w:val="444444"/>
                <w:sz w:val="20"/>
                <w:szCs w:val="20"/>
              </w:rPr>
              <w:t xml:space="preserve">1,200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Video documentation of all sessions (editing + archival master)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1,800 DOT</w:t>
            </w:r>
          </w:p>
        </w:tc>
      </w:tr>
      <w:tr>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color w:val="333333"/>
                <w:sz w:val="20"/>
                <w:szCs w:val="20"/>
              </w:rPr>
              <w:t xml:space="preserve">Lineage graph — interactive digital version + large-format print</w:t>
            </w:r>
          </w:p>
        </w:tc>
        <w:tc>
          <w:tcPr>
            <w:tcW w:type="dxa" w:w="1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color w:val="444444"/>
                <w:sz w:val="20"/>
                <w:szCs w:val="20"/>
              </w:rPr>
              <w:t xml:space="preserve">700 DOT</w:t>
            </w:r>
          </w:p>
        </w:tc>
      </w:tr>
    </w:tbl>
    <w:p>
      <w:pPr>
        <w:spacing w:before="0" w:after="300"/>
      </w:pPr>
    </w:p>
    <w:p>
      <w:pPr>
        <w:pStyle w:val="Heading2"/>
        <w:spacing w:before="320" w:after="120"/>
      </w:pPr>
      <w:r>
        <w:rPr>
          <w:rFonts w:ascii="Arial" w:cs="Arial" w:eastAsia="Arial" w:hAnsi="Arial"/>
          <w:b/>
          <w:bCs/>
          <w:color w:val="1A1A2E"/>
          <w:sz w:val="26"/>
          <w:szCs w:val="26"/>
        </w:rPr>
        <w:t xml:space="preserve">Phase 2 — The Attestation Ceremony</w:t>
      </w:r>
    </w:p>
    <w:p>
      <w:pPr>
        <w:spacing w:before="0" w:after="160"/>
      </w:pPr>
      <w:r>
        <w:rPr>
          <w:rFonts w:ascii="Arial" w:cs="Arial" w:eastAsia="Arial" w:hAnsi="Arial"/>
          <w:i/>
          <w:iCs/>
          <w:color w:val="6B6B6B"/>
          <w:sz w:val="20"/>
          <w:szCs w:val="20"/>
        </w:rPr>
        <w:t xml:space="preserve">1 event + 1 week preparation  |  Off-chain to On-chain Bridge  |  8,500 DOT</w:t>
      </w:r>
    </w:p>
    <w:p>
      <w:pPr>
        <w:spacing w:before="80" w:after="120"/>
      </w:pPr>
      <w:r>
        <w:rPr>
          <w:rFonts w:ascii="Arial" w:cs="Arial" w:eastAsia="Arial" w:hAnsi="Arial"/>
          <w:color w:val="222222"/>
          <w:sz w:val="22"/>
          <w:szCs w:val="22"/>
        </w:rPr>
        <w:t xml:space="preserve">A public evening event in the village square or communal hall. Each participating family presents before a panel of three community elders selected for their authority and memory. The panel poses a challenge about the house name — its origin, history, or social context — that only a genuine member of the community can answer. Passed participants receive a beautifully designed physical attestation certificate. The ceremony is fully documented in video, with resident interviews. This event is the cultural centerpiece of the project and the narrative core of the Kusama report.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600"/>
        <w:gridCol w:w="1400"/>
      </w:tblGrid>
      <w:tr>
        <w:tc>
          <w:tcPr>
            <w:tcW w:type="dxa" w:w="12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b/>
                <w:bCs/>
                <w:color w:val="FFFFFF"/>
                <w:sz w:val="22"/>
                <w:szCs w:val="22"/>
              </w:rPr>
              <w:t xml:space="preserve">Phase 2</w:t>
            </w:r>
          </w:p>
        </w:tc>
        <w:tc>
          <w:tcPr>
            <w:tcW w:type="dxa" w:w="516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b/>
                <w:bCs/>
                <w:color w:val="E8B84B"/>
                <w:sz w:val="22"/>
                <w:szCs w:val="22"/>
              </w:rPr>
              <w:t xml:space="preserve">The Attestation Ceremony</w:t>
            </w:r>
          </w:p>
        </w:tc>
        <w:tc>
          <w:tcPr>
            <w:tcW w:type="dxa" w:w="16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color w:val="CCCCCC"/>
                <w:sz w:val="20"/>
                <w:szCs w:val="20"/>
              </w:rPr>
              <w:t xml:space="preserve">2 weeks</w:t>
            </w:r>
          </w:p>
        </w:tc>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right"/>
            </w:pPr>
            <w:r>
              <w:rPr>
                <w:rFonts w:ascii="Arial" w:cs="Arial" w:eastAsia="Arial" w:hAnsi="Arial"/>
                <w:b/>
                <w:bCs/>
                <w:color w:val="E8B84B"/>
                <w:sz w:val="22"/>
                <w:szCs w:val="22"/>
              </w:rPr>
              <w:t xml:space="preserve">8,500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Event organization — venue, full catering, setup, printed materials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2,000 DOT</w:t>
            </w:r>
          </w:p>
        </w:tc>
      </w:tr>
      <w:tr>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color w:val="333333"/>
                <w:sz w:val="20"/>
                <w:szCs w:val="20"/>
              </w:rPr>
              <w:t xml:space="preserve">Attestation certificates — premium design and archival-quality print</w:t>
            </w:r>
          </w:p>
        </w:tc>
        <w:tc>
          <w:tcPr>
            <w:tcW w:type="dxa" w:w="1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color w:val="444444"/>
                <w:sz w:val="20"/>
                <w:szCs w:val="20"/>
              </w:rPr>
              <w:t xml:space="preserve">900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Professional video production — ceremony + short documentary (20 min)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3,500 DOT</w:t>
            </w:r>
          </w:p>
        </w:tc>
      </w:tr>
      <w:tr>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color w:val="333333"/>
                <w:sz w:val="20"/>
                <w:szCs w:val="20"/>
              </w:rPr>
              <w:t xml:space="preserve">Elder witness honorarium (3 people + preparation sessions)</w:t>
            </w:r>
          </w:p>
        </w:tc>
        <w:tc>
          <w:tcPr>
            <w:tcW w:type="dxa" w:w="1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color w:val="444444"/>
                <w:sz w:val="20"/>
                <w:szCs w:val="20"/>
              </w:rPr>
              <w:t xml:space="preserve">700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Communication, press outreach and community mobilization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1,400 DOT</w:t>
            </w:r>
          </w:p>
        </w:tc>
      </w:tr>
    </w:tbl>
    <w:p>
      <w:pPr>
        <w:spacing w:before="0" w:after="300"/>
      </w:pPr>
    </w:p>
    <w:p>
      <w:pPr>
        <w:pStyle w:val="Heading2"/>
        <w:spacing w:before="320" w:after="120"/>
      </w:pPr>
      <w:r>
        <w:rPr>
          <w:rFonts w:ascii="Arial" w:cs="Arial" w:eastAsia="Arial" w:hAnsi="Arial"/>
          <w:b/>
          <w:bCs/>
          <w:color w:val="1A1A2E"/>
          <w:sz w:val="26"/>
          <w:szCs w:val="26"/>
        </w:rPr>
        <w:t xml:space="preserve">Phase 3 — On-Chain Identity Registration</w:t>
      </w:r>
    </w:p>
    <w:p>
      <w:pPr>
        <w:spacing w:before="0" w:after="160"/>
      </w:pPr>
      <w:r>
        <w:rPr>
          <w:rFonts w:ascii="Arial" w:cs="Arial" w:eastAsia="Arial" w:hAnsi="Arial"/>
          <w:i/>
          <w:iCs/>
          <w:color w:val="6B6B6B"/>
          <w:sz w:val="20"/>
          <w:szCs w:val="20"/>
        </w:rPr>
        <w:t xml:space="preserve">2 weeks  |  On-chain  |  6,500 DOT</w:t>
      </w:r>
    </w:p>
    <w:p>
      <w:pPr>
        <w:spacing w:before="80" w:after="120"/>
      </w:pPr>
      <w:r>
        <w:rPr>
          <w:rFonts w:ascii="Arial" w:cs="Arial" w:eastAsia="Arial" w:hAnsi="Arial"/>
          <w:color w:val="222222"/>
          <w:sz w:val="22"/>
          <w:szCs w:val="22"/>
        </w:rPr>
        <w:t xml:space="preserve">Two practical onboarding sessions (two hours each) held in the village, where participants create Kusama wallets and complete their on-chain identity registration. For participants without technical capacity, the team mints ROOTS tokens in a community custodial wallet. All attestation documents are scanned, hashed, and pinned to IPFS. The lineage graph is encoded on-chain via the lineage_parent fields. Session reactions and resistance points are documented ethnographically.</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600"/>
        <w:gridCol w:w="1400"/>
      </w:tblGrid>
      <w:tr>
        <w:tc>
          <w:tcPr>
            <w:tcW w:type="dxa" w:w="12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b/>
                <w:bCs/>
                <w:color w:val="FFFFFF"/>
                <w:sz w:val="22"/>
                <w:szCs w:val="22"/>
              </w:rPr>
              <w:t xml:space="preserve">Phase 3</w:t>
            </w:r>
          </w:p>
        </w:tc>
        <w:tc>
          <w:tcPr>
            <w:tcW w:type="dxa" w:w="516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b/>
                <w:bCs/>
                <w:color w:val="E8B84B"/>
                <w:sz w:val="22"/>
                <w:szCs w:val="22"/>
              </w:rPr>
              <w:t xml:space="preserve">On-Chain Identity Registration</w:t>
            </w:r>
          </w:p>
        </w:tc>
        <w:tc>
          <w:tcPr>
            <w:tcW w:type="dxa" w:w="16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color w:val="CCCCCC"/>
                <w:sz w:val="20"/>
                <w:szCs w:val="20"/>
              </w:rPr>
              <w:t xml:space="preserve">2 weeks</w:t>
            </w:r>
          </w:p>
        </w:tc>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right"/>
            </w:pPr>
            <w:r>
              <w:rPr>
                <w:rFonts w:ascii="Arial" w:cs="Arial" w:eastAsia="Arial" w:hAnsi="Arial"/>
                <w:b/>
                <w:bCs/>
                <w:color w:val="E8B84B"/>
                <w:sz w:val="22"/>
                <w:szCs w:val="22"/>
              </w:rPr>
              <w:t xml:space="preserve">6,500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Development: ROOTS token minting tool + IPFS pipeline + wallet UI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3,000 DOT</w:t>
            </w:r>
          </w:p>
        </w:tc>
      </w:tr>
      <w:tr>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color w:val="333333"/>
                <w:sz w:val="20"/>
                <w:szCs w:val="20"/>
              </w:rPr>
              <w:t xml:space="preserve">On-chain fees: identity deposits + ROOTS minting for ~100 participants</w:t>
            </w:r>
          </w:p>
        </w:tc>
        <w:tc>
          <w:tcPr>
            <w:tcW w:type="dxa" w:w="1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color w:val="444444"/>
                <w:sz w:val="20"/>
                <w:szCs w:val="20"/>
              </w:rPr>
              <w:t xml:space="preserve">900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IPFS pinning service (Pinata, 24 months)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200 DOT</w:t>
            </w:r>
          </w:p>
        </w:tc>
      </w:tr>
      <w:tr>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color w:val="333333"/>
                <w:sz w:val="20"/>
                <w:szCs w:val="20"/>
              </w:rPr>
              <w:t xml:space="preserve">Onboarding sessions facilitation (4 evenings, printed guides, devices)</w:t>
            </w:r>
          </w:p>
        </w:tc>
        <w:tc>
          <w:tcPr>
            <w:tcW w:type="dxa" w:w="1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color w:val="444444"/>
                <w:sz w:val="20"/>
                <w:szCs w:val="20"/>
              </w:rPr>
              <w:t xml:space="preserve">1,500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Ethnographic documentation of onboarding reactions and resistance points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900 DOT</w:t>
            </w:r>
          </w:p>
        </w:tc>
      </w:tr>
    </w:tbl>
    <w:p>
      <w:pPr>
        <w:spacing w:before="0" w:after="300"/>
      </w:pPr>
    </w:p>
    <w:p>
      <w:pPr>
        <w:pStyle w:val="Heading2"/>
        <w:spacing w:before="320" w:after="120"/>
      </w:pPr>
      <w:r>
        <w:rPr>
          <w:rFonts w:ascii="Arial" w:cs="Arial" w:eastAsia="Arial" w:hAnsi="Arial"/>
          <w:b/>
          <w:bCs/>
          <w:color w:val="1A1A2E"/>
          <w:sz w:val="26"/>
          <w:szCs w:val="26"/>
        </w:rPr>
        <w:t xml:space="preserve">Phase 4 — The Social Experiment</w:t>
      </w:r>
    </w:p>
    <w:p>
      <w:pPr>
        <w:spacing w:before="0" w:after="160"/>
      </w:pPr>
      <w:r>
        <w:rPr>
          <w:rFonts w:ascii="Arial" w:cs="Arial" w:eastAsia="Arial" w:hAnsi="Arial"/>
          <w:i/>
          <w:iCs/>
          <w:color w:val="6B6B6B"/>
          <w:sz w:val="20"/>
          <w:szCs w:val="20"/>
        </w:rPr>
        <w:t xml:space="preserve">4 weeks  |  On-chain + Off-chain  |  7,500 DOT</w:t>
      </w:r>
    </w:p>
    <w:p>
      <w:pPr>
        <w:spacing w:before="80" w:after="120"/>
      </w:pPr>
      <w:r>
        <w:rPr>
          <w:rFonts w:ascii="Arial" w:cs="Arial" w:eastAsia="Arial" w:hAnsi="Arial"/>
          <w:color w:val="222222"/>
          <w:sz w:val="22"/>
          <w:szCs w:val="22"/>
        </w:rPr>
        <w:t xml:space="preserve">Launch of the governance experiment using Kusama OpenGov. A community question — identified by participants in Phase 1, relating to a real local decision — is put to a gated referendum open only to attested identities. The question and the referendum are publicly announced in the village. Physical village discussions are facilitated alongside the on-chain vote. The experiment measures participation, deliberation quality, and whether the outcome aligns with observed community consensus. All results are documented in detail.</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600"/>
        <w:gridCol w:w="1400"/>
      </w:tblGrid>
      <w:tr>
        <w:tc>
          <w:tcPr>
            <w:tcW w:type="dxa" w:w="12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b/>
                <w:bCs/>
                <w:color w:val="FFFFFF"/>
                <w:sz w:val="22"/>
                <w:szCs w:val="22"/>
              </w:rPr>
              <w:t xml:space="preserve">Phase 4</w:t>
            </w:r>
          </w:p>
        </w:tc>
        <w:tc>
          <w:tcPr>
            <w:tcW w:type="dxa" w:w="516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b/>
                <w:bCs/>
                <w:color w:val="E8B84B"/>
                <w:sz w:val="22"/>
                <w:szCs w:val="22"/>
              </w:rPr>
              <w:t xml:space="preserve">The Social Experiment</w:t>
            </w:r>
          </w:p>
        </w:tc>
        <w:tc>
          <w:tcPr>
            <w:tcW w:type="dxa" w:w="16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color w:val="CCCCCC"/>
                <w:sz w:val="20"/>
                <w:szCs w:val="20"/>
              </w:rPr>
              <w:t xml:space="preserve">4 weeks</w:t>
            </w:r>
          </w:p>
        </w:tc>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right"/>
            </w:pPr>
            <w:r>
              <w:rPr>
                <w:rFonts w:ascii="Arial" w:cs="Arial" w:eastAsia="Arial" w:hAnsi="Arial"/>
                <w:b/>
                <w:bCs/>
                <w:color w:val="E8B84B"/>
                <w:sz w:val="22"/>
                <w:szCs w:val="22"/>
              </w:rPr>
              <w:t xml:space="preserve">7,500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Referendum design, OpenGov setup and public announcement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800 DOT</w:t>
            </w:r>
          </w:p>
        </w:tc>
      </w:tr>
      <w:tr>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color w:val="333333"/>
                <w:sz w:val="20"/>
                <w:szCs w:val="20"/>
              </w:rPr>
              <w:t xml:space="preserve">Facilitation of village discussions and deliberation events (5 sessions)</w:t>
            </w:r>
          </w:p>
        </w:tc>
        <w:tc>
          <w:tcPr>
            <w:tcW w:type="dxa" w:w="1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color w:val="444444"/>
                <w:sz w:val="20"/>
                <w:szCs w:val="20"/>
              </w:rPr>
              <w:t xml:space="preserve">2,000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Data collection, analysis and academic-standard research report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1,500 DOT</w:t>
            </w:r>
          </w:p>
        </w:tc>
      </w:tr>
      <w:tr>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color w:val="333333"/>
                <w:sz w:val="20"/>
                <w:szCs w:val="20"/>
              </w:rPr>
              <w:t xml:space="preserve">Final documentary film production (20 min, festival-quality, for Kusama)</w:t>
            </w:r>
          </w:p>
        </w:tc>
        <w:tc>
          <w:tcPr>
            <w:tcW w:type="dxa" w:w="1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color w:val="444444"/>
                <w:sz w:val="20"/>
                <w:szCs w:val="20"/>
              </w:rPr>
              <w:t xml:space="preserve">3,200 DOT</w:t>
            </w:r>
          </w:p>
        </w:tc>
      </w:tr>
    </w:tbl>
    <w:p>
      <w:pPr>
        <w:spacing w:before="0" w:after="300"/>
      </w:pPr>
    </w:p>
    <w:p>
      <w:pPr>
        <w:pStyle w:val="Heading2"/>
        <w:spacing w:before="320" w:after="120"/>
      </w:pPr>
      <w:r>
        <w:rPr>
          <w:rFonts w:ascii="Arial" w:cs="Arial" w:eastAsia="Arial" w:hAnsi="Arial"/>
          <w:b/>
          <w:bCs/>
          <w:color w:val="1A1A2E"/>
          <w:sz w:val="26"/>
          <w:szCs w:val="26"/>
        </w:rPr>
        <w:t xml:space="preserve">Phase 5 — Report, Mirror Publication &amp; Outreach</w:t>
      </w:r>
    </w:p>
    <w:p>
      <w:pPr>
        <w:spacing w:before="0" w:after="160"/>
      </w:pPr>
      <w:r>
        <w:rPr>
          <w:rFonts w:ascii="Arial" w:cs="Arial" w:eastAsia="Arial" w:hAnsi="Arial"/>
          <w:i/>
          <w:iCs/>
          <w:color w:val="6B6B6B"/>
          <w:sz w:val="20"/>
          <w:szCs w:val="20"/>
        </w:rPr>
        <w:t xml:space="preserve">2 weeks  |  Off-chain + On-chain  |  3,333 DOT</w:t>
      </w:r>
    </w:p>
    <w:p>
      <w:pPr>
        <w:spacing w:before="80" w:after="120"/>
      </w:pPr>
      <w:r>
        <w:rPr>
          <w:rFonts w:ascii="Arial" w:cs="Arial" w:eastAsia="Arial" w:hAnsi="Arial"/>
          <w:color w:val="222222"/>
          <w:sz w:val="22"/>
          <w:szCs w:val="22"/>
        </w:rPr>
        <w:t xml:space="preserve">Production of the final research report (15 to 20 pages, English and Italian) covering ethnographic findings, technical architecture, governance experiment results, and a replication framework for other villages. The report is published on Mirror.xyz (on-chain), submitted to bounty curators, and distributed to Web3 media, academic ethnography networks, and Southern Italian cultural institutions.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600"/>
        <w:gridCol w:w="1400"/>
      </w:tblGrid>
      <w:tr>
        <w:tc>
          <w:tcPr>
            <w:tcW w:type="dxa" w:w="12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b/>
                <w:bCs/>
                <w:color w:val="FFFFFF"/>
                <w:sz w:val="22"/>
                <w:szCs w:val="22"/>
              </w:rPr>
              <w:t xml:space="preserve">Phase 5</w:t>
            </w:r>
          </w:p>
        </w:tc>
        <w:tc>
          <w:tcPr>
            <w:tcW w:type="dxa" w:w="516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b/>
                <w:bCs/>
                <w:color w:val="E8B84B"/>
                <w:sz w:val="22"/>
                <w:szCs w:val="22"/>
              </w:rPr>
              <w:t xml:space="preserve">Report, Mirror Publication &amp; Outreach</w:t>
            </w:r>
          </w:p>
        </w:tc>
        <w:tc>
          <w:tcPr>
            <w:tcW w:type="dxa" w:w="16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color w:val="CCCCCC"/>
                <w:sz w:val="20"/>
                <w:szCs w:val="20"/>
              </w:rPr>
              <w:t xml:space="preserve">2 weeks</w:t>
            </w:r>
          </w:p>
        </w:tc>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right"/>
            </w:pPr>
            <w:r>
              <w:rPr>
                <w:rFonts w:ascii="Arial" w:cs="Arial" w:eastAsia="Arial" w:hAnsi="Arial"/>
                <w:b/>
                <w:bCs/>
                <w:color w:val="E8B84B"/>
                <w:sz w:val="22"/>
                <w:szCs w:val="22"/>
              </w:rPr>
              <w:t xml:space="preserve">3,333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Research report writing (English + Italian, 15-20 pages)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800 DOT</w:t>
            </w:r>
          </w:p>
        </w:tc>
      </w:tr>
      <w:tr>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color w:val="333333"/>
                <w:sz w:val="20"/>
                <w:szCs w:val="20"/>
              </w:rPr>
              <w:t xml:space="preserve">Mirror.xyz publication + media outreach</w:t>
            </w:r>
          </w:p>
        </w:tc>
        <w:tc>
          <w:tcPr>
            <w:tcW w:type="dxa" w:w="1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color w:val="444444"/>
                <w:sz w:val="20"/>
                <w:szCs w:val="20"/>
              </w:rPr>
              <w:t xml:space="preserve">400 DOT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Translation and layout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color w:val="444444"/>
                <w:sz w:val="20"/>
                <w:szCs w:val="20"/>
              </w:rPr>
              <w:t xml:space="preserve">300 DOT</w:t>
            </w:r>
          </w:p>
        </w:tc>
      </w:tr>
    </w:tbl>
    <w:p>
      <w:pPr>
        <w:spacing w:before="0" w:after="300"/>
      </w:pPr>
    </w:p>
    <w:p>
      <w:pPr>
        <w:pStyle w:val="Heading1"/>
        <w:spacing w:before="400" w:after="160"/>
      </w:pPr>
      <w:r>
        <w:rPr>
          <w:rFonts w:ascii="Arial" w:cs="Arial" w:eastAsia="Arial" w:hAnsi="Arial"/>
          <w:b/>
          <w:bCs/>
          <w:color w:val="1A1A2E"/>
          <w:sz w:val="36"/>
          <w:szCs w:val="36"/>
        </w:rPr>
        <w:t xml:space="preserve">Tax &amp; Legal Compliance</w:t>
      </w:r>
    </w:p>
    <w:p>
      <w:pPr>
        <w:spacing w:before="80" w:after="120"/>
      </w:pPr>
      <w:r>
        <w:rPr>
          <w:rFonts w:ascii="Arial" w:cs="Arial" w:eastAsia="Arial" w:hAnsi="Arial"/>
          <w:color w:val="222222"/>
          <w:sz w:val="22"/>
          <w:szCs w:val="22"/>
        </w:rPr>
        <w:t xml:space="preserve">This section addresses a concrete and often overlooked dimension of Web3 project funding in Italy. Under current Italian tax law (Decreto Legislativo 461/1997 as updated by the 2023 Budget Law), crypto-asset gains are classified as capital gains and taxed at a flat rate of 26%. This applies to the conversion of DOT received as bounty funding into fiat currency, which is a necessary step to pay for real-world project expenses including contractor fees, printing, event costs, and production services.</w:t>
      </w:r>
    </w:p>
    <w:p>
      <w:pPr>
        <w:spacing w:before="80" w:after="120"/>
      </w:pPr>
      <w:r>
        <w:rPr>
          <w:rFonts w:ascii="Arial" w:cs="Arial" w:eastAsia="Arial" w:hAnsi="Arial"/>
          <w:color w:val="222222"/>
          <w:sz w:val="22"/>
          <w:szCs w:val="22"/>
        </w:rPr>
        <w:t xml:space="preserve">The project budget has been structured to account for this tax liability explicitly, rather than absorbing it silently into other line items. Transparency on this point strengthens the proposal's credibility and ensures the project team is not left financially exposed after delivering all milestones.</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TAX NOTE</w:t>
            </w:r>
          </w:p>
        </w:tc>
        <w:tc>
          <w:tcPr>
            <w:tcW w:type="dxa" w:w="7920"/>
            <w:tcBorders>
              <w:top w:val="none" w:color="FFFFFF" w:sz="0"/>
              <w:left w:val="none" w:color="FFFFFF" w:sz="0"/>
              <w:bottom w:val="none" w:color="FFFFFF" w:sz="0"/>
              <w:right w:val="none" w:color="FFFFFF" w:sz="0"/>
            </w:tcBorders>
            <w:shd w:fill="F5F0E8" w:val="clear"/>
            <w:tcMar>
              <w:top w:type="dxa" w:w="120"/>
              <w:left w:type="dxa" w:w="200"/>
              <w:bottom w:type="dxa" w:w="120"/>
              <w:right w:type="dxa" w:w="200"/>
            </w:tcMar>
          </w:tcPr>
          <w:p>
            <w:r>
              <w:rPr>
                <w:rFonts w:ascii="Arial" w:cs="Arial" w:eastAsia="Arial" w:hAnsi="Arial"/>
                <w:color w:val="333333"/>
                <w:sz w:val="22"/>
                <w:szCs w:val="22"/>
              </w:rPr>
              <w:t xml:space="preserve">Italian capital gains tax on crypto (26%) applies at the moment of conversion from DOT to EUR. The 8,407 DOT tax reserve is calculated on the operational budget of 32,333 DOT (phases 1-5 + contingency), assuming full conversion to fiat. If a portion of expenses can be settled directly in DOT (e.g. on-chain fees, IPFS services), the effective tax burden will be lower and the reserve will be partially returned or rolled into future phases.</w:t>
            </w:r>
          </w:p>
        </w:tc>
      </w:tr>
    </w:tbl>
    <w:p>
      <w:pPr>
        <w:spacing w:before="0" w:after="200"/>
      </w:pPr>
    </w:p>
    <w:p>
      <w:pPr>
        <w:pStyle w:val="Heading2"/>
        <w:spacing w:before="320" w:after="120"/>
      </w:pPr>
      <w:r>
        <w:rPr>
          <w:rFonts w:ascii="Arial" w:cs="Arial" w:eastAsia="Arial" w:hAnsi="Arial"/>
          <w:b/>
          <w:bCs/>
          <w:color w:val="1A1A2E"/>
          <w:sz w:val="26"/>
          <w:szCs w:val="26"/>
        </w:rPr>
        <w:t xml:space="preserve">Legal Structure</w:t>
      </w:r>
    </w:p>
    <w:p>
      <w:pPr>
        <w:spacing w:before="80" w:after="120"/>
      </w:pPr>
      <w:r>
        <w:rPr>
          <w:rFonts w:ascii="Arial" w:cs="Arial" w:eastAsia="Arial" w:hAnsi="Arial"/>
          <w:color w:val="222222"/>
          <w:sz w:val="22"/>
          <w:szCs w:val="22"/>
        </w:rPr>
        <w:t xml:space="preserve">The project will operate under a registered Italian entity (APS associazione di promozione sociale or equivalent cultural association) to ensure proper invoicing, tax reporting, and accountability to both the Kusama bounty curators and Italian fiscal authorities. All expenses will be documented with invoices and receipts. A final financial report will be submitted alongside the research deliverables at the close of Phase 5.</w:t>
      </w:r>
    </w:p>
    <w:p>
      <w:pPr>
        <w:pStyle w:val="Heading1"/>
        <w:spacing w:before="400" w:after="160"/>
      </w:pPr>
      <w:r>
        <w:rPr>
          <w:rFonts w:ascii="Arial" w:cs="Arial" w:eastAsia="Arial" w:hAnsi="Arial"/>
          <w:b/>
          <w:bCs/>
          <w:color w:val="1A1A2E"/>
          <w:sz w:val="36"/>
          <w:szCs w:val="36"/>
        </w:rPr>
        <w:t xml:space="preserve">Budget Summary</w:t>
      </w:r>
    </w:p>
    <w:p>
      <w:pPr>
        <w:spacing w:before="0" w:after="200"/>
      </w:pPr>
      <w:r>
        <w:rPr>
          <w:rFonts w:ascii="Arial" w:cs="Arial" w:eastAsia="Arial" w:hAnsi="Arial"/>
          <w:i/>
          <w:iCs/>
          <w:color w:val="6B6B6B"/>
          <w:sz w:val="20"/>
          <w:szCs w:val="20"/>
        </w:rPr>
        <w:t xml:space="preserve">All DOT amounts calculated at $1.20 USD per DOT (reference rate, February 2025). Budget submitted in DOT; USD equivalents are indicative only and subject to market fluctuation.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100"/>
        <w:gridCol w:w="1200"/>
        <w:gridCol w:w="1300"/>
      </w:tblGrid>
      <w:tr>
        <w:tc>
          <w:tcPr>
            <w:tcW w:type="dxa" w:w="9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8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Activity</w:t>
            </w:r>
          </w:p>
        </w:tc>
        <w:tc>
          <w:tcPr>
            <w:tcW w:type="dxa" w:w="11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Timeline</w:t>
            </w:r>
          </w:p>
        </w:tc>
        <w:tc>
          <w:tcPr>
            <w:tcW w:type="dxa" w:w="12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DOT</w:t>
            </w:r>
          </w:p>
        </w:tc>
        <w:tc>
          <w:tcPr>
            <w:tcW w:type="dxa" w:w="13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USD equiv.</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Phase 1</w:t>
            </w:r>
          </w:p>
        </w:tc>
        <w:tc>
          <w:tcPr>
            <w:tcW w:type="dxa" w:w="4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Oral Ethnography &amp; Book of Names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4 weeks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6,500 DOT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~$7,800</w:t>
            </w:r>
          </w:p>
        </w:tc>
      </w:tr>
      <w:tr>
        <w:tc>
          <w:tcPr>
            <w:tcW w:type="dxa" w:w="9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Phase 2</w:t>
            </w:r>
          </w:p>
        </w:tc>
        <w:tc>
          <w:tcPr>
            <w:tcW w:type="dxa" w:w="48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The Attestation Ceremony</w:t>
            </w:r>
          </w:p>
        </w:tc>
        <w:tc>
          <w:tcPr>
            <w:tcW w:type="dxa" w:w="11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2 weeks</w:t>
            </w:r>
          </w:p>
        </w:tc>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8,500 DOT</w:t>
            </w:r>
          </w:p>
        </w:tc>
        <w:tc>
          <w:tcPr>
            <w:tcW w:type="dxa" w:w="13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~$10,200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Phase 3</w:t>
            </w:r>
          </w:p>
        </w:tc>
        <w:tc>
          <w:tcPr>
            <w:tcW w:type="dxa" w:w="4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On-Chain Identity Registration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2 weeks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6,500 DOT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~$7,800</w:t>
            </w:r>
          </w:p>
        </w:tc>
      </w:tr>
      <w:tr>
        <w:tc>
          <w:tcPr>
            <w:tcW w:type="dxa" w:w="9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Phase 4</w:t>
            </w:r>
          </w:p>
        </w:tc>
        <w:tc>
          <w:tcPr>
            <w:tcW w:type="dxa" w:w="48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The Social Experiment</w:t>
            </w:r>
          </w:p>
        </w:tc>
        <w:tc>
          <w:tcPr>
            <w:tcW w:type="dxa" w:w="11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4 weeks</w:t>
            </w:r>
          </w:p>
        </w:tc>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7,500 DOT</w:t>
            </w:r>
          </w:p>
        </w:tc>
        <w:tc>
          <w:tcPr>
            <w:tcW w:type="dxa" w:w="13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~$9,000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Phase 5</w:t>
            </w:r>
          </w:p>
        </w:tc>
        <w:tc>
          <w:tcPr>
            <w:tcW w:type="dxa" w:w="4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Report, Mirror Publication &amp; Outreach</w:t>
            </w:r>
          </w:p>
        </w:tc>
        <w:tc>
          <w:tcPr>
            <w:tcW w:type="dxa" w:w="11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2 weeks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3,333 DOT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~$4,000</w:t>
            </w:r>
          </w:p>
        </w:tc>
      </w:tr>
      <w:tr>
        <w:tc>
          <w:tcPr>
            <w:tcW w:type="dxa" w:w="9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Tax &amp; Legal</w:t>
            </w:r>
          </w:p>
        </w:tc>
        <w:tc>
          <w:tcPr>
            <w:tcW w:type="dxa" w:w="48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Italian Crypto Capital Gains Tax (26%)</w:t>
            </w:r>
          </w:p>
        </w:tc>
        <w:tc>
          <w:tcPr>
            <w:tcW w:type="dxa" w:w="11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20"/>
                <w:szCs w:val="20"/>
              </w:rPr>
              <w:t xml:space="preserve"/>
            </w:r>
          </w:p>
        </w:tc>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8,407 DOT</w:t>
            </w:r>
          </w:p>
        </w:tc>
        <w:tc>
          <w:tcPr>
            <w:tcW w:type="dxa" w:w="13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b w:val="false"/>
                <w:bCs w:val="false"/>
                <w:color w:val="333333"/>
                <w:sz w:val="20"/>
                <w:szCs w:val="20"/>
              </w:rPr>
              <w:t xml:space="preserve">~$10,088</w:t>
            </w:r>
          </w:p>
        </w:tc>
      </w:tr>
      <w:tr>
        <w:tc>
          <w:tcPr>
            <w:tcW w:type="dxa" w:w="9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Contingency</w:t>
            </w:r>
          </w:p>
        </w:tc>
        <w:tc>
          <w:tcPr>
            <w:tcW w:type="dxa" w:w="48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Unforeseen Expenses Buffer</w:t>
            </w:r>
          </w:p>
        </w:tc>
        <w:tc>
          <w:tcPr>
            <w:tcW w:type="dxa" w:w="11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
            </w:r>
          </w:p>
        </w:tc>
        <w:tc>
          <w:tcPr>
            <w:tcW w:type="dxa" w:w="1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b/>
                <w:bCs/>
                <w:color w:val="1A1A2E"/>
                <w:sz w:val="20"/>
                <w:szCs w:val="20"/>
              </w:rPr>
              <w:t xml:space="preserve">1,260 DOT</w:t>
            </w:r>
          </w:p>
        </w:tc>
        <w:tc>
          <w:tcPr>
            <w:tcW w:type="dxa" w:w="13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right"/>
            </w:pPr>
            <w:r>
              <w:rPr>
                <w:rFonts w:ascii="Arial" w:cs="Arial" w:eastAsia="Arial" w:hAnsi="Arial"/>
                <w:b/>
                <w:bCs/>
                <w:color w:val="1A1A2E"/>
                <w:sz w:val="20"/>
                <w:szCs w:val="20"/>
              </w:rPr>
              <w:t xml:space="preserve">~$1,512</w:t>
            </w:r>
          </w:p>
        </w:tc>
      </w:tr>
      <w:tr>
        <w:tc>
          <w:tcPr>
            <w:tcW w:type="dxa" w:w="900"/>
            <w:tcBorders>
              <w:top w:val="single" w:color="1A1A2E" w:sz="4"/>
              <w:left w:val="none" w:color="FFFFFF" w:sz="0"/>
              <w:bottom w:val="single" w:color="DDDDDD" w:sz="1"/>
              <w:right w:val="none" w:color="FFFFFF" w:sz="0"/>
            </w:tcBorders>
            <w:shd w:fill="1A1A2E" w:val="clear"/>
            <w:tcMar>
              <w:top w:type="dxa" w:w="100"/>
              <w:left w:type="dxa" w:w="160"/>
              <w:bottom w:type="dxa" w:w="100"/>
              <w:right w:type="dxa" w:w="160"/>
            </w:tcMar>
          </w:tcPr>
          <w:p>
            <w:pPr>
              <w:jc w:val="left"/>
            </w:pPr>
            <w:r>
              <w:rPr>
                <w:rFonts w:ascii="Arial" w:cs="Arial" w:eastAsia="Arial" w:hAnsi="Arial"/>
                <w:b/>
                <w:bCs/>
                <w:color w:val="FFFFFF"/>
                <w:sz w:val="22"/>
                <w:szCs w:val="22"/>
              </w:rPr>
              <w:t xml:space="preserve">TOTAL</w:t>
            </w:r>
          </w:p>
        </w:tc>
        <w:tc>
          <w:tcPr>
            <w:tcW w:type="dxa" w:w="4860"/>
            <w:tcBorders>
              <w:top w:val="single" w:color="1A1A2E" w:sz="4"/>
              <w:left w:val="none" w:color="FFFFFF" w:sz="0"/>
              <w:bottom w:val="single" w:color="DDDDDD" w:sz="1"/>
              <w:right w:val="none" w:color="FFFFFF" w:sz="0"/>
            </w:tcBorders>
            <w:shd w:fill="1A1A2E" w:val="clear"/>
            <w:tcMar>
              <w:top w:type="dxa" w:w="100"/>
              <w:left w:type="dxa" w:w="160"/>
              <w:bottom w:type="dxa" w:w="100"/>
              <w:right w:type="dxa" w:w="160"/>
            </w:tcMar>
          </w:tcPr>
          <w:p>
            <w:pPr>
              <w:jc w:val="left"/>
            </w:pPr>
            <w:r>
              <w:rPr>
                <w:rFonts w:ascii="Arial" w:cs="Arial" w:eastAsia="Arial" w:hAnsi="Arial"/>
                <w:b/>
                <w:bCs/>
                <w:color w:val="FFFFFF"/>
                <w:sz w:val="22"/>
                <w:szCs w:val="22"/>
              </w:rPr>
              <w:t xml:space="preserve"/>
            </w:r>
          </w:p>
        </w:tc>
        <w:tc>
          <w:tcPr>
            <w:tcW w:type="dxa" w:w="1100"/>
            <w:tcBorders>
              <w:top w:val="single" w:color="1A1A2E" w:sz="4"/>
              <w:left w:val="none" w:color="FFFFFF" w:sz="0"/>
              <w:bottom w:val="single" w:color="DDDDDD" w:sz="1"/>
              <w:right w:val="none" w:color="FFFFFF" w:sz="0"/>
            </w:tcBorders>
            <w:shd w:fill="1A1A2E" w:val="clear"/>
            <w:tcMar>
              <w:top w:type="dxa" w:w="100"/>
              <w:left w:type="dxa" w:w="160"/>
              <w:bottom w:type="dxa" w:w="100"/>
              <w:right w:type="dxa" w:w="160"/>
            </w:tcMar>
          </w:tcPr>
          <w:p>
            <w:pPr>
              <w:jc w:val="left"/>
            </w:pPr>
            <w:r>
              <w:rPr>
                <w:rFonts w:ascii="Arial" w:cs="Arial" w:eastAsia="Arial" w:hAnsi="Arial"/>
                <w:b/>
                <w:bCs/>
                <w:color w:val="FFFFFF"/>
                <w:sz w:val="22"/>
                <w:szCs w:val="22"/>
              </w:rPr>
              <w:t xml:space="preserve"/>
            </w:r>
          </w:p>
        </w:tc>
        <w:tc>
          <w:tcPr>
            <w:tcW w:type="dxa" w:w="1200"/>
            <w:tcBorders>
              <w:top w:val="single" w:color="1A1A2E" w:sz="4"/>
              <w:left w:val="none" w:color="FFFFFF" w:sz="0"/>
              <w:bottom w:val="single" w:color="DDDDDD" w:sz="1"/>
              <w:right w:val="none" w:color="FFFFFF" w:sz="0"/>
            </w:tcBorders>
            <w:shd w:fill="1A1A2E"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42,000 DOT</w:t>
            </w:r>
          </w:p>
        </w:tc>
        <w:tc>
          <w:tcPr>
            <w:tcW w:type="dxa" w:w="1300"/>
            <w:tcBorders>
              <w:top w:val="single" w:color="1A1A2E" w:sz="4"/>
              <w:left w:val="none" w:color="FFFFFF" w:sz="0"/>
              <w:bottom w:val="single" w:color="DDDDDD" w:sz="1"/>
              <w:right w:val="none" w:color="FFFFFF" w:sz="0"/>
            </w:tcBorders>
            <w:shd w:fill="1A1A2E"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~$50,400</w:t>
            </w:r>
          </w:p>
        </w:tc>
      </w:tr>
    </w:tbl>
    <w:p>
      <w:pPr>
        <w:spacing w:before="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NOTE</w:t>
            </w:r>
          </w:p>
        </w:tc>
        <w:tc>
          <w:tcPr>
            <w:tcW w:type="dxa" w:w="7920"/>
            <w:tcBorders>
              <w:top w:val="none" w:color="FFFFFF" w:sz="0"/>
              <w:left w:val="none" w:color="FFFFFF" w:sz="0"/>
              <w:bottom w:val="none" w:color="FFFFFF" w:sz="0"/>
              <w:right w:val="none" w:color="FFFFFF" w:sz="0"/>
            </w:tcBorders>
            <w:shd w:fill="F5F0E8" w:val="clear"/>
            <w:tcMar>
              <w:top w:type="dxa" w:w="120"/>
              <w:left w:type="dxa" w:w="200"/>
              <w:bottom w:type="dxa" w:w="120"/>
              <w:right w:type="dxa" w:w="200"/>
            </w:tcMar>
          </w:tcPr>
          <w:p>
            <w:r>
              <w:rPr>
                <w:rFonts w:ascii="Arial" w:cs="Arial" w:eastAsia="Arial" w:hAnsi="Arial"/>
                <w:color w:val="333333"/>
                <w:sz w:val="22"/>
                <w:szCs w:val="22"/>
              </w:rPr>
              <w:t xml:space="preserve">The total of 20,000 DOT (~$24,000 at current rates) covers a full 3-month experiment with 5 documented phases, professional video production, on-chain infrastructure, printed cultural artifacts, a publishable research report, and full Italian tax compliance. The budget is intentionally conservative: if operational costs come in below projection, surplus funds will be rolled into an extended Phase 6 covering replication in a second village.</w:t>
            </w:r>
          </w:p>
        </w:tc>
      </w:tr>
    </w:tbl>
    <w:p>
      <w:pPr>
        <w:spacing w:before="0" w:after="300"/>
      </w:pPr>
    </w:p>
    <w:p>
      <w:pPr>
        <w:pStyle w:val="Heading1"/>
        <w:spacing w:before="400" w:after="160"/>
      </w:pPr>
      <w:r>
        <w:rPr>
          <w:rFonts w:ascii="Arial" w:cs="Arial" w:eastAsia="Arial" w:hAnsi="Arial"/>
          <w:b/>
          <w:bCs/>
          <w:color w:val="1A1A2E"/>
          <w:sz w:val="36"/>
          <w:szCs w:val="36"/>
        </w:rPr>
        <w:t xml:space="preserve">Scalability: The Living Graph Model</w:t>
      </w:r>
    </w:p>
    <w:p>
      <w:pPr>
        <w:spacing w:before="80" w:after="120"/>
      </w:pPr>
      <w:r>
        <w:rPr>
          <w:rFonts w:ascii="Arial" w:cs="Arial" w:eastAsia="Arial" w:hAnsi="Arial"/>
          <w:color w:val="222222"/>
          <w:sz w:val="22"/>
          <w:szCs w:val="22"/>
        </w:rPr>
        <w:t xml:space="preserve">The most important structural property of house names — and the most technically interesting — is that they grow. This is not a fixed registry that decays over time as populations change. It is a living social graph that self-updates through community events.</w:t>
      </w:r>
    </w:p>
    <w:p>
      <w:pPr>
        <w:pStyle w:val="Heading2"/>
        <w:spacing w:before="320" w:after="120"/>
      </w:pPr>
      <w:r>
        <w:rPr>
          <w:rFonts w:ascii="Arial" w:cs="Arial" w:eastAsia="Arial" w:hAnsi="Arial"/>
          <w:b/>
          <w:bCs/>
          <w:color w:val="1A1A2E"/>
          <w:sz w:val="26"/>
          <w:szCs w:val="26"/>
        </w:rPr>
        <w:t xml:space="preserve">How New Nodes Are Born</w:t>
      </w:r>
    </w:p>
    <w:p>
      <w:pPr>
        <w:spacing w:before="80" w:after="120"/>
      </w:pPr>
      <w:r>
        <w:rPr>
          <w:rFonts w:ascii="Arial" w:cs="Arial" w:eastAsia="Arial" w:hAnsi="Arial"/>
          <w:color w:val="222222"/>
          <w:sz w:val="22"/>
          <w:szCs w:val="22"/>
        </w:rPr>
        <w:t xml:space="preserve">When a young couple establishes an independent household and the community begins referring to them by a new nickname — derived from the parent name but distinct — a new branch of the lineage graph is created. This event:</w:t>
      </w:r>
    </w:p>
    <w:p>
      <w:pPr>
        <w:pStyle w:val="ListParagraph"/>
        <w:numPr>
          <w:ilvl w:val="0"/>
          <w:numId w:val="2"/>
        </w:numPr>
        <w:spacing w:before="60" w:after="60"/>
      </w:pPr>
      <w:r>
        <w:rPr>
          <w:rFonts w:ascii="Arial" w:cs="Arial" w:eastAsia="Arial" w:hAnsi="Arial"/>
          <w:color w:val="222222"/>
          <w:sz w:val="22"/>
          <w:szCs w:val="22"/>
        </w:rPr>
        <w:t xml:space="preserve">Generates a new off-chain oral attestation (informal, by elders or social consensus)</w:t>
      </w:r>
    </w:p>
    <w:p>
      <w:pPr>
        <w:pStyle w:val="ListParagraph"/>
        <w:numPr>
          <w:ilvl w:val="0"/>
          <w:numId w:val="2"/>
        </w:numPr>
        <w:spacing w:before="60" w:after="60"/>
      </w:pPr>
      <w:r>
        <w:rPr>
          <w:rFonts w:ascii="Arial" w:cs="Arial" w:eastAsia="Arial" w:hAnsi="Arial"/>
          <w:color w:val="222222"/>
          <w:sz w:val="22"/>
          <w:szCs w:val="22"/>
        </w:rPr>
        <w:t xml:space="preserve">Triggers a new on-chain identity registration, with lineage_parent pointing to the ancestral ROOTS token</w:t>
      </w:r>
    </w:p>
    <w:p>
      <w:pPr>
        <w:pStyle w:val="ListParagraph"/>
        <w:numPr>
          <w:ilvl w:val="0"/>
          <w:numId w:val="2"/>
        </w:numPr>
        <w:spacing w:before="60" w:after="60"/>
      </w:pPr>
      <w:r>
        <w:rPr>
          <w:rFonts w:ascii="Arial" w:cs="Arial" w:eastAsia="Arial" w:hAnsi="Arial"/>
          <w:color w:val="222222"/>
          <w:sz w:val="22"/>
          <w:szCs w:val="22"/>
        </w:rPr>
        <w:t xml:space="preserve">Extends the on-chain graph with a new directed edge</w:t>
      </w:r>
    </w:p>
    <w:p>
      <w:pPr>
        <w:pStyle w:val="ListParagraph"/>
        <w:numPr>
          <w:ilvl w:val="0"/>
          <w:numId w:val="2"/>
        </w:numPr>
        <w:spacing w:before="60" w:after="60"/>
      </w:pPr>
      <w:r>
        <w:rPr>
          <w:rFonts w:ascii="Arial" w:cs="Arial" w:eastAsia="Arial" w:hAnsi="Arial"/>
          <w:color w:val="222222"/>
          <w:sz w:val="22"/>
          <w:szCs w:val="22"/>
        </w:rPr>
        <w:t xml:space="preserve">Requires no central administrator — any attested community member can propose and witnesses can validate</w:t>
      </w:r>
    </w:p>
    <w:p>
      <w:pPr>
        <w:spacing w:before="0" w:after="100"/>
      </w:pPr>
    </w:p>
    <w:p>
      <w:pPr>
        <w:spacing w:before="80" w:after="120"/>
      </w:pPr>
      <w:r>
        <w:rPr>
          <w:rFonts w:ascii="Arial" w:cs="Arial" w:eastAsia="Arial" w:hAnsi="Arial"/>
          <w:color w:val="222222"/>
          <w:sz w:val="22"/>
          <w:szCs w:val="22"/>
        </w:rPr>
        <w:t xml:space="preserve">This means the system designed in this MVP is not a one-time experiment — it is infrastructure. Once the initial graph is established, the community maintains it by living their lives. Every wedding, every family split, every new nickname born at the bar becomes a potential on-chain event.</w:t>
      </w:r>
    </w:p>
    <w:p>
      <w:pPr>
        <w:pStyle w:val="Heading2"/>
        <w:spacing w:before="320" w:after="120"/>
      </w:pPr>
      <w:r>
        <w:rPr>
          <w:rFonts w:ascii="Arial" w:cs="Arial" w:eastAsia="Arial" w:hAnsi="Arial"/>
          <w:b/>
          <w:bCs/>
          <w:color w:val="1A1A2E"/>
          <w:sz w:val="26"/>
          <w:szCs w:val="26"/>
        </w:rPr>
        <w:t xml:space="preserve">Replication Framework</w:t>
      </w:r>
    </w:p>
    <w:p>
      <w:pPr>
        <w:spacing w:before="80" w:after="120"/>
      </w:pPr>
      <w:r>
        <w:rPr>
          <w:rFonts w:ascii="Arial" w:cs="Arial" w:eastAsia="Arial" w:hAnsi="Arial"/>
          <w:color w:val="222222"/>
          <w:sz w:val="22"/>
          <w:szCs w:val="22"/>
        </w:rPr>
        <w:t xml:space="preserve">The MVP is designed to produce a replication protocol that other communities can adopt. The key requirements for a village to run this experiment are: a living oral tradition of house names or equivalent community identifiers; a population dense enough for multi-generational memory; at least one local facilitator with community trust. These conditions exist across thousands of villages in Italy, Greece, Spain, Portugal, North Africa, and the Balkans — all regions with strong oral identity traditions and significant rural depopulation challenges.</w:t>
      </w:r>
    </w:p>
    <w:p>
      <w:pPr>
        <w:spacing w:before="80" w:after="120"/>
      </w:pPr>
      <w:r>
        <w:rPr>
          <w:rFonts w:ascii="Arial" w:cs="Arial" w:eastAsia="Arial" w:hAnsi="Arial"/>
          <w:color w:val="222222"/>
          <w:sz w:val="22"/>
          <w:szCs w:val="22"/>
        </w:rPr>
        <w:t xml:space="preserve">The replication framework produced in Phase 5 will include a facilitator guide, the open-source minting tools built in Phase 3, a template for the Book of Names, and a ceremony protocol adaptable to different cultural contexts.</w:t>
      </w:r>
    </w:p>
    <w:p>
      <w:pPr>
        <w:spacing w:before="100" w:after="100"/>
      </w:pPr>
    </w:p>
    <w:p>
      <w:pPr>
        <w:pStyle w:val="Heading1"/>
        <w:spacing w:before="400" w:after="160"/>
      </w:pPr>
      <w:r>
        <w:rPr>
          <w:rFonts w:ascii="Arial" w:cs="Arial" w:eastAsia="Arial" w:hAnsi="Arial"/>
          <w:b/>
          <w:bCs/>
          <w:color w:val="1A1A2E"/>
          <w:sz w:val="36"/>
          <w:szCs w:val="36"/>
        </w:rPr>
        <w:t xml:space="preserve">Why Kusama</w:t>
      </w:r>
    </w:p>
    <w:p>
      <w:pPr>
        <w:spacing w:before="80" w:after="120"/>
      </w:pPr>
      <w:r>
        <w:rPr>
          <w:rFonts w:ascii="Arial" w:cs="Arial" w:eastAsia="Arial" w:hAnsi="Arial"/>
          <w:color w:val="222222"/>
          <w:sz w:val="22"/>
          <w:szCs w:val="22"/>
        </w:rPr>
        <w:t xml:space="preserve">This experiment belongs on Kusama specifically, not on any other network. Kusama's identity as a cypherpunks' playground and experiment-central hub aligns with what we are building: a radical, culturally-grounded stress test of Proof of Personhood that would be too unconventional for Polkadot's more conservative ecosystem and too rooted in human specificity for a general-purpose L1.</w:t>
      </w:r>
    </w:p>
    <w:p>
      <w:pPr>
        <w:spacing w:before="80" w:after="120"/>
      </w:pPr>
      <w:r>
        <w:rPr>
          <w:rFonts w:ascii="Arial" w:cs="Arial" w:eastAsia="Arial" w:hAnsi="Arial"/>
          <w:color w:val="222222"/>
          <w:sz w:val="22"/>
          <w:szCs w:val="22"/>
        </w:rPr>
        <w:t xml:space="preserve">More concretely, the technical infrastructure we need — the Identity Pallet, OpenGov, native asset minting — already exists on Kusama with minimal friction and low fees. We are not building new tooling; we are proving that existing Kusama primitives can be applied to a context their designers never imagined: a 500-person village in southern Italy where people have been verifying human identity with nicknames for 400 years.</w:t>
      </w:r>
    </w:p>
    <w:p>
      <w:pPr>
        <w:spacing w:before="80" w:after="120"/>
      </w:pPr>
      <w:r>
        <w:rPr>
          <w:rFonts w:ascii="Arial" w:cs="Arial" w:eastAsia="Arial" w:hAnsi="Arial"/>
          <w:color w:val="222222"/>
          <w:sz w:val="22"/>
          <w:szCs w:val="22"/>
        </w:rPr>
        <w:t xml:space="preserve">The participants this experiment brings to Kusama — elderly residents of a rural borgo, local farmers, the bar owner who knows every family's secret name — are the most unlikely Kusama users imaginable. That is precisely the point. If Kusama's identity infrastructure can work for them, it can work for anyone.</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CORE ARGUMENT</w:t>
            </w:r>
          </w:p>
        </w:tc>
        <w:tc>
          <w:tcPr>
            <w:tcW w:type="dxa" w:w="7920"/>
            <w:tcBorders>
              <w:top w:val="none" w:color="FFFFFF" w:sz="0"/>
              <w:left w:val="none" w:color="FFFFFF" w:sz="0"/>
              <w:bottom w:val="none" w:color="FFFFFF" w:sz="0"/>
              <w:right w:val="none" w:color="FFFFFF" w:sz="0"/>
            </w:tcBorders>
            <w:shd w:fill="F5F0E8" w:val="clear"/>
            <w:tcMar>
              <w:top w:type="dxa" w:w="120"/>
              <w:left w:type="dxa" w:w="200"/>
              <w:bottom w:type="dxa" w:w="120"/>
              <w:right w:type="dxa" w:w="200"/>
            </w:tcMar>
          </w:tcPr>
          <w:p>
            <w:r>
              <w:rPr>
                <w:rFonts w:ascii="Arial" w:cs="Arial" w:eastAsia="Arial" w:hAnsi="Arial"/>
                <w:color w:val="333333"/>
                <w:sz w:val="22"/>
                <w:szCs w:val="22"/>
              </w:rPr>
              <w:t xml:space="preserve">The oldest anti-Sybil mechanism in human history is a village that knows its own names. We are putting it on-chain — and letting it grow.</w:t>
            </w:r>
          </w:p>
        </w:tc>
      </w:tr>
    </w:tbl>
    <w:p>
      <w:pPr>
        <w:spacing w:before="0" w:after="200"/>
      </w:pPr>
    </w:p>
    <w:p>
      <w:pPr>
        <w:spacing w:before="100" w:after="100"/>
      </w:pPr>
    </w:p>
    <w:p>
      <w:pPr>
        <w:spacing w:before="400" w:after="80"/>
        <w:jc w:val="center"/>
      </w:pPr>
      <w:r>
        <w:rPr>
          <w:rFonts w:ascii="Arial" w:cs="Arial" w:eastAsia="Arial" w:hAnsi="Arial"/>
          <w:i/>
          <w:iCs/>
          <w:color w:val="6B6B6B"/>
          <w:sz w:val="18"/>
          <w:szCs w:val="18"/>
        </w:rPr>
        <w:t xml:space="preserve">Proposal submitted to the Art &amp; Social Experiments Bounty — Kusama Vision Initiative</w:t>
      </w:r>
    </w:p>
    <w:p>
      <w:pPr>
        <w:jc w:val="center"/>
      </w:pPr>
      <w:r>
        <w:rPr>
          <w:rFonts w:ascii="Arial" w:cs="Arial" w:eastAsia="Arial" w:hAnsi="Arial"/>
          <w:i/>
          <w:iCs/>
          <w:color w:val="6B6B6B"/>
          <w:sz w:val="18"/>
          <w:szCs w:val="18"/>
        </w:rPr>
        <w:t xml:space="preserve">Questions and collaboration inquiries welcome via the bounty curator channels.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2026-02-17T20:24:59.216Z</dcterms:created>
  <dcterms:modified xsi:type="dcterms:W3CDTF">2026-02-17T20:24:59.217Z</dcterms:modified>
</cp:coreProperties>
</file>

<file path=docProps/custom.xml><?xml version="1.0" encoding="utf-8"?>
<Properties xmlns="http://schemas.openxmlformats.org/officeDocument/2006/custom-properties" xmlns:vt="http://schemas.openxmlformats.org/officeDocument/2006/docPropsVTypes"/>
</file>