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Introducing Community Capitals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2925"/>
        <w:gridCol w:w="3315"/>
        <w:tblGridChange w:id="0">
          <w:tblGrid>
            <w:gridCol w:w="3120"/>
            <w:gridCol w:w="2925"/>
            <w:gridCol w:w="33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Learning Objectives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Deliverables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Prerequisite Knowledge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Identify and define the seven Community Capitals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Analyze how these capitals interact within a specific context.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Connect the CCF to their ongoing research project or topic, identifying “spiraling up” and “spiraling down” patterns.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Completed CCF Worksheet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Students should…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Have selected a research topic related to a local or social issue.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Understand basic research methods, including how to identify credible sources and take analytical notes.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Materials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Slides: Introducing Community Capitals Framework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Student Worksheet: Community Capitals Framework Activity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Reading: </w:t>
            </w: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Emery &amp; Flora, “Spiraling-Up: Mapping Community Transformation with CCF” (2006)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8.9746093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Activity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Time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Warm-Up Discussion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When you think about what makes a community strong or successful, what comes to mind?” 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i w:val="1"/>
                <w:rtl w:val="0"/>
              </w:rPr>
              <w:t xml:space="preserve">Elicit examples and guide toward the idea of different types of resources (capitals).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5 min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Introduction to the Capitals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Introduce the idea of community capitals (resources and characteristics that define successful communities)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Students select an example for group work (examples: campus bus system, university clubs, hobby groups)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Overview of each capital with an example, AND give students time to identify examples of that capital for their chosen community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 min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 min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 min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 min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Reading Activity: CCF in Action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 groups of 2–3, students open the Emery &amp; Flora (2006) article. Each group assigns roles: Cartographer, Evaluator, Connector. They read and annotate accordingly.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Discuss role questions as a class, clarifying confusion and synthesizing across groups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 min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 min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 min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Individual Work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Students complete Part 2 of the worksheet, linking CCF concepts to their research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 min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Whole-Class Debrief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Instructor leads short debrief, highlighting connections across groups and reinforcing how CCF can analyze systems of change.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Wrap-up material and provide suggested tasks for research project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10 min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 min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 min</w:t>
            </w:r>
          </w:p>
        </w:tc>
      </w:tr>
    </w:tbl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*In a 50-minute class, consider assigning the reading outside of class or spreading the lesson across two class periods.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oi.org/10.1080/1557533060949015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9QAKDGxMeqqxC6F9ya2zNCqYShg==">CgMxLjA4AHIhMWd0bWVZT0FsaTRiRDJFUmR3X2tLblZscUM2aUZpazBl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