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Palatino Linotype" w:hAnsi="Palatino Linotype"/>
          <w:b/>
          <w:color w:val="1F4E79"/>
          <w:sz w:val="28"/>
        </w:rPr>
        <w:t>ANÁLISIS Y MODELADO DE REQUERIMIENTOS</w:t>
        <w:br/>
        <w:t>SIG-CM</w:t>
      </w:r>
    </w:p>
    <w:p>
      <w:pPr>
        <w:spacing w:line="240" w:lineRule="auto" w:after="140"/>
        <w:jc w:val="center"/>
      </w:pPr>
      <w:r>
        <w:t>Estudiante: Nombre Apellido  |  Asignatura: IGRV0129  |  Semana 3</w:t>
      </w:r>
    </w:p>
    <w:p>
      <w:pPr>
        <w:keepNext/>
        <w:spacing w:before="100" w:after="40"/>
      </w:pPr>
      <w:r>
        <w:rPr>
          <w:rFonts w:ascii="Palatino Linotype" w:hAnsi="Palatino Linotype"/>
          <w:b/>
          <w:color w:val="1F4E79"/>
          <w:sz w:val="24"/>
        </w:rPr>
        <w:t>1. Introducción</w:t>
      </w:r>
    </w:p>
    <w:p>
      <w:pPr>
        <w:ind w:firstLine="340"/>
        <w:jc w:val="both"/>
      </w:pPr>
      <w:r>
        <w:t>La Clínica VidaSalud administra citas y antecedentes mediante planillas, correos y documentos impresos, lo que provoca pérdida de información, cruces de horarios y dificultades para revisar tratamientos. El SIG-CM será una plataforma web integrada. En este informe identifico sus actores, requerimientos y casos de uso con el objetivo de apoyar una atención segura, eficiente y trazable.</w:t>
      </w:r>
    </w:p>
    <w:p>
      <w:pPr>
        <w:keepNext/>
        <w:spacing w:before="100" w:after="40"/>
      </w:pPr>
      <w:r>
        <w:rPr>
          <w:rFonts w:ascii="Palatino Linotype" w:hAnsi="Palatino Linotype"/>
          <w:b/>
          <w:color w:val="1F4E79"/>
          <w:sz w:val="24"/>
        </w:rPr>
        <w:t>2. Actores del sistema</w:t>
      </w:r>
    </w:p>
    <w:p>
      <w:pPr>
        <w:ind w:firstLine="340"/>
        <w:jc w:val="both"/>
      </w:pPr>
      <w:r>
        <w:t>Los actores principales son Paciente, Médico, Enfermero/a, Recepcionista y Administrador. Todos inician acciones: el paciente agenda y consulta documentos; el médico registra atenciones y receta; enfermería incorpora signos vitales; recepción gestiona citas; y administración mantiene usuarios y solicita reportes. Aunque el administrador no atiende pacientes, es principal en sus propios casos de uso. El correo/SMS es secundario porque no inicia el proceso: entrega los recordatorios solicitados por el sistema.</w:t>
      </w:r>
    </w:p>
    <w:p>
      <w:pPr>
        <w:keepNext/>
        <w:spacing w:before="100" w:after="40"/>
      </w:pPr>
      <w:r>
        <w:rPr>
          <w:rFonts w:ascii="Palatino Linotype" w:hAnsi="Palatino Linotype"/>
          <w:b/>
          <w:color w:val="1F4E79"/>
          <w:sz w:val="24"/>
        </w:rPr>
        <w:t>3. Requerimientos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8617"/>
      </w:tblGrid>
      <w:tr>
        <w:tc>
          <w:tcPr>
            <w:tcW w:type="dxa" w:w="510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8"/>
              </w:rPr>
              <w:t>ID</w:t>
            </w:r>
          </w:p>
        </w:tc>
        <w:tc>
          <w:tcPr>
            <w:tcW w:type="dxa" w:w="510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8"/>
              </w:rPr>
              <w:t>Especificación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8"/>
              </w:rPr>
              <w:t>RF-01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8"/>
              </w:rPr>
              <w:t>El sistema permitirá registrar y autenticar usuarios, mostrando funciones según su perfil.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8"/>
              </w:rPr>
              <w:t>RF-02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8"/>
              </w:rPr>
              <w:t>El sistema permitirá agendar o modificar citas y validará la disponibilidad en tiempo real para impedir duplicidades.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8"/>
              </w:rPr>
              <w:t>RF-03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8"/>
              </w:rPr>
              <w:t>El profesional autorizado registrará síntomas, diagnóstico, indicaciones, exámenes y recetas; estas últimas podrán descargarse en PDF o enviarse por correo.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8"/>
              </w:rPr>
              <w:t>RNF-01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8"/>
              </w:rPr>
              <w:t>El sistema protegerá los datos conforme a la Ley 19.628, mediante control de acceso por roles y registro de accesos al historial.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8"/>
              </w:rPr>
              <w:t>RNF-02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8"/>
              </w:rPr>
              <w:t>La interfaz será adaptable y utilizable desde computadores y dispositivos móviles con navegadores vigentes.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8"/>
              </w:rPr>
              <w:t>RNF-03</w:t>
            </w:r>
          </w:p>
        </w:tc>
        <w:tc>
          <w:tcPr>
            <w:tcW w:type="dxa" w:w="86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8"/>
              </w:rPr>
              <w:t>El servicio tendrá alta disponibilidad y respaldo automático diario; la restauración será verificada periódicamente.</w:t>
            </w:r>
          </w:p>
        </w:tc>
      </w:tr>
    </w:tbl>
    <w:p>
      <w:pPr>
        <w:keepNext/>
        <w:spacing w:before="100" w:after="40"/>
      </w:pPr>
      <w:r>
        <w:rPr>
          <w:rFonts w:ascii="Palatino Linotype" w:hAnsi="Palatino Linotype"/>
          <w:b/>
          <w:color w:val="1F4E79"/>
          <w:sz w:val="24"/>
        </w:rPr>
        <w:t>4. Matriz de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6"/>
              </w:rPr>
              <w:t>Req.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6"/>
              </w:rPr>
              <w:t>Funcionalidad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6"/>
              </w:rPr>
              <w:t>Actor</w:t>
            </w:r>
          </w:p>
        </w:tc>
        <w:tc>
          <w:tcPr>
            <w:tcW w:type="dxa" w:w="255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6"/>
              </w:rPr>
              <w:t>Verificación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6"/>
              </w:rPr>
              <w:t>RF-01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Registro y autenticación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Todos los perfiles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Ingreso permitido según rol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6"/>
              </w:rPr>
              <w:t>RF-02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Agenda y disponibilidad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Paciente / Recepcionista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Cita sin cruce horario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6"/>
              </w:rPr>
              <w:t>RF-03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Atención y receta electrónica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Médico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Ficha actualizada y receta disponible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6"/>
              </w:rPr>
              <w:t>RNF-01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Seguridad e historial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Usuarios autorizados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Acceso restringido y trazable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6"/>
              </w:rPr>
              <w:t>RNF-02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Interfaz web adaptable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Todos los perfiles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Uso correcto en móvil y computador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/>
                <w:sz w:val="16"/>
              </w:rPr>
              <w:t>RNF-03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Continuidad y respaldos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Administrador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Palatino Linotype" w:hAnsi="Palatino Linotype"/>
                <w:b w:val="0"/>
                <w:sz w:val="16"/>
              </w:rPr>
              <w:t>Servicio disponible y datos recuperables</w:t>
            </w:r>
          </w:p>
        </w:tc>
      </w:tr>
    </w:tbl>
    <w:p>
      <w:pPr>
        <w:keepNext/>
        <w:spacing w:before="100" w:after="40"/>
      </w:pPr>
      <w:r>
        <w:rPr>
          <w:rFonts w:ascii="Palatino Linotype" w:hAnsi="Palatino Linotype"/>
          <w:b/>
          <w:color w:val="1F4E79"/>
          <w:sz w:val="24"/>
        </w:rPr>
        <w:t>5. Diagrama de casos de uso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48000" cy="3947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asos_uso_sig_c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94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Figura 1. Diagrama de casos de uso del SIG-CM. Fuente: elaboración propia.</w:t>
      </w:r>
    </w:p>
    <w:p>
      <w:pPr>
        <w:ind w:firstLine="340"/>
        <w:jc w:val="both"/>
      </w:pPr>
      <w:r>
        <w:t>El rectángulo delimita el sistema, los óvalos representan funciones y las líneas muestran la participación de cada actor. La relación «include» indica que agendar una consulta siempre requiere validar disponibilidad. El correo/SMS queda fuera del límite porque es un servicio externo.</w:t>
      </w:r>
    </w:p>
    <w:p>
      <w:pPr>
        <w:keepNext/>
        <w:spacing w:before="100" w:after="40"/>
      </w:pPr>
      <w:r>
        <w:rPr>
          <w:rFonts w:ascii="Palatino Linotype" w:hAnsi="Palatino Linotype"/>
          <w:b/>
          <w:color w:val="1F4E79"/>
          <w:sz w:val="24"/>
        </w:rPr>
        <w:t>6. Fundamento teórico</w:t>
      </w:r>
    </w:p>
    <w:p>
      <w:pPr>
        <w:ind w:firstLine="340"/>
        <w:jc w:val="both"/>
      </w:pPr>
      <w:r>
        <w:t>Sommerville (2011, pp. 101-115) diferencia los requerimientos funcionales, que expresan servicios del sistema, de los no funcionales, que establecen restricciones y cualidades. Esta distinción se refleja en los códigos RF y RNF. También separa requerimientos de usuario, comprensibles para el cliente, y requerimientos de sistema, más detallados. Por ello usé lenguaje claro, identificadores y criterios de verificación. Los casos de uso complementan la especificación al mostrar las interacciones desde el objetivo de cada actor.</w:t>
      </w:r>
    </w:p>
    <w:p>
      <w:pPr>
        <w:keepNext/>
        <w:spacing w:before="100" w:after="40"/>
      </w:pPr>
      <w:r>
        <w:rPr>
          <w:rFonts w:ascii="Palatino Linotype" w:hAnsi="Palatino Linotype"/>
          <w:b/>
          <w:color w:val="1F4E79"/>
          <w:sz w:val="24"/>
        </w:rPr>
        <w:t>7. Conclusión</w:t>
      </w:r>
    </w:p>
    <w:p>
      <w:pPr>
        <w:ind w:firstLine="340"/>
        <w:jc w:val="both"/>
      </w:pPr>
      <w:r>
        <w:t>Este análisis me permitió entender que modelar no es solo enumerar funciones. También exige reconocer quién inicia cada interacción, proteger información sensible y definir cómo comprobar cada necesidad. Fue importante distinguir al administrador del servicio de mensajería: ambos apoyan la operación, pero solo el primero inicia casos de uso propios. La matriz y el diagrama reducen ambigüedades y entregan una base clara para diseñar y probar el SIG-CM.</w:t>
      </w:r>
    </w:p>
    <w:p>
      <w:pPr>
        <w:keepNext/>
        <w:spacing w:before="100" w:after="40"/>
      </w:pPr>
      <w:r>
        <w:rPr>
          <w:rFonts w:ascii="Palatino Linotype" w:hAnsi="Palatino Linotype"/>
          <w:b/>
          <w:color w:val="1F4E79"/>
          <w:sz w:val="24"/>
        </w:rPr>
        <w:t>Bibliografía</w:t>
      </w:r>
    </w:p>
    <w:p>
      <w:pPr>
        <w:spacing w:line="240" w:lineRule="auto" w:after="0"/>
      </w:pPr>
      <w:r>
        <w:t>Sommerville, I. (2011). Ingeniería del software (9.ª ed.). Pearson Educación.</w:t>
        <w:br/>
        <w:t>Santo Tomás Online. (s. f.). Apunte semana 3: Especificación de requerimientos.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40"/>
    </w:pPr>
    <w:rPr>
      <w:rFonts w:ascii="Palatino Linotype" w:hAnsi="Palatino Linotyp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y modelado de requerimientos del SIG-CM</dc:title>
  <dc:subject>Actividad sumativa Semana 3 (3420 caracteres sin espacios)</dc:subject>
  <dc:creator>Nombre Apellido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