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ספרן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מנהל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ספרן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עותק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משתמש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לפלטפורמת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וגיל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לשכור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בלילה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באדום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ברצנו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יוסרו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UserInfo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סיסמתו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בפריוקט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דפים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MainWindow: 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MangerWindow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 Frame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Crate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Edit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מקושרים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CustomerWindow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 Frame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מקושרים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דפים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SearchPage :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יציאה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מהתיבה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וללחוץ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ללסיטבוקס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DisplayPage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UserCart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שבעגלה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הפתור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UserInfo: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לספירה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OpenEdit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MessagesPage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תמחק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CreatePage :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והודעה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EditPage: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העריכה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LibraryInfo :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בספריה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באדום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MangerSendMessage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