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sz w:val="36"/>
          <w:szCs w:val="36"/>
        </w:rPr>
        <w:t xml:space="preserve">The Remnant of Promise Official Study Bible</w:t>
      </w:r>
    </w:p>
    <w:p>
      <w:pPr>
        <w:spacing w:after="80"/>
        <w:jc w:val="center"/>
      </w:pPr>
      <w:r>
        <w:rPr>
          <w:rFonts w:ascii="Arial" w:cs="Arial" w:eastAsia="Arial" w:hAnsi="Arial"/>
          <w:i/>
          <w:iCs/>
          <w:sz w:val="28"/>
          <w:szCs w:val="28"/>
        </w:rPr>
        <w:t xml:space="preserve">Three-Scenario Projection Analysis</w:t>
      </w:r>
    </w:p>
    <w:p>
      <w:pPr>
        <w:spacing w:after="320"/>
        <w:jc w:val="center"/>
      </w:pPr>
      <w:r>
        <w:rPr>
          <w:rFonts w:ascii="Arial" w:cs="Arial" w:eastAsia="Arial" w:hAnsi="Arial"/>
          <w:color w:val="595959"/>
          <w:sz w:val="22"/>
          <w:szCs w:val="22"/>
        </w:rPr>
        <w:t xml:space="preserve">Prepared for business advisory review  —  As of May 23, 2026</w:t>
      </w:r>
    </w:p>
    <w:p>
      <w:pPr>
        <w:pStyle w:val="Heading1"/>
        <w:spacing w:after="200" w:before="320"/>
      </w:pPr>
      <w:r>
        <w:rPr>
          <w:rFonts w:ascii="Arial" w:cs="Arial" w:eastAsia="Arial" w:hAnsi="Arial"/>
          <w:b/>
          <w:bCs/>
          <w:sz w:val="32"/>
          <w:szCs w:val="32"/>
        </w:rPr>
        <w:t xml:space="preserve">Executive Summary</w:t>
      </w:r>
    </w:p>
    <w:p>
      <w:pPr>
        <w:spacing w:after="120"/>
        <w:jc w:val="left"/>
      </w:pPr>
      <w:r>
        <w:rPr>
          <w:rFonts w:ascii="Arial" w:cs="Arial" w:eastAsia="Arial" w:hAnsi="Arial"/>
          <w:b w:val="false"/>
          <w:bCs w:val="false"/>
          <w:i w:val="false"/>
          <w:iCs w:val="false"/>
          <w:sz w:val="22"/>
          <w:szCs w:val="22"/>
        </w:rPr>
        <w:t xml:space="preserve">This memo summarizes a three-scenario financial projection for The Remnant of Promise Official Study Bible — a restored-names study Bible app currently in mid-development at bible.remnantofpromise.org. The product is published under Remnant of Promise, a church nonprofit organization. The companion spreadsheet (ROP_Study_Bible_Projection_Model.xlsx) carries the full month-by-month model with every assumption exposed as an editable input.</w:t>
      </w:r>
    </w:p>
    <w:p>
      <w:pPr>
        <w:spacing w:after="120"/>
        <w:jc w:val="left"/>
      </w:pPr>
      <w:r>
        <w:rPr>
          <w:rFonts w:ascii="Arial" w:cs="Arial" w:eastAsia="Arial" w:hAnsi="Arial"/>
          <w:b w:val="false"/>
          <w:bCs w:val="false"/>
          <w:i w:val="false"/>
          <w:iCs w:val="false"/>
          <w:sz w:val="22"/>
          <w:szCs w:val="22"/>
        </w:rPr>
        <w:t xml:space="preserve">The product sits in mid-flight of a 14-wheel pre-launch development sweep. Five wheels are complete (W1 through W5); nine remain (W6 through W14). At the current shipping pace of roughly two wheels per week, the remaining work completes in late June or early July 2026, with the Google Play and App Store listings following shortly after. Feature parity with the core toolset of Logos Bible Software (the dominant Bible-study suite) — specifically the lexicon library and Hebrew/Greek interlinear — lands at W10 and W11, by approximately June 9, 2026.</w:t>
      </w:r>
    </w:p>
    <w:p>
      <w:pPr>
        <w:pStyle w:val="Heading2"/>
        <w:spacing w:after="160" w:before="240"/>
      </w:pPr>
      <w:r>
        <w:rPr>
          <w:rFonts w:ascii="Arial" w:cs="Arial" w:eastAsia="Arial" w:hAnsi="Arial"/>
          <w:b/>
          <w:bCs/>
          <w:sz w:val="26"/>
          <w:szCs w:val="26"/>
        </w:rPr>
        <w:t xml:space="preserve">Headline projections</w:t>
      </w:r>
    </w:p>
    <w:p>
      <w:pPr>
        <w:spacing w:after="120"/>
        <w:jc w:val="left"/>
      </w:pPr>
      <w:r>
        <w:rPr>
          <w:rFonts w:ascii="Arial" w:cs="Arial" w:eastAsia="Arial" w:hAnsi="Arial"/>
          <w:b w:val="false"/>
          <w:bCs w:val="false"/>
          <w:i w:val="false"/>
          <w:iCs w:val="false"/>
          <w:sz w:val="22"/>
          <w:szCs w:val="22"/>
        </w:rPr>
        <w:t xml:space="preserve">Starting from approximately 13 paying partners today (founder-pricing cohort plus early word-of-mouth) and ~$250/month in current acquisition spend, the model projects the following 12-month ranges. Numbers are paying partners and monthly recurring revenue (MRR) at the end of each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20"/>
        <w:gridCol w:w="2120"/>
        <w:gridCol w:w="2120"/>
      </w:tblGrid>
      <w:tr>
        <w:trPr>
          <w:tblHeader/>
        </w:trPr>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212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Conservative</w:t>
            </w:r>
          </w:p>
        </w:tc>
        <w:tc>
          <w:tcPr>
            <w:tcW w:type="dxa" w:w="212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w:t>
            </w:r>
          </w:p>
        </w:tc>
        <w:tc>
          <w:tcPr>
            <w:tcW w:type="dxa" w:w="212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Aspirational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3 months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Aug 2026</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34 partners / $167 MRR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52 partners / $251 MRR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98 partners / $476 MRR</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6 months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Nov 2026</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54 partners / $263 MRR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126 partners / $612 MRR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396 partners / $1,919 MRR</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12 months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May 2027</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82 partners / $399 MRR ($4.8k ARR)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236 partners / $1,144 MRR ($13.7k ARR)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855 partners / $4,140 MRR ($49.7k ARR)</w:t>
            </w:r>
          </w:p>
        </w:tc>
      </w:tr>
    </w:tbl>
    <w:p>
      <w:pPr>
        <w:spacing w:after="120"/>
        <w:jc w:val="left"/>
      </w:pPr>
      <w:r>
        <w:rPr>
          <w:rFonts w:ascii="Arial" w:cs="Arial" w:eastAsia="Arial" w:hAnsi="Arial"/>
          <w:b w:val="false"/>
          <w:bCs w:val="false"/>
          <w:i w:val="false"/>
          <w:iCs w:val="false"/>
          <w:sz w:val="22"/>
          <w:szCs w:val="22"/>
        </w:rPr>
        <w:t xml:space="preserve"> </w:t>
      </w:r>
    </w:p>
    <w:p>
      <w:pPr>
        <w:pStyle w:val="Heading2"/>
        <w:spacing w:after="160" w:before="240"/>
      </w:pPr>
      <w:r>
        <w:rPr>
          <w:rFonts w:ascii="Arial" w:cs="Arial" w:eastAsia="Arial" w:hAnsi="Arial"/>
          <w:b/>
          <w:bCs/>
          <w:sz w:val="26"/>
          <w:szCs w:val="26"/>
        </w:rPr>
        <w:t xml:space="preserve">What the three scenarios actually mean</w:t>
      </w:r>
    </w:p>
    <w:p>
      <w:pPr>
        <w:spacing w:after="120"/>
        <w:jc w:val="left"/>
      </w:pPr>
      <w:r>
        <w:rPr>
          <w:rFonts w:ascii="Arial" w:cs="Arial" w:eastAsia="Arial" w:hAnsi="Arial"/>
          <w:b w:val="false"/>
          <w:bCs w:val="false"/>
          <w:i w:val="false"/>
          <w:iCs w:val="false"/>
          <w:sz w:val="22"/>
          <w:szCs w:val="22"/>
        </w:rPr>
        <w:t xml:space="preserve">Each scenario differs along three axes: monthly acquisition spend, paid-channel efficiency, and post-launch organic discovery. Conservative holds spend at the current $250/month and assumes modest channel efficiency (~$50 cost per acquired paid partner). Base scales to $750/month by post-launch month 3 with efficient channels (~$33 cost per paid partner). Aspirational scales to $2,500/month by month 6 with efficient channels staying efficient at scale (~$25 per paid partner) — the path most exposed to channel-degradation risk.</w:t>
      </w:r>
    </w:p>
    <w:p>
      <w:pPr>
        <w:spacing w:after="120"/>
        <w:jc w:val="left"/>
      </w:pPr>
      <w:r>
        <w:rPr>
          <w:rFonts w:ascii="Arial" w:cs="Arial" w:eastAsia="Arial" w:hAnsi="Arial"/>
          <w:b w:val="false"/>
          <w:bCs w:val="false"/>
          <w:i w:val="false"/>
          <w:iCs w:val="false"/>
          <w:sz w:val="22"/>
          <w:szCs w:val="22"/>
        </w:rPr>
        <w:t xml:space="preserve">The model intentionally separates paid acquisition from organic acquisition. Organic partners arrive through Yoshi's existing audience (YouTube, published-book readership, word-of-mouth) and, post-launch, through App Store and Google Play discovery plus the viral share-with-watermark feature scheduled to ship in W7. Organic alone delivers 3-5 new paid partners per month pre-launch and 5-25 per month post-launch depending on the scenario.</w:t>
      </w:r>
    </w:p>
    <w:p>
      <w:r>
        <w:br w:type="page"/>
      </w:r>
    </w:p>
    <w:p>
      <w:pPr>
        <w:pStyle w:val="Heading1"/>
        <w:spacing w:after="200" w:before="320"/>
      </w:pPr>
      <w:r>
        <w:rPr>
          <w:rFonts w:ascii="Arial" w:cs="Arial" w:eastAsia="Arial" w:hAnsi="Arial"/>
          <w:b/>
          <w:bCs/>
          <w:sz w:val="32"/>
          <w:szCs w:val="32"/>
        </w:rPr>
        <w:t xml:space="preserve">Current State</w:t>
      </w:r>
    </w:p>
    <w:p>
      <w:pPr>
        <w:spacing w:after="120"/>
        <w:jc w:val="left"/>
      </w:pPr>
      <w:r>
        <w:rPr>
          <w:rFonts w:ascii="Arial" w:cs="Arial" w:eastAsia="Arial" w:hAnsi="Arial"/>
          <w:b w:val="false"/>
          <w:bCs w:val="false"/>
          <w:i w:val="false"/>
          <w:iCs w:val="false"/>
          <w:sz w:val="22"/>
          <w:szCs w:val="22"/>
        </w:rPr>
        <w:t xml:space="preserve">The product is live at bible.remnantofpromise.org and accepts paying subscribers through a Stripe-integrated checkout. Authentication is shared with the main Remnant of Promise WordPress site so the same account works across remnantofpromise.org and the Bible app subdomain. The Stripe pipeline, subscription-state tracking, and tier-based access control have all been verified end-to-end live as of recent sessions.</w:t>
      </w:r>
    </w:p>
    <w:p>
      <w:pPr>
        <w:pStyle w:val="Heading2"/>
        <w:spacing w:after="160" w:before="240"/>
      </w:pPr>
      <w:r>
        <w:rPr>
          <w:rFonts w:ascii="Arial" w:cs="Arial" w:eastAsia="Arial" w:hAnsi="Arial"/>
          <w:b/>
          <w:bCs/>
          <w:sz w:val="26"/>
          <w:szCs w:val="26"/>
        </w:rPr>
        <w:t xml:space="preserve">Live tier ladder and pricing</w:t>
      </w:r>
    </w:p>
    <w:p>
      <w:pPr>
        <w:spacing w:after="120"/>
        <w:jc w:val="left"/>
      </w:pPr>
      <w:r>
        <w:rPr>
          <w:rFonts w:ascii="Arial" w:cs="Arial" w:eastAsia="Arial" w:hAnsi="Arial"/>
          <w:b w:val="false"/>
          <w:bCs w:val="false"/>
          <w:i w:val="false"/>
          <w:iCs w:val="false"/>
          <w:sz w:val="22"/>
          <w:szCs w:val="22"/>
        </w:rPr>
        <w:t xml:space="preserve">The product currently offers a four-tier subscription ladder:</w:t>
      </w:r>
    </w:p>
    <w:p>
      <w:pPr>
        <w:pStyle w:val="ListParagraph"/>
        <w:numPr>
          <w:ilvl w:val="0"/>
          <w:numId w:val="2"/>
        </w:numPr>
        <w:spacing w:after="100"/>
      </w:pPr>
      <w:r>
        <w:rPr>
          <w:rFonts w:ascii="Arial" w:cs="Arial" w:eastAsia="Arial" w:hAnsi="Arial"/>
          <w:sz w:val="22"/>
          <w:szCs w:val="22"/>
        </w:rPr>
        <w:t xml:space="preserve">Free tier — restored sacred names, the full canon (66 books), the full apocrypha and pseudepigrapha library (1 Enoch, Jubilees, Jasher, Charles Vol 1 and 2, Josephus, Sonnini), Strong's reference lookup on every word, basic highlighting, single global notepad, bookmarks, search across canon and extras, reading-position persistence.</w:t>
      </w:r>
    </w:p>
    <w:p>
      <w:pPr>
        <w:pStyle w:val="ListParagraph"/>
        <w:numPr>
          <w:ilvl w:val="0"/>
          <w:numId w:val="2"/>
        </w:numPr>
        <w:spacing w:after="100"/>
      </w:pPr>
      <w:r>
        <w:rPr>
          <w:rFonts w:ascii="Arial" w:cs="Arial" w:eastAsia="Arial" w:hAnsi="Arial"/>
          <w:sz w:val="22"/>
          <w:szCs w:val="22"/>
        </w:rPr>
        <w:t xml:space="preserve">Notes tier ($1.99/month) — adds 12-color highlighting palette, three mark styles (fill / underline / outline), scoped notes per book/chapter/verse, free-form color-meaning dictionary.</w:t>
      </w:r>
    </w:p>
    <w:p>
      <w:pPr>
        <w:pStyle w:val="ListParagraph"/>
        <w:numPr>
          <w:ilvl w:val="0"/>
          <w:numId w:val="2"/>
        </w:numPr>
        <w:spacing w:after="100"/>
      </w:pPr>
      <w:r>
        <w:rPr>
          <w:rFonts w:ascii="Arial" w:cs="Arial" w:eastAsia="Arial" w:hAnsi="Arial"/>
          <w:sz w:val="22"/>
          <w:szCs w:val="22"/>
        </w:rPr>
        <w:t xml:space="preserve">Library tier ($4.99/month) — adds the full short-form theological commentary on every chapter (in progress; Matthew complete), the complete cross-reference apparatus, the public-domain reference library (Brown-Driver-Briggs Hebrew lexicon, Thayer's Greek lexicon, Vine's Expository, ATS / Easton's / Smith's Bible Dictionaries, Nave's Topical Bible, Treasury of Scripture Knowledge), Hebrew/Greek interlinear, nikkudot-strip feature, verse-highlight recommendations engine.</w:t>
      </w:r>
    </w:p>
    <w:p>
      <w:pPr>
        <w:pStyle w:val="ListParagraph"/>
        <w:numPr>
          <w:ilvl w:val="0"/>
          <w:numId w:val="2"/>
        </w:numPr>
        <w:spacing w:after="100"/>
      </w:pPr>
      <w:r>
        <w:rPr>
          <w:rFonts w:ascii="Arial" w:cs="Arial" w:eastAsia="Arial" w:hAnsi="Arial"/>
          <w:sz w:val="22"/>
          <w:szCs w:val="22"/>
        </w:rPr>
        <w:t xml:space="preserve">Power tier ($9.99/month) — adds Deeper Dive book-length commentary on every chapter, Yoshi's pre-loaded teaching keys, chronological canon-order toggle.</w:t>
      </w:r>
    </w:p>
    <w:p>
      <w:pPr>
        <w:pStyle w:val="Heading2"/>
        <w:spacing w:after="160" w:before="240"/>
      </w:pPr>
      <w:r>
        <w:rPr>
          <w:rFonts w:ascii="Arial" w:cs="Arial" w:eastAsia="Arial" w:hAnsi="Arial"/>
          <w:b/>
          <w:bCs/>
          <w:sz w:val="26"/>
          <w:szCs w:val="26"/>
        </w:rPr>
        <w:t xml:space="preserve">Snapshot today</w:t>
      </w:r>
    </w:p>
    <w:p>
      <w:pPr>
        <w:spacing w:after="120"/>
        <w:jc w:val="left"/>
      </w:pPr>
      <w:r>
        <w:rPr>
          <w:rFonts w:ascii="Arial" w:cs="Arial" w:eastAsia="Arial" w:hAnsi="Arial"/>
          <w:b w:val="false"/>
          <w:bCs w:val="false"/>
          <w:i w:val="false"/>
          <w:iCs w:val="false"/>
          <w:sz w:val="22"/>
          <w:szCs w:val="22"/>
        </w:rPr>
        <w:t xml:space="preserve">As of late May 2026, the product has approximately 13 paying partners across the four paid tiers, the majority on the founder-pricing variant (which carries a 50%-off-forever discount locked in for the first 100 partners). The blended monthly revenue per partner is therefore lower than the sticker prices suggest — the model uses $5/month as the blended starting ARPU, which produces a starting MRR of approximately $65/month and starting ARR of $780/year. The exact figure can be confirmed directly from Stripe.</w:t>
      </w:r>
    </w:p>
    <w:p>
      <w:pPr>
        <w:spacing w:after="120"/>
        <w:jc w:val="left"/>
      </w:pPr>
      <w:r>
        <w:rPr>
          <w:rFonts w:ascii="Arial" w:cs="Arial" w:eastAsia="Arial" w:hAnsi="Arial"/>
          <w:b w:val="false"/>
          <w:bCs w:val="false"/>
          <w:i w:val="false"/>
          <w:iCs w:val="false"/>
          <w:sz w:val="22"/>
          <w:szCs w:val="22"/>
        </w:rPr>
        <w:t xml:space="preserve">Current monthly acquisition spend is approximately $250 across all channels (light paid layer on top of organic from the existing audience). Production-side development is on a 2-wheels-per-week shipping pace; the remaining nine wheels of the pre-launch sweep complete in late June or early July 2026.</w:t>
      </w:r>
    </w:p>
    <w:p>
      <w:r>
        <w:br w:type="page"/>
      </w:r>
    </w:p>
    <w:p>
      <w:pPr>
        <w:pStyle w:val="Heading1"/>
        <w:spacing w:after="200" w:before="320"/>
      </w:pPr>
      <w:r>
        <w:rPr>
          <w:rFonts w:ascii="Arial" w:cs="Arial" w:eastAsia="Arial" w:hAnsi="Arial"/>
          <w:b/>
          <w:bCs/>
          <w:sz w:val="32"/>
          <w:szCs w:val="32"/>
        </w:rPr>
        <w:t xml:space="preserve">Market Position — How This Product Compares to Logos</w:t>
      </w:r>
    </w:p>
    <w:p>
      <w:pPr>
        <w:spacing w:after="120"/>
        <w:jc w:val="left"/>
      </w:pPr>
      <w:r>
        <w:rPr>
          <w:rFonts w:ascii="Arial" w:cs="Arial" w:eastAsia="Arial" w:hAnsi="Arial"/>
          <w:b w:val="false"/>
          <w:bCs w:val="false"/>
          <w:i w:val="false"/>
          <w:iCs w:val="false"/>
          <w:sz w:val="22"/>
          <w:szCs w:val="22"/>
        </w:rPr>
        <w:t xml:space="preserve">Logos Bible Software, owned by Faithlife Corporation (privately held, Bellingham, Washington), is the dominant digital Bible-study suite. Faithlife's annual revenue is estimated at approximately $26.2 million; the Logos product has over 750,000 active monthly users according to its Google Play Store listing. In late 2024, Faithlife restructured Logos around a subscription model with three tiers.</w:t>
      </w:r>
    </w:p>
    <w:p>
      <w:pPr>
        <w:pStyle w:val="Heading2"/>
        <w:spacing w:after="160" w:before="240"/>
      </w:pPr>
      <w:r>
        <w:rPr>
          <w:rFonts w:ascii="Arial" w:cs="Arial" w:eastAsia="Arial" w:hAnsi="Arial"/>
          <w:b/>
          <w:bCs/>
          <w:sz w:val="26"/>
          <w:szCs w:val="26"/>
        </w:rPr>
        <w:t xml:space="preserve">Pricing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rPr>
          <w:tblHeader/>
        </w:trPr>
        <w:tc>
          <w:tcPr>
            <w:tcW w:type="dxa" w:w="2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 role</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ROP product</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Logos equivalent</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Monthly $</w:t>
            </w:r>
          </w:p>
        </w:tc>
        <w:tc>
          <w:tcPr>
            <w:tcW w:type="dxa" w:w="19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ROP discount vs Logos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Entry / free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Free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equivalent)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 vs n/a</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Logos has no free tier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Personal study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Notes $1.99</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direct comp)</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$1.99 vs n/a</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Logos starts at $9.99</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Serious study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Library $4.99</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Premium $9.99</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$4.99 vs $9.99</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 under Logos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Sermon / pastor prep</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Library $4.99</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 $14.99</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$4.99 vs $14.99</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67% under Logos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Academic / power-user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Power $9.99</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Max $19.99</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$9.99 vs $19.99</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50% under Logos</w:t>
            </w:r>
          </w:p>
        </w:tc>
      </w:tr>
    </w:tbl>
    <w:p>
      <w:pPr>
        <w:spacing w:after="120"/>
        <w:jc w:val="left"/>
      </w:pPr>
      <w:r>
        <w:rPr>
          <w:rFonts w:ascii="Arial" w:cs="Arial" w:eastAsia="Arial" w:hAnsi="Arial"/>
          <w:b w:val="false"/>
          <w:bCs w:val="false"/>
          <w:i w:val="false"/>
          <w:iCs w:val="false"/>
          <w:sz w:val="22"/>
          <w:szCs w:val="22"/>
        </w:rPr>
        <w:t xml:space="preserve"> </w:t>
      </w:r>
    </w:p>
    <w:p>
      <w:pPr>
        <w:spacing w:after="120"/>
        <w:jc w:val="left"/>
      </w:pPr>
      <w:r>
        <w:rPr>
          <w:rFonts w:ascii="Arial" w:cs="Arial" w:eastAsia="Arial" w:hAnsi="Arial"/>
          <w:b w:val="false"/>
          <w:bCs w:val="false"/>
          <w:i w:val="false"/>
          <w:iCs w:val="false"/>
          <w:sz w:val="22"/>
          <w:szCs w:val="22"/>
        </w:rPr>
        <w:t xml:space="preserve">Sticker-price positioning is roughly half of Logos across every tier where the products compete directly. The Free tier is a category Logos does not offer at all — and importantly, the ROP Free tier includes the full apocrypha and pseudepigrapha library (Logos sells these as separate paid add-ons).</w:t>
      </w:r>
    </w:p>
    <w:p>
      <w:pPr>
        <w:pStyle w:val="Heading2"/>
        <w:spacing w:after="160" w:before="240"/>
      </w:pPr>
      <w:r>
        <w:rPr>
          <w:rFonts w:ascii="Arial" w:cs="Arial" w:eastAsia="Arial" w:hAnsi="Arial"/>
          <w:b/>
          <w:bCs/>
          <w:sz w:val="26"/>
          <w:szCs w:val="26"/>
        </w:rPr>
        <w:t xml:space="preserve">Feature-parity scorecard</w:t>
      </w:r>
    </w:p>
    <w:p>
      <w:pPr>
        <w:spacing w:after="120"/>
        <w:jc w:val="left"/>
      </w:pPr>
      <w:r>
        <w:rPr>
          <w:rFonts w:ascii="Arial" w:cs="Arial" w:eastAsia="Arial" w:hAnsi="Arial"/>
          <w:b w:val="false"/>
          <w:bCs w:val="false"/>
          <w:i w:val="false"/>
          <w:iCs w:val="false"/>
          <w:sz w:val="22"/>
          <w:szCs w:val="22"/>
        </w:rPr>
        <w:t xml:space="preserve">Reaching feature parity with Logos's core toolset depends on two specific upcoming wheels: W10 ships the eight-volume public-domain reference library (Brown-Driver-Briggs, Thayer's, Vine's, ATS, Easton's, Smith's, Nave's, Treasury) and W11 ships the Hebrew/Greek interlinear. These map directly to what Logos sells as part of its Pro and Max tiers. At the current 2-wheels-per-week pace, this milestone lands approximately June 9, 2026.</w:t>
      </w:r>
    </w:p>
    <w:p>
      <w:pPr>
        <w:spacing w:after="120"/>
        <w:jc w:val="left"/>
      </w:pPr>
      <w:r>
        <w:rPr>
          <w:rFonts w:ascii="Arial" w:cs="Arial" w:eastAsia="Arial" w:hAnsi="Arial"/>
          <w:b w:val="false"/>
          <w:bCs w:val="false"/>
          <w:i w:val="false"/>
          <w:iCs w:val="false"/>
          <w:sz w:val="22"/>
          <w:szCs w:val="22"/>
        </w:rPr>
        <w:t xml:space="preserve">After feature parity hits, the ROP product has several capabilities Logos does not match at any price point:</w:t>
      </w:r>
    </w:p>
    <w:p>
      <w:pPr>
        <w:pStyle w:val="ListParagraph"/>
        <w:numPr>
          <w:ilvl w:val="0"/>
          <w:numId w:val="2"/>
        </w:numPr>
        <w:spacing w:after="100"/>
      </w:pPr>
      <w:r>
        <w:rPr>
          <w:rFonts w:ascii="Arial" w:cs="Arial" w:eastAsia="Arial" w:hAnsi="Arial"/>
          <w:sz w:val="22"/>
          <w:szCs w:val="22"/>
        </w:rPr>
        <w:t xml:space="preserve">Restored sacred names with parenthetical English equivalents — third-commandment fidelity Logos does not offer.</w:t>
      </w:r>
    </w:p>
    <w:p>
      <w:pPr>
        <w:pStyle w:val="ListParagraph"/>
        <w:numPr>
          <w:ilvl w:val="0"/>
          <w:numId w:val="2"/>
        </w:numPr>
        <w:spacing w:after="100"/>
      </w:pPr>
      <w:r>
        <w:rPr>
          <w:rFonts w:ascii="Arial" w:cs="Arial" w:eastAsia="Arial" w:hAnsi="Arial"/>
          <w:sz w:val="22"/>
          <w:szCs w:val="22"/>
        </w:rPr>
        <w:t xml:space="preserve">Full apocrypha and pseudepigrapha at the Free tier — Logos charges separately for these libraries.</w:t>
      </w:r>
    </w:p>
    <w:p>
      <w:pPr>
        <w:pStyle w:val="ListParagraph"/>
        <w:numPr>
          <w:ilvl w:val="0"/>
          <w:numId w:val="2"/>
        </w:numPr>
        <w:spacing w:after="100"/>
      </w:pPr>
      <w:r>
        <w:rPr>
          <w:rFonts w:ascii="Arial" w:cs="Arial" w:eastAsia="Arial" w:hAnsi="Arial"/>
          <w:sz w:val="22"/>
          <w:szCs w:val="22"/>
        </w:rPr>
        <w:t xml:space="preserve">Original framework theological commentary in the author's voice — not third-party reprints. The commentary reads the canon through a framework that institutional Christianity, Judaism, Hebrew Roots, and Islam all approach differently.</w:t>
      </w:r>
    </w:p>
    <w:p>
      <w:pPr>
        <w:pStyle w:val="ListParagraph"/>
        <w:numPr>
          <w:ilvl w:val="0"/>
          <w:numId w:val="2"/>
        </w:numPr>
        <w:spacing w:after="100"/>
      </w:pPr>
      <w:r>
        <w:rPr>
          <w:rFonts w:ascii="Arial" w:cs="Arial" w:eastAsia="Arial" w:hAnsi="Arial"/>
          <w:sz w:val="22"/>
          <w:szCs w:val="22"/>
        </w:rPr>
        <w:t xml:space="preserve">100% human-curated cross-references and recommendations — no AI inference at runtime, no AI-generated similarity. The data IS the framework, made traceable.</w:t>
      </w:r>
    </w:p>
    <w:p>
      <w:pPr>
        <w:pStyle w:val="ListParagraph"/>
        <w:numPr>
          <w:ilvl w:val="0"/>
          <w:numId w:val="2"/>
        </w:numPr>
        <w:spacing w:after="100"/>
      </w:pPr>
      <w:r>
        <w:rPr>
          <w:rFonts w:ascii="Arial" w:cs="Arial" w:eastAsia="Arial" w:hAnsi="Arial"/>
          <w:sz w:val="22"/>
          <w:szCs w:val="22"/>
        </w:rPr>
        <w:t xml:space="preserve">Nikkudot-strip feature surfacing the Masoretic interpretive layer that no other major Bible app exposes.</w:t>
      </w:r>
    </w:p>
    <w:p>
      <w:pPr>
        <w:pStyle w:val="ListParagraph"/>
        <w:numPr>
          <w:ilvl w:val="0"/>
          <w:numId w:val="2"/>
        </w:numPr>
        <w:spacing w:after="100"/>
      </w:pPr>
      <w:r>
        <w:rPr>
          <w:rFonts w:ascii="Arial" w:cs="Arial" w:eastAsia="Arial" w:hAnsi="Arial"/>
          <w:sz w:val="22"/>
          <w:szCs w:val="22"/>
        </w:rPr>
        <w:t xml:space="preserve">Half the price across every tier comparison.</w:t>
      </w:r>
    </w:p>
    <w:p>
      <w:pPr>
        <w:spacing w:after="120"/>
        <w:jc w:val="left"/>
      </w:pPr>
      <w:r>
        <w:rPr>
          <w:rFonts w:ascii="Arial" w:cs="Arial" w:eastAsia="Arial" w:hAnsi="Arial"/>
          <w:b w:val="false"/>
          <w:bCs w:val="false"/>
          <w:i w:val="false"/>
          <w:iCs w:val="false"/>
          <w:sz w:val="22"/>
          <w:szCs w:val="22"/>
        </w:rPr>
        <w:t xml:space="preserve">Gaps Logos still wins on after feature parity, all of which are post-launch roadmap items:</w:t>
      </w:r>
    </w:p>
    <w:p>
      <w:pPr>
        <w:pStyle w:val="ListParagraph"/>
        <w:numPr>
          <w:ilvl w:val="0"/>
          <w:numId w:val="2"/>
        </w:numPr>
        <w:spacing w:after="100"/>
      </w:pPr>
      <w:r>
        <w:rPr>
          <w:rFonts w:ascii="Arial" w:cs="Arial" w:eastAsia="Arial" w:hAnsi="Arial"/>
          <w:sz w:val="22"/>
          <w:szCs w:val="22"/>
        </w:rPr>
        <w:t xml:space="preserve">Atlases and maps — planned post-launch, not in the current 14-wheel sweep.</w:t>
      </w:r>
    </w:p>
    <w:p>
      <w:pPr>
        <w:pStyle w:val="ListParagraph"/>
        <w:numPr>
          <w:ilvl w:val="0"/>
          <w:numId w:val="2"/>
        </w:numPr>
        <w:spacing w:after="100"/>
      </w:pPr>
      <w:r>
        <w:rPr>
          <w:rFonts w:ascii="Arial" w:cs="Arial" w:eastAsia="Arial" w:hAnsi="Arial"/>
          <w:sz w:val="22"/>
          <w:szCs w:val="22"/>
        </w:rPr>
        <w:t xml:space="preserve">Sermon-prep workflow tools (outline templates, slide export) — not in the roadmap; targets a market segment ROP is not pursuing.</w:t>
      </w:r>
    </w:p>
    <w:p>
      <w:pPr>
        <w:pStyle w:val="ListParagraph"/>
        <w:numPr>
          <w:ilvl w:val="0"/>
          <w:numId w:val="2"/>
        </w:numPr>
        <w:spacing w:after="100"/>
      </w:pPr>
      <w:r>
        <w:rPr>
          <w:rFonts w:ascii="Arial" w:cs="Arial" w:eastAsia="Arial" w:hAnsi="Arial"/>
          <w:sz w:val="22"/>
          <w:szCs w:val="22"/>
        </w:rPr>
        <w:t xml:space="preserve">Commentary library breadth — Logos resells thousands of commentaries; ROP ships original framework commentary, growing chapter-by-chapter.</w:t>
      </w:r>
    </w:p>
    <w:p>
      <w:pPr>
        <w:pStyle w:val="ListParagraph"/>
        <w:numPr>
          <w:ilvl w:val="0"/>
          <w:numId w:val="2"/>
        </w:numPr>
        <w:spacing w:after="100"/>
      </w:pPr>
      <w:r>
        <w:rPr>
          <w:rFonts w:ascii="Arial" w:cs="Arial" w:eastAsia="Arial" w:hAnsi="Arial"/>
          <w:sz w:val="22"/>
          <w:szCs w:val="22"/>
        </w:rPr>
        <w:t xml:space="preserve">Brand-trust gap — Logos has 750k+ active monthly users; ROP starts from low double digits. The market is enormous, but the moat is the framework reading, not the feature checklist.</w:t>
      </w:r>
    </w:p>
    <w:p>
      <w:r>
        <w:br w:type="page"/>
      </w:r>
    </w:p>
    <w:p>
      <w:pPr>
        <w:pStyle w:val="Heading1"/>
        <w:spacing w:after="200" w:before="320"/>
      </w:pPr>
      <w:r>
        <w:rPr>
          <w:rFonts w:ascii="Arial" w:cs="Arial" w:eastAsia="Arial" w:hAnsi="Arial"/>
          <w:b/>
          <w:bCs/>
          <w:sz w:val="32"/>
          <w:szCs w:val="32"/>
        </w:rPr>
        <w:t xml:space="preserve">Projections — Three Scenarios at Three Horizons</w:t>
      </w:r>
    </w:p>
    <w:p>
      <w:pPr>
        <w:spacing w:after="120"/>
        <w:jc w:val="left"/>
      </w:pPr>
      <w:r>
        <w:rPr>
          <w:rFonts w:ascii="Arial" w:cs="Arial" w:eastAsia="Arial" w:hAnsi="Arial"/>
          <w:b w:val="false"/>
          <w:bCs w:val="false"/>
          <w:i w:val="false"/>
          <w:iCs w:val="false"/>
          <w:sz w:val="22"/>
          <w:szCs w:val="22"/>
        </w:rPr>
        <w:t xml:space="preserve">The model runs month-by-month for 12 months from today (June 2026 through May 2027). Each scenario combines a paid-acquisition trajectory with an organic-growth trajectory and applies a fixed 8% monthly churn rate against the existing paying-partner base. Full month-by-month numbers are in the companion spreadsheet's Projection tab; the summary table on page one captures the 3-month, 6-month, and 12-month checkpoints.</w:t>
      </w:r>
    </w:p>
    <w:p>
      <w:pPr>
        <w:pStyle w:val="Heading2"/>
        <w:spacing w:after="160" w:before="240"/>
      </w:pPr>
      <w:r>
        <w:rPr>
          <w:rFonts w:ascii="Arial" w:cs="Arial" w:eastAsia="Arial" w:hAnsi="Arial"/>
          <w:b/>
          <w:bCs/>
          <w:sz w:val="26"/>
          <w:szCs w:val="26"/>
        </w:rPr>
        <w:t xml:space="preserve">Conservative scenario</w:t>
      </w:r>
    </w:p>
    <w:p>
      <w:pPr>
        <w:spacing w:after="120"/>
        <w:jc w:val="left"/>
      </w:pPr>
      <w:r>
        <w:rPr>
          <w:rFonts w:ascii="Arial" w:cs="Arial" w:eastAsia="Arial" w:hAnsi="Arial"/>
          <w:b w:val="false"/>
          <w:bCs w:val="false"/>
          <w:i w:val="false"/>
          <w:iCs w:val="false"/>
          <w:sz w:val="22"/>
          <w:szCs w:val="22"/>
        </w:rPr>
        <w:t xml:space="preserve">Acquisition spend holds at $250/month throughout. Paid-channel efficiency is ~2 new paid partners per $100 spend (~$50 CAC). Post-launch organic discovery is modest — 5 new paid partners per month from App Store / Play Store / share-with-watermark. The 12-month landing is approximately 82 paying partners and $4.8k ARR — meaningful validation of the model, but well below a sustainable business at current cost structure.</w:t>
      </w:r>
    </w:p>
    <w:p>
      <w:pPr>
        <w:pStyle w:val="Heading2"/>
        <w:spacing w:after="160" w:before="240"/>
      </w:pPr>
      <w:r>
        <w:rPr>
          <w:rFonts w:ascii="Arial" w:cs="Arial" w:eastAsia="Arial" w:hAnsi="Arial"/>
          <w:b/>
          <w:bCs/>
          <w:sz w:val="26"/>
          <w:szCs w:val="26"/>
        </w:rPr>
        <w:t xml:space="preserve">Base scenario</w:t>
      </w:r>
    </w:p>
    <w:p>
      <w:pPr>
        <w:spacing w:after="120"/>
        <w:jc w:val="left"/>
      </w:pPr>
      <w:r>
        <w:rPr>
          <w:rFonts w:ascii="Arial" w:cs="Arial" w:eastAsia="Arial" w:hAnsi="Arial"/>
          <w:b w:val="false"/>
          <w:bCs w:val="false"/>
          <w:i w:val="false"/>
          <w:iCs w:val="false"/>
          <w:sz w:val="22"/>
          <w:szCs w:val="22"/>
        </w:rPr>
        <w:t xml:space="preserve">Acquisition spend ramps to $750/month by post-launch month 3 and holds. Paid-channel efficiency is ~3 new paid partners per $100 spend (~$33 CAC). Post-launch organic discovery is 10 new paid partners per month. The 12-month landing is approximately 236 paying partners and $13.7k ARR — covers basic infrastructure costs and demonstrates real product-market fit signal.</w:t>
      </w:r>
    </w:p>
    <w:p>
      <w:pPr>
        <w:pStyle w:val="Heading2"/>
        <w:spacing w:after="160" w:before="240"/>
      </w:pPr>
      <w:r>
        <w:rPr>
          <w:rFonts w:ascii="Arial" w:cs="Arial" w:eastAsia="Arial" w:hAnsi="Arial"/>
          <w:b/>
          <w:bCs/>
          <w:sz w:val="26"/>
          <w:szCs w:val="26"/>
        </w:rPr>
        <w:t xml:space="preserve">Aspirational scenario</w:t>
      </w:r>
    </w:p>
    <w:p>
      <w:pPr>
        <w:spacing w:after="120"/>
        <w:jc w:val="left"/>
      </w:pPr>
      <w:r>
        <w:rPr>
          <w:rFonts w:ascii="Arial" w:cs="Arial" w:eastAsia="Arial" w:hAnsi="Arial"/>
          <w:b w:val="false"/>
          <w:bCs w:val="false"/>
          <w:i w:val="false"/>
          <w:iCs w:val="false"/>
          <w:sz w:val="22"/>
          <w:szCs w:val="22"/>
        </w:rPr>
        <w:t xml:space="preserve">Acquisition spend ramps to $2,500/month by post-launch month 6. Paid-channel efficiency holds at ~4 new paid partners per $100 spend (~$25 CAC) — the most fragile assumption in the model, since paid channels commonly degrade in efficiency as spend scales. Post-launch organic discovery is 25 new paid partners per month, reflecting strong App Store visibility and viral share-with-watermark traction. The 12-month landing is approximately 855 paying partners and $49.7k ARR.</w:t>
      </w:r>
    </w:p>
    <w:p>
      <w:pPr>
        <w:spacing w:after="120"/>
        <w:jc w:val="left"/>
      </w:pPr>
      <w:r>
        <w:rPr>
          <w:rFonts w:ascii="Arial" w:cs="Arial" w:eastAsia="Arial" w:hAnsi="Arial"/>
          <w:b w:val="false"/>
          <w:bCs w:val="false"/>
          <w:i w:val="false"/>
          <w:iCs w:val="false"/>
          <w:sz w:val="22"/>
          <w:szCs w:val="22"/>
        </w:rPr>
        <w:t xml:space="preserve">For comparison: the 12-month aspirational projection of 855 paying partners is less than 0.2% of Logos's estimated 750k active monthly users. The total addressable market is enormous; the question is which slice of that market specifically wants the ROP reading — restored sacred names, full apocrypha/pseudepigrapha, the framework that names institutional Christianity's inherited interpretive errors plainly, and half Logos's price.</w:t>
      </w:r>
    </w:p>
    <w:p>
      <w:r>
        <w:br w:type="page"/>
      </w:r>
    </w:p>
    <w:p>
      <w:pPr>
        <w:pStyle w:val="Heading1"/>
        <w:spacing w:after="200" w:before="320"/>
      </w:pPr>
      <w:r>
        <w:rPr>
          <w:rFonts w:ascii="Arial" w:cs="Arial" w:eastAsia="Arial" w:hAnsi="Arial"/>
          <w:b/>
          <w:bCs/>
          <w:sz w:val="32"/>
          <w:szCs w:val="32"/>
        </w:rPr>
        <w:t xml:space="preserve">The Feature-Parity Milestone — “Logos Killer” Defined</w:t>
      </w:r>
    </w:p>
    <w:p>
      <w:pPr>
        <w:spacing w:after="120"/>
        <w:jc w:val="left"/>
      </w:pPr>
      <w:r>
        <w:rPr>
          <w:rFonts w:ascii="Arial" w:cs="Arial" w:eastAsia="Arial" w:hAnsi="Arial"/>
          <w:b w:val="false"/>
          <w:bCs w:val="false"/>
          <w:i w:val="false"/>
          <w:iCs w:val="false"/>
          <w:sz w:val="22"/>
          <w:szCs w:val="22"/>
        </w:rPr>
        <w:t xml:space="preserve">The phrase “Logos killer” in this analysis means the moment at which the ROP product covers Logos's core toolset — Strong's lookups, Hebrew and Greek lexicons, interlinear, theological commentary, original-language work — at a price point partners can actually afford. It does not mean the moment ROP overtakes Logos in subscriber count. That is a much longer-term question and would require sustained marketing investment far beyond the current model's scope.</w:t>
      </w:r>
    </w:p>
    <w:p>
      <w:pPr>
        <w:pStyle w:val="Heading2"/>
        <w:spacing w:after="160" w:before="240"/>
      </w:pPr>
      <w:r>
        <w:rPr>
          <w:rFonts w:ascii="Arial" w:cs="Arial" w:eastAsia="Arial" w:hAnsi="Arial"/>
          <w:b/>
          <w:bCs/>
          <w:sz w:val="26"/>
          <w:szCs w:val="26"/>
        </w:rPr>
        <w:t xml:space="preserve">Date of feature parity</w:t>
      </w:r>
    </w:p>
    <w:p>
      <w:pPr>
        <w:spacing w:after="120"/>
        <w:jc w:val="left"/>
      </w:pPr>
      <w:r>
        <w:rPr>
          <w:rFonts w:ascii="Arial" w:cs="Arial" w:eastAsia="Arial" w:hAnsi="Arial"/>
          <w:b w:val="false"/>
          <w:bCs w:val="false"/>
          <w:i w:val="false"/>
          <w:iCs w:val="false"/>
          <w:sz w:val="22"/>
          <w:szCs w:val="22"/>
        </w:rPr>
        <w:t xml:space="preserve">At the current 2-wheels-per-week pace, feature parity on lexicons (W10) and Hebrew/Greek interlinear (W11) ships by approximately </w:t>
      </w:r>
      <w:r>
        <w:rPr>
          <w:rFonts w:ascii="Arial" w:cs="Arial" w:eastAsia="Arial" w:hAnsi="Arial"/>
          <w:b/>
          <w:bCs/>
          <w:i w:val="false"/>
          <w:iCs w:val="false"/>
          <w:sz w:val="22"/>
          <w:szCs w:val="22"/>
        </w:rPr>
        <w:t xml:space="preserve">June 9, 2026</w:t>
      </w:r>
      <w:r>
        <w:rPr>
          <w:rFonts w:ascii="Arial" w:cs="Arial" w:eastAsia="Arial" w:hAnsi="Arial"/>
          <w:b w:val="false"/>
          <w:bCs w:val="false"/>
          <w:i w:val="false"/>
          <w:iCs w:val="false"/>
          <w:sz w:val="22"/>
          <w:szCs w:val="22"/>
        </w:rPr>
        <w:t xml:space="preserve">. At that point, the ROP $4.99 Library tier matches the toolset Logos sells in its $14.99 Pro tier — same lexicons, same interlinear-grade word-level original-language alignment, same theological commentary (with the original-framework reading as the differentiator).</w:t>
      </w:r>
    </w:p>
    <w:p>
      <w:pPr>
        <w:spacing w:after="120"/>
        <w:jc w:val="left"/>
      </w:pPr>
      <w:r>
        <w:rPr>
          <w:rFonts w:ascii="Arial" w:cs="Arial" w:eastAsia="Arial" w:hAnsi="Arial"/>
          <w:b w:val="false"/>
          <w:bCs w:val="false"/>
          <w:i w:val="false"/>
          <w:iCs w:val="false"/>
          <w:sz w:val="22"/>
          <w:szCs w:val="22"/>
        </w:rPr>
        <w:t xml:space="preserve">The full pre-launch sweep — all 14 wheels plus the App Store and Google Play wraps — completes by approximately July 7, 2026. From that point, the marketing story shifts. Pre-launch, the product is positioned as 'a restored-names study Bible.' Post-launch and post-parity, the positioning becomes 'a restored-names study Bible that does everything Logos's Pro tier does — for $5 instead of $15 — and ships features Logos cannot match at any price.'</w:t>
      </w:r>
    </w:p>
    <w:p>
      <w:pPr>
        <w:pStyle w:val="Heading2"/>
        <w:spacing w:after="160" w:before="240"/>
      </w:pPr>
      <w:r>
        <w:rPr>
          <w:rFonts w:ascii="Arial" w:cs="Arial" w:eastAsia="Arial" w:hAnsi="Arial"/>
          <w:b/>
          <w:bCs/>
          <w:sz w:val="26"/>
          <w:szCs w:val="26"/>
        </w:rPr>
        <w:t xml:space="preserve">What feature parity unlocks for the projection model</w:t>
      </w:r>
    </w:p>
    <w:p>
      <w:pPr>
        <w:spacing w:after="120"/>
        <w:jc w:val="left"/>
      </w:pPr>
      <w:r>
        <w:rPr>
          <w:rFonts w:ascii="Arial" w:cs="Arial" w:eastAsia="Arial" w:hAnsi="Arial"/>
          <w:b w:val="false"/>
          <w:bCs w:val="false"/>
          <w:i w:val="false"/>
          <w:iCs w:val="false"/>
          <w:sz w:val="22"/>
          <w:szCs w:val="22"/>
        </w:rPr>
        <w:t xml:space="preserve">Feature parity is the moment ad copy, App Store listing copy, and partner-facing comparisons can defensibly claim feature equivalence with the $14.99 Logos Pro tier. The two-thirds price discount becomes the headline number rather than a footnote. The aspirational scenario's paid-channel efficiency assumption (4 new paid partners per $100 spend) depends materially on this story landing cleanly — if the product cannot credibly claim Logos-equivalence, paid channels return closer to the Conservative scenario's $50 CAC.</w:t>
      </w:r>
    </w:p>
    <w:p>
      <w:pPr>
        <w:pStyle w:val="Heading2"/>
        <w:spacing w:after="160" w:before="240"/>
      </w:pPr>
      <w:r>
        <w:rPr>
          <w:rFonts w:ascii="Arial" w:cs="Arial" w:eastAsia="Arial" w:hAnsi="Arial"/>
          <w:b/>
          <w:bCs/>
          <w:sz w:val="26"/>
          <w:szCs w:val="26"/>
        </w:rPr>
        <w:t xml:space="preserve">Where the product exceeds Logos at parity</w:t>
      </w:r>
    </w:p>
    <w:p>
      <w:pPr>
        <w:spacing w:after="120"/>
        <w:jc w:val="left"/>
      </w:pPr>
      <w:r>
        <w:rPr>
          <w:rFonts w:ascii="Arial" w:cs="Arial" w:eastAsia="Arial" w:hAnsi="Arial"/>
          <w:b w:val="false"/>
          <w:bCs w:val="false"/>
          <w:i w:val="false"/>
          <w:iCs w:val="false"/>
          <w:sz w:val="22"/>
          <w:szCs w:val="22"/>
        </w:rPr>
        <w:t xml:space="preserve">At W11 ship date, the product has feature parity on the toolset partners commonly compare. It also has several differentiators Logos cannot match — restored sacred names with parentheticals, full apocrypha and pseudepigrapha at the Free tier, original-author framework commentary, and 100% human-curated AI-free cross-references. These differentiators are the moat. The half-price story is a wedge to get partners in the door; the framework reading is what keeps them.</w:t>
      </w:r>
    </w:p>
    <w:p>
      <w:pPr>
        <w:spacing w:after="120"/>
        <w:jc w:val="left"/>
      </w:pPr>
      <w:r>
        <w:rPr>
          <w:rFonts w:ascii="Arial" w:cs="Arial" w:eastAsia="Arial" w:hAnsi="Arial"/>
          <w:b w:val="false"/>
          <w:bCs w:val="false"/>
          <w:i w:val="false"/>
          <w:iCs w:val="false"/>
          <w:sz w:val="22"/>
          <w:szCs w:val="22"/>
        </w:rPr>
        <w:t xml:space="preserve">By W12 (nikkudot-strip, late June 2026) and W13 (verse-highlight recommendations engine, late June or early July 2026), the product ships capabilities that have no Logos equivalent at any tier. At that point, the framing flips from 'cheaper Logos' to 'different and better, for partners who want what Logos cannot give.'</w:t>
      </w:r>
    </w:p>
    <w:p>
      <w:r>
        <w:br w:type="page"/>
      </w:r>
    </w:p>
    <w:p>
      <w:pPr>
        <w:pStyle w:val="Heading1"/>
        <w:spacing w:after="200" w:before="320"/>
      </w:pPr>
      <w:r>
        <w:rPr>
          <w:rFonts w:ascii="Arial" w:cs="Arial" w:eastAsia="Arial" w:hAnsi="Arial"/>
          <w:b/>
          <w:bCs/>
          <w:sz w:val="32"/>
          <w:szCs w:val="32"/>
        </w:rPr>
        <w:t xml:space="preserve">Unit Economics</w:t>
      </w:r>
    </w:p>
    <w:p>
      <w:pPr>
        <w:spacing w:after="120"/>
        <w:jc w:val="left"/>
      </w:pPr>
      <w:r>
        <w:rPr>
          <w:rFonts w:ascii="Arial" w:cs="Arial" w:eastAsia="Arial" w:hAnsi="Arial"/>
          <w:b w:val="false"/>
          <w:bCs w:val="false"/>
          <w:i w:val="false"/>
          <w:iCs w:val="false"/>
          <w:sz w:val="22"/>
          <w:szCs w:val="22"/>
        </w:rPr>
        <w:t xml:space="preserve">The model carries explicit unit-economics calculations on the Milestones tab of the companion spreadsheet. The headline numbers, computed from the model assumptions, are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360"/>
      </w:tblGrid>
      <w:tr>
        <w:trPr>
          <w:tblHeader/>
        </w:trPr>
        <w:tc>
          <w:tcPr>
            <w:tcW w:type="dxa" w:w="3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6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Conservative</w:t>
            </w:r>
          </w:p>
        </w:tc>
        <w:tc>
          <w:tcPr>
            <w:tcW w:type="dxa" w:w="16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w:t>
            </w:r>
          </w:p>
        </w:tc>
        <w:tc>
          <w:tcPr>
            <w:tcW w:type="dxa" w:w="16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Aspirational</w:t>
            </w:r>
          </w:p>
        </w:tc>
        <w:tc>
          <w:tcPr>
            <w:tcW w:type="dxa" w:w="13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Benchmark</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ARPU (blended price per new paid partner, $/mo)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$4.84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$4.84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$4.84</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LTV (lifetime value per partner)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$60.50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$60.50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$60.50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n/a</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CAC (paid customer acquisition cost)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$50.00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$33.33</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$25.00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&lt; $50</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rFonts w:ascii="Arial" w:cs="Arial" w:eastAsia="Arial" w:hAnsi="Arial"/>
                <w:b/>
                <w:bCs/>
                <w:sz w:val="20"/>
                <w:szCs w:val="20"/>
              </w:rPr>
              <w:t xml:space="preserve">LTV / CAC ratio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1.21x</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1.82x</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2.42x</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&gt; 3.0 healthy</w:t>
            </w:r>
          </w:p>
        </w:tc>
      </w:tr>
    </w:tbl>
    <w:p>
      <w:pPr>
        <w:spacing w:after="120"/>
        <w:jc w:val="left"/>
      </w:pPr>
      <w:r>
        <w:rPr>
          <w:rFonts w:ascii="Arial" w:cs="Arial" w:eastAsia="Arial" w:hAnsi="Arial"/>
          <w:b w:val="false"/>
          <w:bCs w:val="false"/>
          <w:i w:val="false"/>
          <w:iCs w:val="false"/>
          <w:sz w:val="22"/>
          <w:szCs w:val="22"/>
        </w:rPr>
        <w:t xml:space="preserve"> </w:t>
      </w:r>
    </w:p>
    <w:p>
      <w:pPr>
        <w:pStyle w:val="Heading2"/>
        <w:spacing w:after="160" w:before="240"/>
      </w:pPr>
      <w:r>
        <w:rPr>
          <w:rFonts w:ascii="Arial" w:cs="Arial" w:eastAsia="Arial" w:hAnsi="Arial"/>
          <w:b/>
          <w:bCs/>
          <w:sz w:val="26"/>
          <w:szCs w:val="26"/>
        </w:rPr>
        <w:t xml:space="preserve">What the unit economics actually say</w:t>
      </w:r>
    </w:p>
    <w:p>
      <w:pPr>
        <w:spacing w:after="120"/>
        <w:jc w:val="left"/>
      </w:pPr>
      <w:r>
        <w:rPr>
          <w:rFonts w:ascii="Arial" w:cs="Arial" w:eastAsia="Arial" w:hAnsi="Arial"/>
          <w:b w:val="false"/>
          <w:bCs w:val="false"/>
          <w:i w:val="false"/>
          <w:iCs w:val="false"/>
          <w:sz w:val="22"/>
          <w:szCs w:val="22"/>
        </w:rPr>
        <w:t xml:space="preserve">All three scenarios produce LTV/CAC ratios below the 3.0x benchmark typically considered healthy for subscription businesses. The Aspirational scenario gets closest at 2.42x, and the Conservative scenario sits at 1.21x — paid acquisition pays back, but the cushion is thin. The current cost structure does not generate enough lifetime value per partner to support aggressive paid-spend scaling under the present assumptions.</w:t>
      </w:r>
    </w:p>
    <w:p>
      <w:pPr>
        <w:spacing w:after="120"/>
        <w:jc w:val="left"/>
      </w:pPr>
      <w:r>
        <w:rPr>
          <w:rFonts w:ascii="Arial" w:cs="Arial" w:eastAsia="Arial" w:hAnsi="Arial"/>
          <w:b w:val="false"/>
          <w:bCs w:val="false"/>
          <w:i w:val="false"/>
          <w:iCs w:val="false"/>
          <w:sz w:val="22"/>
          <w:szCs w:val="22"/>
        </w:rPr>
        <w:t xml:space="preserve">Three specific levers move the ratios into healthy territory:</w:t>
      </w:r>
    </w:p>
    <w:p>
      <w:pPr>
        <w:pStyle w:val="ListParagraph"/>
        <w:numPr>
          <w:ilvl w:val="0"/>
          <w:numId w:val="3"/>
        </w:numPr>
        <w:spacing w:after="100"/>
      </w:pPr>
      <w:r>
        <w:rPr>
          <w:rFonts w:ascii="Arial" w:cs="Arial" w:eastAsia="Arial" w:hAnsi="Arial"/>
          <w:sz w:val="22"/>
          <w:szCs w:val="22"/>
        </w:rPr>
        <w:t xml:space="preserve">Lower monthly churn from the placeholder 8% to a measured 5%. Industry data for low-price recurring subscriptions in faith content varies widely. If real churn lands at 5%, LTV jumps from $60.50 to $97 per partner, and the Base scenario LTV/CAC rises to 2.9x — essentially at the healthy threshold. Real churn data will be available after 3-6 months of meaningful acquisition.</w:t>
      </w:r>
    </w:p>
    <w:p>
      <w:pPr>
        <w:pStyle w:val="ListParagraph"/>
        <w:numPr>
          <w:ilvl w:val="0"/>
          <w:numId w:val="3"/>
        </w:numPr>
        <w:spacing w:after="100"/>
      </w:pPr>
      <w:r>
        <w:rPr>
          <w:rFonts w:ascii="Arial" w:cs="Arial" w:eastAsia="Arial" w:hAnsi="Arial"/>
          <w:sz w:val="22"/>
          <w:szCs w:val="22"/>
        </w:rPr>
        <w:t xml:space="preserve">Shift the tier mix toward the $4.99 Library and $9.99 Power tiers. The current model assumes 30/55/15 across the three paid tiers. A 20/60/20 mix raises blended ARPU from $4.84 to approximately $5.40, lifting LTV proportionally. The shift is realistic if marketing emphasizes the framework commentary (Library) and the Deeper Dive plus Yoshi's pre-loaded teaching keys (Power) over the basic-highlighting upgrade path.</w:t>
      </w:r>
    </w:p>
    <w:p>
      <w:pPr>
        <w:pStyle w:val="ListParagraph"/>
        <w:numPr>
          <w:ilvl w:val="0"/>
          <w:numId w:val="3"/>
        </w:numPr>
        <w:spacing w:after="100"/>
      </w:pPr>
      <w:r>
        <w:rPr>
          <w:rFonts w:ascii="Arial" w:cs="Arial" w:eastAsia="Arial" w:hAnsi="Arial"/>
          <w:sz w:val="22"/>
          <w:szCs w:val="22"/>
        </w:rPr>
        <w:t xml:space="preserve">Improve paid-channel efficiency past 4 paid partners per $100 spend. Faith content has commonly outperformed general-audience benchmarks on engaged-buyer conversion. If post-launch listing-driven discovery and viral share-with-watermark deliver, channel efficiency rises and CAC drops — the Aspirational scenario's 2.42x ratio crosses 3.0x at approximately 5 paid partners per $100 spend.</w:t>
      </w:r>
    </w:p>
    <w:p>
      <w:pPr>
        <w:spacing w:after="120"/>
        <w:jc w:val="left"/>
      </w:pPr>
      <w:r>
        <w:rPr>
          <w:rFonts w:ascii="Arial" w:cs="Arial" w:eastAsia="Arial" w:hAnsi="Arial"/>
          <w:b w:val="false"/>
          <w:bCs w:val="false"/>
          <w:i w:val="false"/>
          <w:iCs w:val="false"/>
          <w:sz w:val="22"/>
          <w:szCs w:val="22"/>
        </w:rPr>
        <w:t xml:space="preserve">The honest reading: unit economics today are marginal; the math works at scale only if at least one of the three levers above improves. The good news is that all three are tied to real, measurable inputs — not to wishful assumptions about market growth or pricing power. Three to six months of post-launch data will replace each placeholder with a measured value and tell which lever is real.</w:t>
      </w:r>
    </w:p>
    <w:p>
      <w:r>
        <w:br w:type="page"/>
      </w:r>
    </w:p>
    <w:p>
      <w:pPr>
        <w:pStyle w:val="Heading1"/>
        <w:spacing w:after="200" w:before="320"/>
      </w:pPr>
      <w:r>
        <w:rPr>
          <w:rFonts w:ascii="Arial" w:cs="Arial" w:eastAsia="Arial" w:hAnsi="Arial"/>
          <w:b/>
          <w:bCs/>
          <w:sz w:val="32"/>
          <w:szCs w:val="32"/>
        </w:rPr>
        <w:t xml:space="preserve">Key Risks and Sensitivities</w:t>
      </w:r>
    </w:p>
    <w:p>
      <w:pPr>
        <w:pStyle w:val="Heading2"/>
        <w:spacing w:after="160" w:before="240"/>
      </w:pPr>
      <w:r>
        <w:rPr>
          <w:rFonts w:ascii="Arial" w:cs="Arial" w:eastAsia="Arial" w:hAnsi="Arial"/>
          <w:b/>
          <w:bCs/>
          <w:sz w:val="26"/>
          <w:szCs w:val="26"/>
        </w:rPr>
        <w:t xml:space="preserve">Channel efficiency degrades at scale</w:t>
      </w:r>
    </w:p>
    <w:p>
      <w:pPr>
        <w:spacing w:after="120"/>
        <w:jc w:val="left"/>
      </w:pPr>
      <w:r>
        <w:rPr>
          <w:rFonts w:ascii="Arial" w:cs="Arial" w:eastAsia="Arial" w:hAnsi="Arial"/>
          <w:b w:val="false"/>
          <w:bCs w:val="false"/>
          <w:i w:val="false"/>
          <w:iCs w:val="false"/>
          <w:sz w:val="22"/>
          <w:szCs w:val="22"/>
        </w:rPr>
        <w:t xml:space="preserve">The largest sensitivity in the Aspirational scenario is the assumption that paid-channel efficiency stays constant from $250/month spend to $2,500/month spend. This is the failure mode that breaks paid-acquisition forecasts most commonly. Mitigation: keep the Base scenario as the operating plan; treat Aspirational as a stretch case and re-estimate channel efficiency monthly from real data.</w:t>
      </w:r>
    </w:p>
    <w:p>
      <w:pPr>
        <w:pStyle w:val="Heading2"/>
        <w:spacing w:after="160" w:before="240"/>
      </w:pPr>
      <w:r>
        <w:rPr>
          <w:rFonts w:ascii="Arial" w:cs="Arial" w:eastAsia="Arial" w:hAnsi="Arial"/>
          <w:b/>
          <w:bCs/>
          <w:sz w:val="26"/>
          <w:szCs w:val="26"/>
        </w:rPr>
        <w:t xml:space="preserve">App Store / Google Play approval timing</w:t>
      </w:r>
    </w:p>
    <w:p>
      <w:pPr>
        <w:spacing w:after="120"/>
        <w:jc w:val="left"/>
      </w:pPr>
      <w:r>
        <w:rPr>
          <w:rFonts w:ascii="Arial" w:cs="Arial" w:eastAsia="Arial" w:hAnsi="Arial"/>
          <w:b w:val="false"/>
          <w:bCs w:val="false"/>
          <w:i w:val="false"/>
          <w:iCs w:val="false"/>
          <w:sz w:val="22"/>
          <w:szCs w:val="22"/>
        </w:rPr>
        <w:t xml:space="preserve">The model assumes a +2-week slack between wheel completion and App Store / Play Store wraps going live. Both stores have rejected niche faith content in the past, and Apple's review process can extend significantly. Mitigation: begin the App Store and Play Store submission process in parallel with the final wheels (W12-W14), not after.</w:t>
      </w:r>
    </w:p>
    <w:p>
      <w:pPr>
        <w:pStyle w:val="Heading2"/>
        <w:spacing w:after="160" w:before="240"/>
      </w:pPr>
      <w:r>
        <w:rPr>
          <w:rFonts w:ascii="Arial" w:cs="Arial" w:eastAsia="Arial" w:hAnsi="Arial"/>
          <w:b/>
          <w:bCs/>
          <w:sz w:val="26"/>
          <w:szCs w:val="26"/>
        </w:rPr>
        <w:t xml:space="preserve">Churn unknown for niche faith content at low price points</w:t>
      </w:r>
    </w:p>
    <w:p>
      <w:pPr>
        <w:spacing w:after="120"/>
        <w:jc w:val="left"/>
      </w:pPr>
      <w:r>
        <w:rPr>
          <w:rFonts w:ascii="Arial" w:cs="Arial" w:eastAsia="Arial" w:hAnsi="Arial"/>
          <w:b w:val="false"/>
          <w:bCs w:val="false"/>
          <w:i w:val="false"/>
          <w:iCs w:val="false"/>
          <w:sz w:val="22"/>
          <w:szCs w:val="22"/>
        </w:rPr>
        <w:t xml:space="preserve">The 8% monthly churn assumption is industry-typical for low-price recurring software but is genuinely unknown for this specific product and audience. Faith content typically retains better than general consumer subscriptions when the product delivers — but the inverse is also possible (curiosity-driven signups churn fast). Mitigation: instrument churn closely from month 1 post-launch and re-run the model with real numbers at month 3.</w:t>
      </w:r>
    </w:p>
    <w:p>
      <w:pPr>
        <w:pStyle w:val="Heading2"/>
        <w:spacing w:after="160" w:before="240"/>
      </w:pPr>
      <w:r>
        <w:rPr>
          <w:rFonts w:ascii="Arial" w:cs="Arial" w:eastAsia="Arial" w:hAnsi="Arial"/>
          <w:b/>
          <w:bCs/>
          <w:sz w:val="26"/>
          <w:szCs w:val="26"/>
        </w:rPr>
        <w:t xml:space="preserve">Brand-trust gap vs. Logos</w:t>
      </w:r>
    </w:p>
    <w:p>
      <w:pPr>
        <w:spacing w:after="120"/>
        <w:jc w:val="left"/>
      </w:pPr>
      <w:r>
        <w:rPr>
          <w:rFonts w:ascii="Arial" w:cs="Arial" w:eastAsia="Arial" w:hAnsi="Arial"/>
          <w:b w:val="false"/>
          <w:bCs w:val="false"/>
          <w:i w:val="false"/>
          <w:iCs w:val="false"/>
          <w:sz w:val="22"/>
          <w:szCs w:val="22"/>
        </w:rPr>
        <w:t xml:space="preserve">Logos has 750k+ active monthly users and over twenty years of pastor / academic credibility. ROP starts from low double digits. Even with feature parity and half the price, partners will need to overcome the trust gap to switch — and most will not switch at all; they will add ROP as a second app. Mitigation: target partners who are awakening out of institutional Christianity rather than seasoned Logos power users; lean on Yoshi's existing teaching audience (YouTube, published books) as the warm acquisition channel.</w:t>
      </w:r>
    </w:p>
    <w:p>
      <w:pPr>
        <w:pStyle w:val="Heading2"/>
        <w:spacing w:after="160" w:before="240"/>
      </w:pPr>
      <w:r>
        <w:rPr>
          <w:rFonts w:ascii="Arial" w:cs="Arial" w:eastAsia="Arial" w:hAnsi="Arial"/>
          <w:b/>
          <w:bCs/>
          <w:sz w:val="26"/>
          <w:szCs w:val="26"/>
        </w:rPr>
        <w:t xml:space="preserve">Production-pace risk on the remaining wheels</w:t>
      </w:r>
    </w:p>
    <w:p>
      <w:pPr>
        <w:spacing w:after="120"/>
        <w:jc w:val="left"/>
      </w:pPr>
      <w:r>
        <w:rPr>
          <w:rFonts w:ascii="Arial" w:cs="Arial" w:eastAsia="Arial" w:hAnsi="Arial"/>
          <w:b w:val="false"/>
          <w:bCs w:val="false"/>
          <w:i w:val="false"/>
          <w:iCs w:val="false"/>
          <w:sz w:val="22"/>
          <w:szCs w:val="22"/>
        </w:rPr>
        <w:t xml:space="preserve">The 2-wheels-per-week pace has held for the last several sessions but is faster than the historical average across the full project. If the pace slips to 1 wheel/week, full launch slides from early July to early September 2026. The 12-month projection horizon does not shift much (it remains May 2027), but the post-launch growth window compresses by two months. Mitigation: protect the wheel-shipping pace as the highest-priority operational metric through the remainder of the sweep.</w:t>
      </w:r>
    </w:p>
    <w:p>
      <w:pPr>
        <w:pStyle w:val="Heading2"/>
        <w:spacing w:after="160" w:before="240"/>
      </w:pPr>
      <w:r>
        <w:rPr>
          <w:rFonts w:ascii="Arial" w:cs="Arial" w:eastAsia="Arial" w:hAnsi="Arial"/>
          <w:b/>
          <w:bCs/>
          <w:sz w:val="26"/>
          <w:szCs w:val="26"/>
        </w:rPr>
        <w:t xml:space="preserve">Cloudflare / API integration risk (carry-forward)</w:t>
      </w:r>
    </w:p>
    <w:p>
      <w:pPr>
        <w:spacing w:after="120"/>
        <w:jc w:val="left"/>
      </w:pPr>
      <w:r>
        <w:rPr>
          <w:rFonts w:ascii="Arial" w:cs="Arial" w:eastAsia="Arial" w:hAnsi="Arial"/>
          <w:b w:val="false"/>
          <w:bCs w:val="false"/>
          <w:i w:val="false"/>
          <w:iCs w:val="false"/>
          <w:sz w:val="22"/>
          <w:szCs w:val="22"/>
        </w:rPr>
        <w:t xml:space="preserve">An unrelated open technical item — Cloudflare bot-mode currently blocks the Render-hosted API from posting subscription-tier updates back to the WordPress site. The fix paths are well understood (WAF rule, IP allowlist, or subdomain routing) but are not yet implemented. The auth layer was hardened in a prior session to be resilient to this drift, so partners are not affected today. Worth flagging because a similar integration challenge could surface during App Store approval if Cloudflare flags reviewer traffic.</w:t>
      </w:r>
    </w:p>
    <w:p>
      <w:r>
        <w:br w:type="page"/>
      </w:r>
    </w:p>
    <w:p>
      <w:pPr>
        <w:pStyle w:val="Heading1"/>
        <w:spacing w:after="200" w:before="320"/>
      </w:pPr>
      <w:r>
        <w:rPr>
          <w:rFonts w:ascii="Arial" w:cs="Arial" w:eastAsia="Arial" w:hAnsi="Arial"/>
          <w:b/>
          <w:bCs/>
          <w:sz w:val="32"/>
          <w:szCs w:val="32"/>
        </w:rPr>
        <w:t xml:space="preserve">What Would Have to Be True for Each Scenario</w:t>
      </w:r>
    </w:p>
    <w:p>
      <w:pPr>
        <w:pStyle w:val="Heading2"/>
        <w:spacing w:after="160" w:before="240"/>
      </w:pPr>
      <w:r>
        <w:rPr>
          <w:rFonts w:ascii="Arial" w:cs="Arial" w:eastAsia="Arial" w:hAnsi="Arial"/>
          <w:b/>
          <w:bCs/>
          <w:sz w:val="26"/>
          <w:szCs w:val="26"/>
        </w:rPr>
        <w:t xml:space="preserve">Conservative scenario (the floor)</w:t>
      </w:r>
    </w:p>
    <w:p>
      <w:pPr>
        <w:spacing w:after="120"/>
        <w:jc w:val="left"/>
      </w:pPr>
      <w:r>
        <w:rPr>
          <w:rFonts w:ascii="Arial" w:cs="Arial" w:eastAsia="Arial" w:hAnsi="Arial"/>
          <w:b w:val="false"/>
          <w:bCs w:val="false"/>
          <w:i w:val="false"/>
          <w:iCs w:val="false"/>
          <w:sz w:val="22"/>
          <w:szCs w:val="22"/>
        </w:rPr>
        <w:t xml:space="preserve">Holds even if the launch goes quietly. Requires only: (a) the production sweep finishes by early July, (b) the App Store and Play Store listings go live, (c) the current $250/month organic-plus-light-paid mix continues, and (d) churn does not exceed 12% monthly. This scenario is the floor and effectively a validation that the product works — it is not a viable business at this scale and does not justify continued investment beyond Yoshi's volunteer pace.</w:t>
      </w:r>
    </w:p>
    <w:p>
      <w:pPr>
        <w:pStyle w:val="Heading2"/>
        <w:spacing w:after="160" w:before="240"/>
      </w:pPr>
      <w:r>
        <w:rPr>
          <w:rFonts w:ascii="Arial" w:cs="Arial" w:eastAsia="Arial" w:hAnsi="Arial"/>
          <w:b/>
          <w:bCs/>
          <w:sz w:val="26"/>
          <w:szCs w:val="26"/>
        </w:rPr>
        <w:t xml:space="preserve">Base scenario (the operating plan)</w:t>
      </w:r>
    </w:p>
    <w:p>
      <w:pPr>
        <w:spacing w:after="120"/>
        <w:jc w:val="left"/>
      </w:pPr>
      <w:r>
        <w:rPr>
          <w:rFonts w:ascii="Arial" w:cs="Arial" w:eastAsia="Arial" w:hAnsi="Arial"/>
          <w:b w:val="false"/>
          <w:bCs w:val="false"/>
          <w:i w:val="false"/>
          <w:iCs w:val="false"/>
          <w:sz w:val="22"/>
          <w:szCs w:val="22"/>
        </w:rPr>
        <w:t xml:space="preserve">Requires the Conservative conditions plus: (a) acquisition spend scales to $750/month by month 3 post-launch, (b) paid channels deliver ~$33 CAC at that spend level (achievable if at least one of Meta, Google, or YouTube ads finds a working creative for the framework-aware audience), (c) post-launch organic delivers 10 new paid partners/month from App Store discovery, Play Store discovery, and viral share-with-watermark combined. This is what to plan against — and what to start measuring at month 1 post-launch.</w:t>
      </w:r>
    </w:p>
    <w:p>
      <w:pPr>
        <w:pStyle w:val="Heading2"/>
        <w:spacing w:after="160" w:before="240"/>
      </w:pPr>
      <w:r>
        <w:rPr>
          <w:rFonts w:ascii="Arial" w:cs="Arial" w:eastAsia="Arial" w:hAnsi="Arial"/>
          <w:b/>
          <w:bCs/>
          <w:sz w:val="26"/>
          <w:szCs w:val="26"/>
        </w:rPr>
        <w:t xml:space="preserve">Aspirational scenario (the stretch)</w:t>
      </w:r>
    </w:p>
    <w:p>
      <w:pPr>
        <w:spacing w:after="120"/>
        <w:jc w:val="left"/>
      </w:pPr>
      <w:r>
        <w:rPr>
          <w:rFonts w:ascii="Arial" w:cs="Arial" w:eastAsia="Arial" w:hAnsi="Arial"/>
          <w:b w:val="false"/>
          <w:bCs w:val="false"/>
          <w:i w:val="false"/>
          <w:iCs w:val="false"/>
          <w:sz w:val="22"/>
          <w:szCs w:val="22"/>
        </w:rPr>
        <w:t xml:space="preserve">Requires the Base conditions plus: (a) paid spend scales to $2,500/month by month 6 without channel efficiency degrading meaningfully, (b) post-launch organic discovery hits 25 new paid partners/month (strong App Store featuring, sustained viral share traction, broad framework-curious audience finds the product), (c) at least one of the three unit-economics levers (lower churn, higher ARPU, better channel efficiency) materializes from real data. This is the upside case worth tracking against but not committing capital to ahead of the data.</w:t>
      </w:r>
    </w:p>
    <w:p>
      <w:pPr>
        <w:pStyle w:val="Heading2"/>
        <w:spacing w:after="160" w:before="240"/>
      </w:pPr>
      <w:r>
        <w:rPr>
          <w:rFonts w:ascii="Arial" w:cs="Arial" w:eastAsia="Arial" w:hAnsi="Arial"/>
          <w:b/>
          <w:bCs/>
          <w:sz w:val="26"/>
          <w:szCs w:val="26"/>
        </w:rPr>
        <w:t xml:space="preserve">Three asks from the father-in-law's review</w:t>
      </w:r>
    </w:p>
    <w:p>
      <w:pPr>
        <w:pStyle w:val="ListParagraph"/>
        <w:numPr>
          <w:ilvl w:val="0"/>
          <w:numId w:val="3"/>
        </w:numPr>
        <w:spacing w:after="100"/>
      </w:pPr>
      <w:r>
        <w:rPr>
          <w:rFonts w:ascii="Arial" w:cs="Arial" w:eastAsia="Arial" w:hAnsi="Arial"/>
          <w:sz w:val="22"/>
          <w:szCs w:val="22"/>
        </w:rPr>
        <w:t xml:space="preserve">Sanity-check the unit-economics assumptions (especially the 8% monthly churn placeholder and the channel-efficiency curve at $2,500/month spend). What benchmarks do you see in comparable subscription products at this price point?</w:t>
      </w:r>
    </w:p>
    <w:p>
      <w:pPr>
        <w:pStyle w:val="ListParagraph"/>
        <w:numPr>
          <w:ilvl w:val="0"/>
          <w:numId w:val="3"/>
        </w:numPr>
        <w:spacing w:after="100"/>
      </w:pPr>
      <w:r>
        <w:rPr>
          <w:rFonts w:ascii="Arial" w:cs="Arial" w:eastAsia="Arial" w:hAnsi="Arial"/>
          <w:sz w:val="22"/>
          <w:szCs w:val="22"/>
        </w:rPr>
        <w:t xml:space="preserve">Pressure-test the paid-spend ramp. The Base scenario commits to going from $250/month to $750/month around month 3 post-launch. What sequencing of channels would you recommend to test before scaling spend (e.g., Meta first, then Google, then YouTube)?</w:t>
      </w:r>
    </w:p>
    <w:p>
      <w:pPr>
        <w:pStyle w:val="ListParagraph"/>
        <w:numPr>
          <w:ilvl w:val="0"/>
          <w:numId w:val="3"/>
        </w:numPr>
        <w:spacing w:after="100"/>
      </w:pPr>
      <w:r>
        <w:rPr>
          <w:rFonts w:ascii="Arial" w:cs="Arial" w:eastAsia="Arial" w:hAnsi="Arial"/>
          <w:sz w:val="22"/>
          <w:szCs w:val="22"/>
        </w:rPr>
        <w:t xml:space="preserve">Validate the launch sequencing. Is there value in launching the Free tier alone first (to seed the App Store and build organic listings) before promoting the paid tiers, or should all tiers go live together at launch? The current model assumes the latter.</w:t>
      </w:r>
    </w:p>
    <w:p>
      <w:r>
        <w:br w:type="page"/>
      </w:r>
    </w:p>
    <w:p>
      <w:pPr>
        <w:pStyle w:val="Heading1"/>
        <w:spacing w:after="200" w:before="320"/>
      </w:pPr>
      <w:r>
        <w:rPr>
          <w:rFonts w:ascii="Arial" w:cs="Arial" w:eastAsia="Arial" w:hAnsi="Arial"/>
          <w:b/>
          <w:bCs/>
          <w:sz w:val="32"/>
          <w:szCs w:val="32"/>
        </w:rPr>
        <w:t xml:space="preserve">Methodology + Sources</w:t>
      </w:r>
    </w:p>
    <w:p>
      <w:pPr>
        <w:pStyle w:val="Heading2"/>
        <w:spacing w:after="160" w:before="240"/>
      </w:pPr>
      <w:r>
        <w:rPr>
          <w:rFonts w:ascii="Arial" w:cs="Arial" w:eastAsia="Arial" w:hAnsi="Arial"/>
          <w:b/>
          <w:bCs/>
          <w:sz w:val="26"/>
          <w:szCs w:val="26"/>
        </w:rPr>
        <w:t xml:space="preserve">Model construction</w:t>
      </w:r>
    </w:p>
    <w:p>
      <w:pPr>
        <w:spacing w:after="120"/>
        <w:jc w:val="left"/>
      </w:pPr>
      <w:r>
        <w:rPr>
          <w:rFonts w:ascii="Arial" w:cs="Arial" w:eastAsia="Arial" w:hAnsi="Arial"/>
          <w:b w:val="false"/>
          <w:bCs w:val="false"/>
          <w:i w:val="false"/>
          <w:iCs w:val="false"/>
          <w:sz w:val="22"/>
          <w:szCs w:val="22"/>
        </w:rPr>
        <w:t xml:space="preserve">The companion spreadsheet (ROP_Study_Bible_Projection_Model.xlsx) carries every assumption as a blue-cell input on the Assumptions tab. All other tabs (Projection, Logos Comparison, Milestones) recalculate from the assumptions automatically. Changing any blue cell updates every dependent number in the workbook. The narrative figures in this memo derive directly from the spreadsheet — no separately maintained numbers.</w:t>
      </w:r>
    </w:p>
    <w:p>
      <w:pPr>
        <w:spacing w:after="120"/>
        <w:jc w:val="left"/>
      </w:pPr>
      <w:r>
        <w:rPr>
          <w:rFonts w:ascii="Arial" w:cs="Arial" w:eastAsia="Arial" w:hAnsi="Arial"/>
          <w:b w:val="false"/>
          <w:bCs w:val="false"/>
          <w:i w:val="false"/>
          <w:iCs w:val="false"/>
          <w:sz w:val="22"/>
          <w:szCs w:val="22"/>
        </w:rPr>
        <w:t xml:space="preserve">Three scenarios were run with distinct paid-spend levels, paid-channel efficiency rates, and post-launch organic-discovery rates. Each scenario holds tier mix, churn rate, and starting ARPU constant; sensitivity analysis on those constants is discussed in the Unit Economics section.</w:t>
      </w:r>
    </w:p>
    <w:p>
      <w:pPr>
        <w:pStyle w:val="Heading2"/>
        <w:spacing w:after="160" w:before="240"/>
      </w:pPr>
      <w:r>
        <w:rPr>
          <w:rFonts w:ascii="Arial" w:cs="Arial" w:eastAsia="Arial" w:hAnsi="Arial"/>
          <w:b/>
          <w:bCs/>
          <w:sz w:val="26"/>
          <w:szCs w:val="26"/>
        </w:rPr>
        <w:t xml:space="preserve">Sources</w:t>
      </w:r>
    </w:p>
    <w:p>
      <w:pPr>
        <w:pStyle w:val="ListParagraph"/>
        <w:numPr>
          <w:ilvl w:val="0"/>
          <w:numId w:val="2"/>
        </w:numPr>
        <w:spacing w:after="100"/>
      </w:pPr>
      <w:r>
        <w:rPr>
          <w:rFonts w:ascii="Arial" w:cs="Arial" w:eastAsia="Arial" w:hAnsi="Arial"/>
          <w:sz w:val="22"/>
          <w:szCs w:val="22"/>
        </w:rPr>
        <w:t xml:space="preserve">Logos subscription pricing (Premium $9.99/mo, Pro $14.99/mo, Max $19.99/mo): logos.com/configure/subscriptions, verified May 2026.</w:t>
      </w:r>
    </w:p>
    <w:p>
      <w:pPr>
        <w:pStyle w:val="ListParagraph"/>
        <w:numPr>
          <w:ilvl w:val="0"/>
          <w:numId w:val="2"/>
        </w:numPr>
        <w:spacing w:after="100"/>
      </w:pPr>
      <w:r>
        <w:rPr>
          <w:rFonts w:ascii="Arial" w:cs="Arial" w:eastAsia="Arial" w:hAnsi="Arial"/>
          <w:sz w:val="22"/>
          <w:szCs w:val="22"/>
        </w:rPr>
        <w:t xml:space="preserve">Faithlife revenue estimate ($26.2M annually): third-party business profile sources (Buzzfile / Owler estimates; Faithlife is privately held).</w:t>
      </w:r>
    </w:p>
    <w:p>
      <w:pPr>
        <w:pStyle w:val="ListParagraph"/>
        <w:numPr>
          <w:ilvl w:val="0"/>
          <w:numId w:val="2"/>
        </w:numPr>
        <w:spacing w:after="100"/>
      </w:pPr>
      <w:r>
        <w:rPr>
          <w:rFonts w:ascii="Arial" w:cs="Arial" w:eastAsia="Arial" w:hAnsi="Arial"/>
          <w:sz w:val="22"/>
          <w:szCs w:val="22"/>
        </w:rPr>
        <w:t xml:space="preserve">Logos active monthly user count (750k+): Google Play Store listing for the Logos Bible app.</w:t>
      </w:r>
    </w:p>
    <w:p>
      <w:pPr>
        <w:pStyle w:val="ListParagraph"/>
        <w:numPr>
          <w:ilvl w:val="0"/>
          <w:numId w:val="2"/>
        </w:numPr>
        <w:spacing w:after="100"/>
      </w:pPr>
      <w:r>
        <w:rPr>
          <w:rFonts w:ascii="Arial" w:cs="Arial" w:eastAsia="Arial" w:hAnsi="Arial"/>
          <w:sz w:val="22"/>
          <w:szCs w:val="22"/>
        </w:rPr>
        <w:t xml:space="preserve">Current ROP product state (tier ladder, feature roadmap, wheel sequence): DESIGN_LANGUAGE.md §9 (tier-feature matrix), REBUILD_STATE.md (current development state) — both in the project repository.</w:t>
      </w:r>
    </w:p>
    <w:p>
      <w:pPr>
        <w:pStyle w:val="ListParagraph"/>
        <w:numPr>
          <w:ilvl w:val="0"/>
          <w:numId w:val="2"/>
        </w:numPr>
        <w:spacing w:after="100"/>
      </w:pPr>
      <w:r>
        <w:rPr>
          <w:rFonts w:ascii="Arial" w:cs="Arial" w:eastAsia="Arial" w:hAnsi="Arial"/>
          <w:sz w:val="22"/>
          <w:szCs w:val="22"/>
        </w:rPr>
        <w:t xml:space="preserve">Starting partner count, current acquisition spend, wheel-shipping pace: Yoshi's direct input during model construction.</w:t>
      </w:r>
    </w:p>
    <w:p>
      <w:pPr>
        <w:pStyle w:val="ListParagraph"/>
        <w:numPr>
          <w:ilvl w:val="0"/>
          <w:numId w:val="2"/>
        </w:numPr>
        <w:spacing w:after="100"/>
      </w:pPr>
      <w:r>
        <w:rPr>
          <w:rFonts w:ascii="Arial" w:cs="Arial" w:eastAsia="Arial" w:hAnsi="Arial"/>
          <w:sz w:val="22"/>
          <w:szCs w:val="22"/>
        </w:rPr>
        <w:t xml:space="preserve">Industry-typical churn and conversion rates for low-price recurring faith content: assumed values flagged in the spreadsheet for replacement with measured data.</w:t>
      </w:r>
    </w:p>
    <w:p>
      <w:pPr>
        <w:pStyle w:val="Heading2"/>
        <w:spacing w:after="160" w:before="240"/>
      </w:pPr>
      <w:r>
        <w:rPr>
          <w:rFonts w:ascii="Arial" w:cs="Arial" w:eastAsia="Arial" w:hAnsi="Arial"/>
          <w:b/>
          <w:bCs/>
          <w:sz w:val="26"/>
          <w:szCs w:val="26"/>
        </w:rPr>
        <w:t xml:space="preserve">How this model should be used</w:t>
      </w:r>
    </w:p>
    <w:p>
      <w:pPr>
        <w:spacing w:after="120"/>
        <w:jc w:val="left"/>
      </w:pPr>
      <w:r>
        <w:rPr>
          <w:rFonts w:ascii="Arial" w:cs="Arial" w:eastAsia="Arial" w:hAnsi="Arial"/>
          <w:b w:val="false"/>
          <w:bCs w:val="false"/>
          <w:i w:val="false"/>
          <w:iCs w:val="false"/>
          <w:sz w:val="22"/>
          <w:szCs w:val="22"/>
        </w:rPr>
        <w:t xml:space="preserve">This is a hypothesis tool, not a forecast. The right way to use it is: (a) review the assumptions for plausibility and challenge any that look wrong; (b) run sensitivity scenarios by editing the blue cells; (c) re-run the model at month 1, month 3, and month 6 post-launch with real data replacing placeholder assumptions. The output of those re-runs will be substantially more credible than the present version.</w:t>
      </w:r>
    </w:p>
    <w:p>
      <w:pPr>
        <w:spacing w:after="120"/>
        <w:jc w:val="left"/>
      </w:pPr>
      <w:r>
        <w:rPr>
          <w:rFonts w:ascii="Arial" w:cs="Arial" w:eastAsia="Arial" w:hAnsi="Arial"/>
          <w:b w:val="false"/>
          <w:bCs w:val="false"/>
          <w:i w:val="false"/>
          <w:iCs w:val="false"/>
          <w:sz w:val="22"/>
          <w:szCs w:val="22"/>
        </w:rPr>
        <w:t xml:space="preserve">Projections beyond 12 months are intentionally not modeled. The post-launch data window is too short and the long-term assumptions (continued wheel shipping, sustained channel efficiency, market response to the framework reading) would compound uncertainty to the point of being unhelpful. A year-out re-projection — informed by 12 months of real data — will be a meaningful exercise.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8"/>
        <w:szCs w:val="18"/>
      </w:rPr>
      <w:t xml:space="preserve">ROP Study Bible — Projection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2026-05-23T21:05:45.682Z</dcterms:created>
  <dcterms:modified xsi:type="dcterms:W3CDTF">2026-05-23T21:05:45.682Z</dcterms:modified>
</cp:coreProperties>
</file>

<file path=docProps/custom.xml><?xml version="1.0" encoding="utf-8"?>
<Properties xmlns="http://schemas.openxmlformats.org/officeDocument/2006/custom-properties" xmlns:vt="http://schemas.openxmlformats.org/officeDocument/2006/docPropsVTypes"/>
</file>