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2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AQUA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Resumen Ejecutivo · Reto InspiraVe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Proyecto</w:t>
            </w:r>
          </w:p>
        </w:tc>
        <w:tc>
          <w:tcPr>
            <w:tcW w:type="dxa" w:w="6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Aqua</w:t>
            </w:r>
          </w:p>
        </w:tc>
      </w:tr>
      <w:tr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Equipo</w:t>
            </w:r>
          </w:p>
        </w:tc>
        <w:tc>
          <w:tcPr>
            <w:tcW w:type="dxa" w:w="6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Samuel Hernández · Bruno Pacillo</w:t>
            </w:r>
          </w:p>
        </w:tc>
      </w:tr>
      <w:tr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Mercado</w:t>
            </w:r>
          </w:p>
        </w:tc>
        <w:tc>
          <w:tcPr>
            <w:tcW w:type="dxa" w:w="6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Venezuela — refinerías de petróleo (PDVSA y empresas mixtas)</w:t>
            </w:r>
          </w:p>
        </w:tc>
      </w:tr>
      <w:tr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Etapa</w:t>
            </w:r>
          </w:p>
        </w:tc>
        <w:tc>
          <w:tcPr>
            <w:tcW w:type="dxa" w:w="6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Prototipo temprano / validación en laboratorio</w:t>
            </w:r>
          </w:p>
        </w:tc>
      </w:tr>
    </w:tbl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 Definición del Problema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Venezuela alberga algunas de las refinerías más grandes del mundo. El Complejo Refinador Paraguaná (CRP) — conformado por las refinerías de Amuay y Cardón en el estado Falcón — tiene capacidad instalada para procesar más de 940,000 barriles diarios, históricamente uno de los complejos refinadores más grandes del planeta. A ellas se suman las refinerías de El Palito (Carabobo) y Puerto La Cruz (Anzoátegui), todas bajo PDVSA y sus empresas mixtas.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Estas instalaciones dependen críticamente de sistemas de torres de enfriamiento que consumen volúmenes masivos de agua fresca, de los cuales entre el 3% y el 5% se pierde irrecuperablemente como microgotas de niebla. Tres consecuencias directas: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Costo operativo evitable: en un contexto donde PDVSA y sus socios operan bajo presión financiera severa, cada ahorro operativo tiene impacto directo en la viabilidad de las instalaciones. Recuperar el 15% del agua perdida en una sola torre puede representar ahorros de USD $150,000–$400,000 anuales por complejo.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Estrés hídrico regional crítico: el estado Falcón y zonas de Anzoátegui presentan déficit hídrico documentado. Las refinerías compiten por agua con comunidades locales, generando tensión social y riesgo operativo ante sequías cada vez más frecuentes.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Infraestructura deteriorada que agrava las pérdidas: años de desinversión han reducido la eficiencia general de las refinerías venezolanas. Soluciones que recuperen recursos con bajo costo de instalación y operación son especialmente atractivas en este contexto.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problema es estructural, cuantificable y sin solución tecnológica activa en el mercado venezolano actual.</w:t>
      </w:r>
    </w:p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 Propuesta de Valor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Aqua desarrolla un sistema modular de recuperación electrostática de niebla para torres de enfriamiento industriales, basado en tecnología validada por investigadores del MIT (Damak &amp; Varanasi, Science Advances, 2018). A diferencia de las mallas pasivas convencionales — que en condiciones reales recuperan apenas el 1–2% de las microgotas — Aqua instala un emisor de iones de corona que carga eléctricamente las microgotas y las dirige con precisión hacia una malla colectora mediante un campo eléctrico controlado.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resultado es una eficiencia de recolección hasta 8 veces mayor, con un consumo energético de ~0.2 kWh por metro cúbico de agua recuperada — hasta 25 veces más eficiente que la desalinización por ósmosis inversa (3–5 kWh/m³).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¿Por qué Aqua es diferente a cualquier solución existente?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Actúa sobre la causa raíz: la desviación aerodinámica de las microgotas alrededor de los colectores, no solo la superficie de captura.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 y retrofittable: se instala sobre infraestructura existente sin rediseñar la torre, reduciendo el costo y tiempo de implementación.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Bajo consumo eléctrico: opera a alto voltaje pero corriente mínima (~0.01 mA), equivalente a ~40 W/m² de malla — compatible con generación local en instalaciones con recursos limitados.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 estimado en 2–4 años solo por ahorro hídrico, sin contar beneficios regulatorios ni de imagen ESG para socios internacionales de PDVSA.</w:t>
      </w:r>
    </w:p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 Mercado 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Nuestro cliente ideal es el gerente de operaciones o director de ingeniería de una refinería venezolana — ya sea PDVSA directamente o una empresa mixta con socio internacional (Chevron, Repsol, ENI) — que enfrenta presión para reducir costos operativos y consumo hídrico sin grandes inversiones de capital.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Dimensionamiento del mercado en Venezuela: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complejos refinadores activos con torres de enfriamiento de gran escala; el CRP solo concentra más de 40 torres de enfriamiento operativas.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empresas mixtas con participación de capitales internacionales (Petropiar, Petroindependencia, Petromonagas) tienen estructuras de toma de decisión más ágiles y mayor acceso a divisas — son nuestros primeros objetivos identificados.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Mercado inicial direccionable en Venezuela: USD $5M–$20M considerando solo torres de enfriamiento en los cuatro principales complejos refinadores.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Expansión natural hacia plantas petroquímicas de Pequiven y plantas de generación termoeléctrica en el mediano plazo.</w:t>
      </w:r>
    </w:p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Modelo de Negocio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Aqua genera ingresos a través de dos fuentes complementarias, diseñadas para reducir la barrera de entrada del cliente y crear relaciones de largo plazo: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Fuente 1 — Contrato de mantenimiento y operación anual (recurrente):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Instalamos el sistema Aqua en las torres del cliente y cobramos una tarifa anual fija por mantenimiento, monitoreo remoto, calibración y soporte técnico. Precio objetivo: USD $20,000–$50,000 por torre anualmente. Este modelo genera ingresos predecibles, fideliza al cliente y nos posiciona como aliado operativo de largo plazo — no como un proveedor transaccional.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Fuente 2 — Contrato por rendimiento (Performance Contract):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Para clientes que no pueden o no quieren una inversión inicial, instalamos el sistema sin costo y cobramos el 20–25% del ahorro hídrico y energético medido y certificado mensualmente. Este modelo elimina toda barrera de entrada, convierte a Aqua en un socio alineado con los resultados del cliente, y es especialmente atractivo en el contexto venezolano donde el acceso a capital de inversión es limitado.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Ambos modelos pueden combinarse: el cliente inicia con un contrato por rendimiento para validar resultados, y migra a un esquema de mantenimiento fijo una vez establecida la confianza.</w:t>
      </w:r>
    </w:p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 Estrategia de Marketing y Ventas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 contactos directos aún pero con empresas objetivo identificadas, nuestra estrategia de entrada prioriza credibilidad técnica y acceso a través de canales institucionales: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Respaldo científico como diferenciador: la publicación del MIT es nuestra credencial principal. Toda presentación comercial arranca con la evidencia experimental — eficiencia demostrada en laboratorio, modelo físico validado — para establecer confianza técnica antes de hablar de negocios.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Entrada por empresas mixtas con socios internacionales: Chevron Venezuela, Repsol, ENI y otras operadoras con capital extranjero tienen procesos de evaluación de proveedores más estructurados, acceso a divisas y presión ESG de sus casas matrices. Son nuestro punto de entrada más realista en el corto plazo.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Alianzas con proveedores de ingeniería local: empresas de servicios de ingeniería para PDVSA (mantenimiento industrial, instrumentación) pueden actuar como canal de distribución o presentación. Ofrecemos co-participación comercial a cambio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Participación en eventos técnicos del sector: presentación de Aqua en el Congreso Venezolano de Petroquímica y eventos del CIED (Centro Internacional de Educación y Desarrollo de PDVSA) para construir visibilidad técnica con decision-makers del sector.</w:t>
      </w:r>
    </w:p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 Impacto Social y Ambiental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ODS 6 — Agua limpia y saneamiento: una sola instalación en una torre de enfriamiento del CRP puede recuperar entre 4,000 y 10,000 litros de agua por día. En el estado Falcón, con déficit hídrico documentado, esto reduce la presión sobre el sistema de acueductos locales que hoy abastece a refinerías y comunidades de la misma cuenca.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ODS 9 — Industria e innovación: Aqua desarrolla y transfiere tecnología de frontera al sector industrial venezolano, generando capacidad técnica local en electroestática aplicada y sistemas de recuperación hídrica industrial.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ODS 13 — Acción climática: la reducción del consumo hídrico industrial disminuye la energía asociada a extracción, tratamiento y bombeo de agua, mejorando las métricas ESG de las empresas mixtas — un factor cada vez más relevante para los socios internacionales de PDVSA ante auditorías de sostenibilidad.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Aqua no es solo una herramienta de ahorro de costos — es un argumento para que la industria extractiva venezolana opere de forma más responsable con sus cuencas hídricas y comunidades vecinas.</w:t>
      </w:r>
    </w:p>
    <w:p>
      <w:pPr>
        <w:pBdr>
          <w:bottom w:val="single" w:color="2471A3" w:sz="4"/>
        </w:pBd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 Estado Actual y Hoja de Ruta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Estado actual: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Prototipo temprano en construcción — menos de 6 meses de desarrollo. La base científica está validada por la investigación del MIT. Estamos construyendo el primer prototipo a escala reducida para medir eficiencia de recolección en condiciones que simulan la pluma de una torre de enfriamiento real. Las empresas objetivo en Venezuela están identificadas; el siguiente paso es el primer contacto formal.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Objetivos — próximos 6 meses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880"/>
      </w:tblGrid>
      <w:tr>
        <w:tc>
          <w:tcPr>
            <w:tcW w:type="dxa" w:w="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4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  <w:tc>
          <w:tcPr>
            <w:tcW w:type="dxa" w:w="28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Plazo</w:t>
            </w:r>
          </w:p>
        </w:tc>
      </w:tr>
      <w:tr>
        <w:tc>
          <w:tcPr>
            <w:tcW w:type="dxa" w:w="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1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Completar el prototipo de laboratorio y documentar métricas de eficiencia comparadas con mallas pasivas convencionales, produciendo una ficha técnica lista para presentar a clientes industriales.</w:t>
            </w:r>
          </w:p>
        </w:tc>
        <w:tc>
          <w:tcPr>
            <w:tcW w:type="dxa" w:w="28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22"/>
                <w:szCs w:val="22"/>
              </w:rPr>
              <w:t xml:space="preserve">Meses 1–2</w:t>
            </w:r>
          </w:p>
        </w:tc>
      </w:tr>
      <w:tr>
        <w:tc>
          <w:tcPr>
            <w:tcW w:type="dxa" w:w="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2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Establecer primer contacto formal con al menos dos empresas mixtas operadoras en Venezuela (prioridad: Chevron Venezuela y Repsol) para presentar Aqua y explorar un acuerdo de piloto bajo modelo de contrato por rendimiento.</w:t>
            </w:r>
          </w:p>
        </w:tc>
        <w:tc>
          <w:tcPr>
            <w:tcW w:type="dxa" w:w="28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22"/>
                <w:szCs w:val="22"/>
              </w:rPr>
              <w:t xml:space="preserve">Meses 2–4</w:t>
            </w:r>
          </w:p>
        </w:tc>
      </w:tr>
      <w:tr>
        <w:tc>
          <w:tcPr>
            <w:tcW w:type="dxa" w:w="72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3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Firmar el primer contrato piloto (por rendimiento o mantenimiento) con al menos una instalación refinera, y con los datos del prototipo, postular a fondos de innovación internacionales (BID Lab, CAF, programas ONU-Ambiente) para financiar la escala industrial.</w:t>
            </w:r>
          </w:p>
        </w:tc>
        <w:tc>
          <w:tcPr>
            <w:tcW w:type="dxa" w:w="28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22"/>
                <w:szCs w:val="22"/>
              </w:rPr>
              <w:t xml:space="preserve">Meses 4–6</w:t>
            </w:r>
          </w:p>
        </w:tc>
      </w:tr>
    </w:tbl>
    <w:p>
      <w:pPr>
        <w:pBdr>
          <w:top w:val="single" w:color="BDC3C7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Base científica: Damak, M. &amp; Varanasi, K.K. — "Electrostatically Driven Fog Collection Using Space Charge Injection" · Science Advances, Vol. 4 (2018) · MIT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2026-05-18T01:03:38.002Z</dcterms:created>
  <dcterms:modified xsi:type="dcterms:W3CDTF">2026-05-18T01:03:38.002Z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