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numPr>
          <w:ilvl w:val="0"/>
          <w:numId w:val="0"/>
        </w:numPr>
        <w:jc w:val="center"/>
        <w:spacing w:lineRule="auto" w:line="227" w:before="0" w:after="0"/>
        <w:pageBreakBefore w:val="0"/>
        <w:ind w:left="0" w:hanging="0"/>
        <w:rPr>
          <w:spacing w:val="0"/>
          <w:b w:val="1"/>
          <w:shadow w:val="0"/>
          <w:color w:val="000000"/>
          <w:sz w:val="26"/>
          <w:szCs w:val="26"/>
          <w:rFonts w:ascii="함초롬바탕" w:eastAsia="함초롬바탕" w:hAnsi="함초롬바탕" w:hint="default"/>
        </w:rPr>
      </w:pPr>
      <w:r>
        <w:rPr>
          <w:spacing w:val="0"/>
          <w:b w:val="1"/>
          <w:shadow w:val="0"/>
          <w:color w:val="000000"/>
          <w:sz w:val="26"/>
          <w:szCs w:val="26"/>
          <w:rFonts w:ascii="함초롬바탕" w:eastAsia="함초롬바탕" w:hAnsi="함초롬바탕" w:hint="default"/>
        </w:rPr>
        <w:t xml:space="preserve">스케일업 챌린지랩 - 현장 기관 및 근로자 질문지 리스트업</w:t>
      </w: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함초롬바탕" w:eastAsia="함초롬바탕" w:hAnsi="함초롬바탕" w:hint="default"/>
        </w:rPr>
        <w:wordWrap w:val="off"/>
      </w:pPr>
    </w:p>
    <w:tbl>
      <w:tblID w:val="1986668394"/>
      <w:tblPr>
        <w:tblpPr w:leftFromText="57" w:rightFromText="57" w:topFromText="57" w:bottomFromText="57" w:vertAnchor="text" w:tblpX="0" w:tblpY="0"/>
        <w:tblOverlap w:val="never"/>
        <w:tblCellMar>
          <w:left w:w="102" w:type="dxa"/>
          <w:top w:w="28" w:type="dxa"/>
          <w:right w:w="102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818"/>
        <w:gridCol w:w="2460"/>
        <w:gridCol w:w="5220"/>
        <w:gridCol w:w="5221"/>
      </w:tblGrid>
      <w:tr>
        <w:trPr/>
        <w:tc>
          <w:tcPr>
            <w:tcW w:type="dxa" w:w="818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</w:p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DFE6F7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목록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DFE6F7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비고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DFE6F7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예시</w:t>
            </w:r>
          </w:p>
        </w:tc>
      </w:tr>
      <w:tr>
        <w:trPr/>
        <w:tc>
          <w:tcPr>
            <w:tcW w:type="dxa" w:w="818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현장 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정보</w:t>
            </w:r>
          </w:p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사고 대응 기관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주(State), 해역(海域), 오염물 종류별 대응 기관 및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영역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국내의 경우, ‘해양경찰’과 ‘해양환경공단’으로 전문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해양 방제 기관이 나뉘어 있음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내륙(하천) 기름유출 사고의 경우, ‘한국환경공단’ 관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할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해양경찰은 전국 19개, 해양환경공단은 12개 지사를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갖고 있으며, 크게 ‘동해·남해·서해·중부·제주’ 5곳으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로 해역을 나눠 관리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기본적인 방제 프로세스는 ‘사고 발생 → 신고 접수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(해양경찰) → 초동대치(해양경찰) → 상황 인계(해양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환경공단) → 작업 마무리(해양환경공단) → 후처리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(해양환경공단)’으로 이루어지며, 사고의 규모·지형적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심각성(양식장, 해안 등)에 따라 투입 기관 및 분할이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나뉨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사고 발생 건수 및 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출량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근 3~5년 사고 발생 건수 및 유출량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100kl(소형→대형 사고 기준) 기준 통계 또는 건수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(%/건)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 2019~2021년도 해양 기름유출 사고 발생 건수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는 총 797건(296, 254, 247)으로 총 1,231kl(147.9,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770.3, 312.8)의 기름이 유출되었음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이중 100kl를 넘어서는 대형 사고는 2015년 2건을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이후로 2020년 ‘리스폰더호(629톤,B-C유)’ 1건이 전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부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사고 원인 통계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해난(海難), 부주의, 고의, 파손, 기타 등 원인별 발생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통계(%)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 2021년 해양 기름유출 사고 원인은 ‘해난 71건,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199.8kl / 부주의 95건, 37.5kl / 고의 6건, 0.9kl /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파손 66건, 74.4kl / 기타 9건, 0.2kl’로 ‘건수는 부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주의가 가장 많았으며, 유출량은 해난이 가장 높았음’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배출원별 발생현황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화물선, 유조선, 어선, 해양 시설, 기타 등 배출원별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발생 통계(%)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 2021년 해양 기름유출 사고 배출원은 ‘화물선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28건, 121.7kl / 유조선 35건, 29.7kl / 어선 91건,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88.9kl / 기타선 54건 25.3kl / 해양시설 30건, 47kl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/ 기타 9건, 0.2kl’로 ‘건수는 어선이 가장 많았으며,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유출량은 화물선이 가장 높았음’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물질별 발생현황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중유, 경유, 선저폐수(Bilge), 기타 등 물질별 발생 통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계(%)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 2021년 해양 기름유출 사고 물질은 ‘중유 49건,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146.3kl / 경유 109건, 93.8kl / 선저폐수 30건,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14.2kl / 기타유 43건 4.6kl / 폐기물 15건, 53.9톤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/ 유해물질 1건, 0.0kl’로 ‘건수는 경유가 가장 많았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으며, 유출량은 중유가 가장 높았음’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사고 발생 해역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사고 발생 해역의 거리(연안, 내해, 해상 - 구분)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사고 발생 영역의 경우, 실제 통계 자료가 없다면 작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업자의 경험 및 주관에 의한 자문조사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 기름유출 사고의 경우, 연안(항만 포함) 80% 이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상 비중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작업 비용 산정 기준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오염자 부담 원칙(PPP)에 따른 작업(방제) 비용 부과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기준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국내의 경우, ‘해양경찰청 예규 – 방제 비용 부과/징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수 규칙’에 따라 ‘투입 장비·인력·시간·선박·차량 등’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세부 내역에 대한 비용이 정량화되어 있으며, 작업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내역을 통해 오염자에게 전달됨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작업 형태 및 인원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  (장비 가동률, 평균 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흡착제 소모량)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고빈도 작업 형태(유회수기/유흡착제/유처리제 등)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및 투입 인원(기관/민간 등)의 전문성 여부(전문 교육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이수 또는 정기적 훈련 등)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유회수기 연간 평균 가동률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유흡착제 평균 소모량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국내의 경우, 유흡착제가 작업의 90% 가량을 차지하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고 있으며, 연안 기준 100L 유출당 평균적으로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36.33kg의 유흡착제가 투입되고 있음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작업은 해양경찰, 해양환경공단(전문가)부터 민간 방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제 기업(비전문가)까지 다양하나, 대체로 전문가의 투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입이 불가피함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유회수기의 연간 평균 가동률은 10% 미만(해양환경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공단 관계자 인터뷰 내용)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산업재해 발생 건수 및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케이스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근 3~5년 방제 현장 산업재해 발생 건수 및 케이스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 2021년 해양 방제 현장 산업재해의 경우, ‘선박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내 미끌림 15건’, ‘유회수기 회수 도중 충돌 1건’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기관별 장비 보유 현황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유회수기(종류별), 유흡착제, 방제선(Ton 및 기능별)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등 기관별 장비 보유 현황 국가 통계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  (세부 및 합계)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해양경찰의 경우, ‘방제선(중형) 25척 / 방제선(소형)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18척 / 유회수기 141대 / 유흡착제 190,757kg 보유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해양환경공단의 경우, ’방제선(중형) 36척 / 방제선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(소형) 39척 / 유회수기 227대 / 유흡착제 60,664kg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보유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* 세부 내용 전달이 어려울 경우, ‘유회수기 기종에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따른 보유 현황’을 전달 받기 원함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FFF7CC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방제 작업 중단 경우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우천, 야간, 파고 등 방제 작업 중단의 경우와 그 정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도(Lv./강수량 등)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국내의 경우, 대형사고가 아니라면 오후 5시 이후 작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업 중단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우천 시, 작업 관리자의 판단하에 작업 중단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파고 0.5m(Seastate Lv. 3) 이상 작업 중단 등</w:t>
            </w:r>
          </w:p>
        </w:tc>
      </w:tr>
      <w:tr>
        <w:trPr/>
        <w:tc>
          <w:tcPr>
            <w:tcW w:type="dxa" w:w="818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CDF2E4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기술 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피드백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(영상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내용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확인)</w:t>
            </w:r>
          </w:p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무선·원격 조종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무선(Wireless) 및 원격 조종에 대한 작업자 의견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최대 작업 반경 1km일 경우, 연안에서는 선박 동원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이 필요치 않게 될 수 있음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크레인 활용 과정 감축으로 산업재해 위험성을 줄일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수 있을 것으로 사료됨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해상 통신의 전달 속도가 우려스러움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CDF2E4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대시보드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기체·환경·수질 정보에 대한 관제 수요 및 ‘작업 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작업 정보를 자동으로 사용자의 메일에 발송하는 시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스템’에 대한 수요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작업 후 데이터가 자동으로 정리되어 메일로 받아볼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수 있다면, 관련한 작업 시간(1시간 가량)이 상당히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단축될 것으로 사료됨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CDF2E4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LARS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  (Launch And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Recovery System)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전자석 모듈, 간이포터블에 대한 영상 확인 및 편의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성·실효성 의견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블루투스 방식으로 분리되는 전자석 모듈은 해양 방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제 로봇 외에도 구명보트, 물자 등을 내리는데 효용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성이 있을 것 같음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간이포터블은 연안에서 수면 위 장비를 내리기 적합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해보임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간이포터블은 항만에서 활용하기에 ~한 개선사항이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보임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CDF2E4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All in One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조립 과정에 대한 불편 및 올인원 제품에 대한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의견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유회수기의 경우 크게 ‘회수부, 작동 펌프, 송유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관’의 3단 구성으로, 이에 대한 불편 사항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유회수기의 경우, 조립과정이 필요하며 개별 장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비의 무게가 각 100kg 가량으로 차량 이송부터 조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립, 선박 선적까지 평균 ~분이 소요되는데, 해당 시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간을 단축 시킬 수 있을 것 같음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CDF2E4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2차 공정 생략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회수 기름 함수율에 따라 진행되는 2차 공정(유수분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리)의 생략에 대한 현장 근로자 의견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2차 공정 생략에 따른 부수 효과(경제, 환경) 자문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유회수기의 경우, 파도·조류·우천 등 해상 상황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에 따라 회수 기름의 함수율이 80% 가량 상승하여,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~% 정도는 반드시 회수기름과 해수를 분리하는 2차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공정을 거쳐야함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2차 공정의 비용은 ~정도이며, 소요되는 시간과 인력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은 ~정도, 해당 기술을 통해 2차 공정을 생략하게 된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다면 이 비용과 인력, 시간을 줄일 수 있을 것으로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사료됨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CDF2E4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전기 배터리 활용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유압식 유회수기의 소음·매연 문제에 대한 의견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전기 배터리 활용 제품에 대한 편의·실효성 자문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유회수기의 경우, 유압식 모터를 활용하여 현장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에서 고성(高聲)을 내지 않으면 의사소통에 어려움이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있음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낙후된 모터의 경우, 다량의 매연을 발생시켜 호흡에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불편함이 있음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CDF2E4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다수 기체 활용 편의성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 방식(1기 1선박 1크레인)의 한계점 및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문제점 의견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1인 1기 운용 방식에 대한 실효성 및 편의성 자문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유회수기의 경우, 별도의 추진체가 없어 반드시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크레인에 걸린 상태로만 작업이 가능하여, 다수의 기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체가 투입되는 대규모 작업에서는 반드시 다수의 선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박과 인력이 동원됨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본 제품의 경우, 전자석 모듈·무선 조종 등의 기술로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한 선박에서 한 크레인을 통해 다수의 기체를 투입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가능하여 범용성이 있어 보임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다수의 기체를 활용할 경우, 작업자 간의 조율을 통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 충돌 등을 방지할 필요성이 있어보임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fill="CDF2E4"/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선저폐수(Bilge) 제거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기술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기존의 점도 의존 회수 방식(디스크, 브러쉬, 벨트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등)과 달리, 선저폐수(저점도 유종)도 회수 가능한 기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술에 대한 실효성 자문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유회수기의 경우, 유종(油種) 간 점도 차이에 의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 사고에 따라 다른 제품을 투입하여, 이에 대한 불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편함·비효율성 등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국내의 경우, 선저폐수 유출량은 30건, 14,200L 가량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유출되어 전체 유출 사고의 12% 정도를 차지함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 및 유흡착제의 경우, ‘기름의 점도에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의존하여 회수하는 방식’으로 선저폐수와 같이 ‘저점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도 기름’에 대한 회수가 어려움</w:t>
            </w:r>
          </w:p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본 제품의 경우, 해당 한계점을 극복할 수 있을 것으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로 보임 등</w:t>
            </w:r>
          </w:p>
        </w:tc>
      </w:tr>
      <w:tr>
        <w:trPr/>
        <w:tc>
          <w:tcPr>
            <w:tcW w:type="dxa" w:w="818"/>
            <w:vAlign w:val="center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27" w:before="0" w:after="0"/>
              <w:pageBreakBefore w:val="0"/>
              <w:ind w:left="0" w:hanging="0"/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</w:pP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자율 </w:t>
            </w:r>
            <w:r>
              <w:rPr>
                <w:spacing w:val="0"/>
                <w:b w:val="1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기제</w:t>
            </w:r>
          </w:p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유회수기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유회수기에 대한 불편사항 또는 한계점, 개선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요구 등 자율 기제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위 항목 외 기존 유회수기를 활용한 작업 시, 불편·한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계·비효율 상황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유흡착제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기존 유흡착제 작업에 대한 불편사항 또는 한계점,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개선 요구 등 자율 기제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위 항목 외 기존 유흡착제를 활용한 작업 시, 불편·한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계·비효율 상황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사고 대응 현장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사고 대응 현장에 대한 자율 기제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위 항목 외 기존 사고 대응 현장에 대한 특징·이슈·기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술을 통한 개선 요구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해양 방제 로봇</w:t>
            </w:r>
          </w:p>
          <w:p>
            <w:pPr>
              <w:pStyle w:val="PO1"/>
              <w:numPr>
                <w:ilvl w:val="0"/>
                <w:numId w:val="0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  (Sheco Ark)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해양 방제 로봇 영상 및 기술에 대한 자율 기제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위 항목 외 영상을 통해 확인된 특이점·우려·장점 등</w:t>
            </w:r>
          </w:p>
        </w:tc>
      </w:tr>
      <w:tr>
        <w:trPr/>
        <w:tc>
          <w:tcPr>
            <w:tcW w:type="dxa" w:w="818"/>
            <w:vAlign w:val="center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type="dxa" w:w="246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>기타</w:t>
            </w:r>
          </w:p>
        </w:tc>
        <w:tc>
          <w:tcPr>
            <w:tcW w:type="dxa" w:w="5220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기타 자율 기제</w:t>
            </w:r>
          </w:p>
        </w:tc>
        <w:tc>
          <w:tcPr>
            <w:tcW w:type="dxa" w:w="5221"/>
            <w:vAlign w:val="center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O1"/>
              <w:numPr>
                <w:ilvl w:val="0"/>
                <w:numId w:val="2"/>
              </w:numPr>
              <w:jc w:val="both"/>
              <w:spacing w:lineRule="auto" w:line="227" w:before="0" w:after="0"/>
              <w:pageBreakBefore w:val="0"/>
              <w:ind w:left="0" w:hanging="0"/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wordWrap w:val="off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함초롬바탕" w:eastAsia="함초롬바탕" w:hAnsi="함초롬바탕" w:hint="default"/>
              </w:rPr>
              <w:t xml:space="preserve">위 항목 외 기타 기술·현장·처리 등의 이슈 사항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함초롬바탕" w:eastAsia="함초롬바탕" w:hAnsi="함초롬바탕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함초롬바탕" w:eastAsia="함초롬바탕" w:hAnsi="함초롬바탕" w:hint="default"/>
        </w:rPr>
        <w:wordWrap w:val="off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ind w:left="0" w:hanging="0"/>
        <w:rPr>
          <w:spacing w:val="0"/>
          <w:shadow w:val="0"/>
          <w:color w:val="000000"/>
          <w:sz w:val="20"/>
          <w:szCs w:val="20"/>
          <w:rFonts w:ascii="함초롬바탕" w:eastAsia="함초롬바탕" w:hAnsi="함초롬바탕" w:hint="default"/>
        </w:rPr>
        <w:wordWrap w:val="off"/>
      </w:pPr>
    </w:p>
    <w:sectPr>
      <w15:footnoteColumns w:val="1"/>
      <w:footnotePr>
        <w:numFmt w:val="decimal"/>
        <w:numRestart/>
        <w:numStart w:val="1"/>
        <w:pos w:val="pageBottom"/>
      </w:footnotePr>
      <w:endnotePr>
        <w:numFmt w:val="decimal"/>
        <w:numRestart/>
        <w:numStart w:val="1"/>
        <w:pos w:val="docEnd"/>
      </w:endnotePr>
      <w:pgSz w:w="16838" w:h="11906" w:orient="landscape"/>
      <w:pgMar w:top="1134" w:left="1701" w:bottom="1700" w:right="1701" w:header="1134" w:footer="850" w:gutter="0"/>
      <w:pgNumType w:fmt="decimal"/>
      <w:pgBorders w:display="allPages" w:offsetFrom="text" w:zOrder="back">
        <w:top w:val="nil" w:sz="2" w:space="14" w:color="000000"/>
        <w:left w:val="nil" w:sz="2" w:space="14" w:color="000000"/>
        <w:bottom w:val="nil" w:sz="2" w:space="14" w:color="000000"/>
        <w:right w:val="nil" w:sz="2" w:space="14" w:color="000000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4AF41588"/>
    <w:lvl w:ilvl="0">
      <w:lvlJc w:val="left"/>
      <w:numFmt w:val="decimalHalfWidth"/>
      <w:start w:val="1"/>
      <w:suff w:val="space"/>
      <w:rPr>
        <w:color w:val="000000"/>
        <w:sz w:val="20"/>
        <w:szCs w:val="20"/>
        <w:rFonts w:ascii="Times New Roman" w:eastAsia="Times New Roman" w:hAnsi="Times New Roman" w:hint="default"/>
      </w:rPr>
      <w:lvlText w:val="%1."/>
    </w:lvl>
    <w:lvl w:ilvl="1">
      <w:lvlJc w:val="left"/>
      <w:numFmt w:val="decimalHalfWidth"/>
      <w:start w:val="1"/>
      <w:suff w:val="space"/>
      <w:rPr>
        <w:color w:val="000000"/>
        <w:sz w:val="20"/>
        <w:szCs w:val="20"/>
        <w:rFonts w:ascii="Times New Roman" w:eastAsia="Times New Roman" w:hAnsi="Times New Roman" w:hint="default"/>
      </w:rPr>
      <w:lvlText w:val="%1.^2."/>
    </w:lvl>
    <w:lvl w:ilvl="2">
      <w:lvlJc w:val="left"/>
      <w:numFmt w:val="decimalHalfWidth"/>
      <w:start w:val="1"/>
      <w:suff w:val="space"/>
      <w:rPr>
        <w:color w:val="000000"/>
        <w:sz w:val="20"/>
        <w:szCs w:val="20"/>
        <w:rFonts w:ascii="Times New Roman" w:eastAsia="Times New Roman" w:hAnsi="Times New Roman" w:hint="default"/>
      </w:rPr>
      <w:lvlText w:val="%1.^2.^3."/>
    </w:lvl>
    <w:lvl w:ilvl="3">
      <w:lvlJc w:val="left"/>
      <w:numFmt w:val="decimalHalfWidth"/>
      <w:start w:val="1"/>
      <w:suff w:val="space"/>
      <w:rPr>
        <w:color w:val="000000"/>
        <w:sz w:val="20"/>
        <w:szCs w:val="20"/>
        <w:rFonts w:ascii="Times New Roman" w:eastAsia="Times New Roman" w:hAnsi="Times New Roman" w:hint="default"/>
      </w:rPr>
      <w:lvlText w:val="%1.^2.^3.^4."/>
    </w:lvl>
    <w:lvl w:ilvl="4">
      <w:lvlJc w:val="left"/>
      <w:numFmt w:val="decimalHalfWidth"/>
      <w:start w:val="1"/>
      <w:suff w:val="space"/>
      <w:rPr>
        <w:color w:val="000000"/>
        <w:sz w:val="20"/>
        <w:szCs w:val="20"/>
        <w:rFonts w:ascii="Times New Roman" w:eastAsia="Times New Roman" w:hAnsi="Times New Roman" w:hint="default"/>
      </w:rPr>
      <w:lvlText w:val="%1.^2.^3.^4.^5."/>
    </w:lvl>
    <w:lvl w:ilvl="5">
      <w:lvlJc w:val="left"/>
      <w:numFmt w:val="decimalHalfWidth"/>
      <w:start w:val="1"/>
      <w:suff w:val="space"/>
      <w:rPr>
        <w:color w:val="000000"/>
        <w:sz w:val="20"/>
        <w:szCs w:val="20"/>
        <w:rFonts w:ascii="Times New Roman" w:eastAsia="Times New Roman" w:hAnsi="Times New Roman" w:hint="default"/>
      </w:rPr>
      <w:lvlText w:val="%1.^2.^3.^4.^5.^6."/>
    </w:lvl>
    <w:lvl w:ilvl="6">
      <w:lvlJc w:val="left"/>
      <w:numFmt w:val="decimalHalfWidth"/>
      <w:start w:val="1"/>
      <w:suff w:val="space"/>
      <w:rPr>
        <w:color w:val="000000"/>
        <w:sz w:val="20"/>
        <w:szCs w:val="20"/>
        <w:rFonts w:ascii="Times New Roman" w:eastAsia="Times New Roman" w:hAnsi="Times New Roman" w:hint="default"/>
      </w:rPr>
      <w:lvlText w:val="%1.^2.^3.^4.^5.^6.^7."/>
    </w:lvl>
  </w:abstractNum>
  <w:abstractNum w:abstractNumId="1">
    <w:multiLevelType w:val="hybridMultilevel"/>
    <w:nsid w:val="2F000001"/>
    <w:tmpl w:val="44B1CB16"/>
    <w:lvl w:ilvl="0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  <w:lvl w:ilvl="1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  <w:lvl w:ilvl="2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  <w:lvl w:ilvl="3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  <w:lvl w:ilvl="4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  <w:lvl w:ilvl="5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  <w:lvl w:ilvl="6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  <w:lvl w:ilvl="7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  <w:lvl w:ilvl="8">
      <w:lvlJc w:val="left"/>
      <w:numFmt w:val="bullet"/>
      <w:start w:val="1"/>
      <w:suff w:val="space"/>
      <w:rPr>
        <w:spacing w:val="0"/>
        <w:shadow w:val="0"/>
        <w:color w:val="000000"/>
        <w:sz w:val="20"/>
        <w:szCs w:val="20"/>
        <w:rFonts w:ascii="함초롬바탕" w:eastAsia="함초롬바탕" w:hAnsi="함초롬바탕" w:hint="default"/>
      </w:rPr>
      <w:lvlText w:val="-"/>
    </w:lvl>
  </w:abstractNum>
  <w:num w:numId="1">
    <w:abstractNumId w:val="1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/>
    <w:rPr>
      <w:color w:val="auto"/>
      <w:sz w:val="22"/>
      <w:szCs w:val="22"/>
      <w:shd w:val="clear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/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임기현</dc:creator>
  <cp:lastModifiedBy>Xan Knot</cp:lastModifiedBy>
  <dc:title>현장 기관 및 근로자 질문지</dc:title>
  <dc:subject/>
  <dcterms:modified xsi:type="dcterms:W3CDTF">2022-05-30T11:34:13Z</dcterms:modified>
</cp:coreProperties>
</file>