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jc w:val="center"/>
      </w:pPr>
      <w:r>
        <w:rPr>
          <w:rFonts w:ascii="Cambria" w:cs="Cambria" w:eastAsia="Cambria" w:hAnsi="Cambria"/>
          <w:color w:val="7A5C00"/>
          <w:spacing w:val="40"/>
          <w:sz w:val="48"/>
          <w:szCs w:val="48"/>
        </w:rPr>
        <w:t xml:space="preserve">APPENDIX C</w:t>
      </w:r>
    </w:p>
    <w:p>
      <w:pPr>
        <w:spacing w:after="80" w:before="60" w:line="384" w:lineRule="auto"/>
        <w:jc w:val="center"/>
      </w:pPr>
      <w:r>
        <w:rPr>
          <w:rFonts w:ascii="Cambria" w:cs="Cambria" w:eastAsia="Cambria" w:hAnsi="Cambria"/>
          <w:b/>
          <w:bCs/>
          <w:i w:val="false"/>
          <w:iCs w:val="false"/>
          <w:strike w:val="false"/>
          <w:color w:val="8B6914"/>
          <w:sz w:val="24"/>
          <w:szCs w:val="24"/>
        </w:rPr>
        <w:t xml:space="preserve">Guardian State Tables</w:t>
      </w:r>
    </w:p>
    <w:p>
      <w:pPr>
        <w:spacing w:after="240" w:before="60" w:line="384" w:lineRule="auto"/>
        <w:jc w:val="both"/>
      </w:pPr>
      <w:r>
        <w:rPr>
          <w:rFonts w:ascii="Cambria" w:cs="Cambria" w:eastAsia="Cambria" w:hAnsi="Cambria"/>
          <w:b w:val="false"/>
          <w:bCs w:val="false"/>
          <w:i/>
          <w:iCs/>
          <w:strike w:val="false"/>
          <w:color w:val="000000"/>
          <w:sz w:val="24"/>
          <w:szCs w:val="24"/>
        </w:rPr>
        <w:t xml:space="preserve">Complete Path-Level Configuration of the Five Guardian Domains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Companion to Appendix B: The 96-Path Mathematical Model</w:t>
      </w:r>
    </w:p>
    <w:p>
      <w:pPr>
        <w:pBdr>
          <w:bottom w:val="single" w:color="C9A84C" w:sz="6"/>
        </w:pBdr>
        <w:spacing w:after="240" w:before="240"/>
      </w:pPr>
    </w:p>
    <w:p>
      <w:pPr>
        <w:pStyle w:val="Heading2"/>
        <w:spacing w:after="100" w:before="480" w:line="312" w:lineRule="auto"/>
      </w:pPr>
      <w:r>
        <w:rPr>
          <w:rFonts w:ascii="Cambria" w:cs="Cambria" w:eastAsia="Cambria" w:hAnsi="Cambria"/>
          <w:color w:val="8B6914"/>
          <w:sz w:val="36"/>
          <w:szCs w:val="36"/>
        </w:rPr>
        <w:t xml:space="preserve">C.1   Introduction to the Guardian State Tables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Appendix B defines the mathematical architecture of the 96-Path system, this appendix presents the detailed state configuration of each Guardian's domain. The five Guardians — Lion, Phoenix, Dragon, Owl, and Raven — each govern a contiguous arc of the 360° lattice. The tables that follow enumerate every path within each domain, its polarity, state value, triad membership, and hexagram affiliation, providing a complete operational reference for the Codex practitioner.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Each Guardian State Table is organized according to the following column schema: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Column</w:t>
            </w:r>
          </w:p>
        </w:tc>
        <w:tc>
          <w:tcPr>
            <w:tcW w:type="pct" w:w="78%"/>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Description</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Path #</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Sequential index (1–96) identifying the path's position within the full Codex lattice.</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Path Name</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ceremonial designation assigned to each path, encoding its symbolic function.</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Angular Position (°)</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path's precise location on the 360° circle, measured in degrees from the origin (0°).</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State Value</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numerical charge of the path: +1 (ascending), −1 (descending), or 0 (neutral/dormant).</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Polarity</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qualitative classification: </w:t>
            </w:r>
            <w:r>
              <w:rPr>
                <w:rFonts w:ascii="Cambria" w:cs="Cambria" w:eastAsia="Cambria" w:hAnsi="Cambria"/>
                <w:b w:val="false"/>
                <w:bCs w:val="false"/>
                <w:i/>
                <w:iCs/>
                <w:strike w:val="false"/>
                <w:color w:val="000000"/>
                <w:sz w:val="24"/>
                <w:szCs w:val="24"/>
              </w:rPr>
              <w:t xml:space="preserve">Angelu</w:t>
            </w:r>
            <w:r>
              <w:rPr>
                <w:rFonts w:ascii="Cambria" w:cs="Cambria" w:eastAsia="Cambria" w:hAnsi="Cambria"/>
                <w:b w:val="false"/>
                <w:bCs w:val="false"/>
                <w:i w:val="false"/>
                <w:iCs w:val="false"/>
                <w:strike w:val="false"/>
                <w:color w:val="000000"/>
                <w:sz w:val="24"/>
                <w:szCs w:val="24"/>
              </w:rPr>
              <w:t xml:space="preserve"> (+1), </w:t>
            </w:r>
            <w:r>
              <w:rPr>
                <w:rFonts w:ascii="Cambria" w:cs="Cambria" w:eastAsia="Cambria" w:hAnsi="Cambria"/>
                <w:b w:val="false"/>
                <w:bCs w:val="false"/>
                <w:i/>
                <w:iCs/>
                <w:strike w:val="false"/>
                <w:color w:val="000000"/>
                <w:sz w:val="24"/>
                <w:szCs w:val="24"/>
              </w:rPr>
              <w:t xml:space="preserve">Deminu</w:t>
            </w:r>
            <w:r>
              <w:rPr>
                <w:rFonts w:ascii="Cambria" w:cs="Cambria" w:eastAsia="Cambria" w:hAnsi="Cambria"/>
                <w:b w:val="false"/>
                <w:bCs w:val="false"/>
                <w:i w:val="false"/>
                <w:iCs w:val="false"/>
                <w:strike w:val="false"/>
                <w:color w:val="000000"/>
                <w:sz w:val="24"/>
                <w:szCs w:val="24"/>
              </w:rPr>
              <w:t xml:space="preserve"> (−1), </w:t>
            </w:r>
            <w:r>
              <w:rPr>
                <w:rFonts w:ascii="Cambria" w:cs="Cambria" w:eastAsia="Cambria" w:hAnsi="Cambria"/>
                <w:b w:val="false"/>
                <w:bCs w:val="false"/>
                <w:i/>
                <w:iCs/>
                <w:strike w:val="false"/>
                <w:color w:val="000000"/>
                <w:sz w:val="24"/>
                <w:szCs w:val="24"/>
              </w:rPr>
              <w:t xml:space="preserve">Neutral</w:t>
            </w:r>
            <w:r>
              <w:rPr>
                <w:rFonts w:ascii="Cambria" w:cs="Cambria" w:eastAsia="Cambria" w:hAnsi="Cambria"/>
                <w:b w:val="false"/>
                <w:bCs w:val="false"/>
                <w:i w:val="false"/>
                <w:iCs w:val="false"/>
                <w:strike w:val="false"/>
                <w:color w:val="000000"/>
                <w:sz w:val="24"/>
                <w:szCs w:val="24"/>
              </w:rPr>
              <w:t xml:space="preserve"> (active 0), or </w:t>
            </w:r>
            <w:r>
              <w:rPr>
                <w:rFonts w:ascii="Cambria" w:cs="Cambria" w:eastAsia="Cambria" w:hAnsi="Cambria"/>
                <w:b w:val="false"/>
                <w:bCs w:val="false"/>
                <w:i/>
                <w:iCs/>
                <w:strike w:val="false"/>
                <w:color w:val="000000"/>
                <w:sz w:val="24"/>
                <w:szCs w:val="24"/>
              </w:rPr>
              <w:t xml:space="preserve">Dormant</w:t>
            </w:r>
            <w:r>
              <w:rPr>
                <w:rFonts w:ascii="Cambria" w:cs="Cambria" w:eastAsia="Cambria" w:hAnsi="Cambria"/>
                <w:b w:val="false"/>
                <w:bCs w:val="false"/>
                <w:i w:val="false"/>
                <w:iCs w:val="false"/>
                <w:strike w:val="false"/>
                <w:color w:val="000000"/>
                <w:sz w:val="24"/>
                <w:szCs w:val="24"/>
              </w:rPr>
              <w:t xml:space="preserve"> (latent 0).</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Status</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Operational state: </w:t>
            </w:r>
            <w:r>
              <w:rPr>
                <w:rFonts w:ascii="Cambria" w:cs="Cambria" w:eastAsia="Cambria" w:hAnsi="Cambria"/>
                <w:b w:val="false"/>
                <w:bCs w:val="false"/>
                <w:i/>
                <w:iCs/>
                <w:strike w:val="false"/>
                <w:color w:val="000000"/>
                <w:sz w:val="24"/>
                <w:szCs w:val="24"/>
              </w:rPr>
              <w:t xml:space="preserve">Active</w:t>
            </w:r>
            <w:r>
              <w:rPr>
                <w:rFonts w:ascii="Cambria" w:cs="Cambria" w:eastAsia="Cambria" w:hAnsi="Cambria"/>
                <w:b w:val="false"/>
                <w:bCs w:val="false"/>
                <w:i w:val="false"/>
                <w:iCs w:val="false"/>
                <w:strike w:val="false"/>
                <w:color w:val="000000"/>
                <w:sz w:val="24"/>
                <w:szCs w:val="24"/>
              </w:rPr>
              <w:t xml:space="preserve"> (contributing to domain dynamics) or </w:t>
            </w:r>
            <w:r>
              <w:rPr>
                <w:rFonts w:ascii="Cambria" w:cs="Cambria" w:eastAsia="Cambria" w:hAnsi="Cambria"/>
                <w:b w:val="false"/>
                <w:bCs w:val="false"/>
                <w:i/>
                <w:iCs/>
                <w:strike w:val="false"/>
                <w:color w:val="000000"/>
                <w:sz w:val="24"/>
                <w:szCs w:val="24"/>
              </w:rPr>
              <w:t xml:space="preserve">Dormant</w:t>
            </w:r>
            <w:r>
              <w:rPr>
                <w:rFonts w:ascii="Cambria" w:cs="Cambria" w:eastAsia="Cambria" w:hAnsi="Cambria"/>
                <w:b w:val="false"/>
                <w:bCs w:val="false"/>
                <w:i w:val="false"/>
                <w:iCs w:val="false"/>
                <w:strike w:val="false"/>
                <w:color w:val="000000"/>
                <w:sz w:val="24"/>
                <w:szCs w:val="24"/>
              </w:rPr>
              <w:t xml:space="preserve"> (latent, awaiting activation).</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Triad</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three-path grouping (Triads 1–32) to which the path belongs.</w:t>
            </w:r>
          </w:p>
        </w:tc>
      </w:tr>
      <w:tr>
        <w:trPr>
          <w:tblHeader w:val="false"/>
        </w:trPr>
        <w:tc>
          <w:tcPr>
            <w:tcW w:type="pct" w:w="22%"/>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Hexagram</w:t>
            </w:r>
          </w:p>
        </w:tc>
        <w:tc>
          <w:tcPr>
            <w:tcW w:type="pct" w:w="78%"/>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The six-path hexagram (I–XVI) encompassing the path, given in Roman numerals.</w:t>
            </w:r>
          </w:p>
        </w:tc>
      </w:tr>
    </w:tbl>
    <w:p>
      <w:pPr>
        <w:spacing w:after="200" w:before="0"/>
      </w:pPr>
    </w:p>
    <w:p>
      <w:pPr>
        <w:pStyle w:val="Heading2"/>
        <w:spacing w:after="100" w:before="480" w:line="312" w:lineRule="auto"/>
      </w:pPr>
      <w:r>
        <w:rPr>
          <w:rFonts w:ascii="Cambria" w:cs="Cambria" w:eastAsia="Cambria" w:hAnsi="Cambria"/>
          <w:color w:val="8B6914"/>
          <w:sz w:val="36"/>
          <w:szCs w:val="36"/>
        </w:rPr>
        <w:t xml:space="preserve">C.2   Lion the Sovereign — Domain Table</w:t>
      </w:r>
    </w:p>
    <w:p>
      <w:pPr>
        <w:pBdr>
          <w:top w:val="single" w:color="C9A84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AF3E0" w:color="auto" w:val="clear"/>
            <w:tcMar>
              <w:top w:type="dxa" w:w="150"/>
              <w:left w:type="dxa" w:w="210"/>
              <w:bottom w:type="dxa" w:w="150"/>
              <w:right w:type="dxa" w:w="210"/>
            </w:tcMar>
          </w:tcPr>
          <w:p>
            <w:pPr>
              <w:spacing w:after="120" w:line="408" w:lineRule="auto"/>
            </w:pPr>
            <w:r>
              <w:t xml:space="preserve">Guardian:</w:t>
            </w:r>
          </w:p>
          <w:p>
            <w:pPr>
              <w:spacing w:after="120" w:line="408" w:lineRule="auto"/>
            </w:pPr>
            <w:r>
              <w:t xml:space="preserve">Lion the Sovereign</w:t>
            </w:r>
          </w:p>
          <w:p>
            <w:pPr>
              <w:spacing w:after="120" w:line="408" w:lineRule="auto"/>
            </w:pPr>
            <w:r>
              <w:t xml:space="preserve">|</w:t>
            </w:r>
          </w:p>
          <w:p>
            <w:pPr>
              <w:spacing w:after="120" w:line="408" w:lineRule="auto"/>
            </w:pPr>
            <w:r>
              <w:t xml:space="preserve">Domain:</w:t>
            </w:r>
          </w:p>
          <w:p>
            <w:pPr>
              <w:spacing w:after="120" w:line="408" w:lineRule="auto"/>
            </w:pPr>
            <w:r>
              <w:t xml:space="preserve">0°–67.5°</w:t>
            </w:r>
          </w:p>
          <w:p>
            <w:pPr>
              <w:spacing w:after="120" w:line="408" w:lineRule="auto"/>
            </w:pPr>
            <w:r>
              <w:t xml:space="preserve">|</w:t>
            </w:r>
          </w:p>
          <w:p>
            <w:pPr>
              <w:spacing w:after="120" w:line="408" w:lineRule="auto"/>
            </w:pPr>
            <w:r>
              <w:t xml:space="preserve">Angular Center:</w:t>
            </w:r>
          </w:p>
          <w:p>
            <w:pPr>
              <w:spacing w:after="120" w:line="408" w:lineRule="auto"/>
            </w:pPr>
            <w:r>
              <w:t xml:space="preserve">33.75°</w:t>
            </w:r>
          </w:p>
          <w:p>
            <w:pPr>
              <w:spacing w:after="120" w:line="408" w:lineRule="auto"/>
            </w:pPr>
            <w:r>
              <w:t xml:space="preserve">|</w:t>
            </w:r>
          </w:p>
          <w:p>
            <w:pPr>
              <w:spacing w:after="120" w:line="408" w:lineRule="auto"/>
            </w:pPr>
            <w:r>
              <w:t xml:space="preserve">Paths:</w:t>
            </w:r>
          </w:p>
          <w:p>
            <w:pPr>
              <w:spacing w:after="120" w:line="408" w:lineRule="auto"/>
            </w:pPr>
            <w:r>
              <w:t xml:space="preserve">1–19</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B96A" w:sz="6"/>
              <w:left w:val="single" w:color="D4B96A" w:sz="6"/>
              <w:bottom w:val="single" w:color="D4B96A" w:sz="6"/>
              <w:right w:val="single" w:color="D4B96A" w:sz="6"/>
            </w:tcBorders>
            <w:shd w:fill="FDF8ED" w:color="auto" w:val="clear"/>
            <w:tcMar>
              <w:top w:type="dxa" w:w="120"/>
              <w:left w:type="dxa" w:w="180"/>
              <w:bottom w:type="dxa" w:w="120"/>
              <w:right w:type="dxa" w:w="180"/>
            </w:tcMar>
          </w:tcPr>
          <w:p>
            <w:pPr>
              <w:spacing w:after="120" w:line="408" w:lineRule="auto"/>
            </w:pPr>
            <w:r>
              <w:t xml:space="preserve">Summary Statistics:</w:t>
            </w:r>
          </w:p>
          <w:p>
            <w:pPr>
              <w:spacing w:after="120" w:line="408" w:lineRule="auto"/>
            </w:pPr>
            <w:r>
              <w:t xml:space="preserve">19 total paths</w:t>
            </w:r>
          </w:p>
          <w:p>
            <w:pPr>
              <w:spacing w:after="120" w:line="408" w:lineRule="auto"/>
            </w:pPr>
            <w:r>
              <w:t xml:space="preserve">·</w:t>
            </w:r>
          </w:p>
          <w:p>
            <w:pPr>
              <w:spacing w:after="120" w:line="408" w:lineRule="auto"/>
            </w:pPr>
            <w:r>
              <w:t xml:space="preserve">18 active</w:t>
            </w:r>
          </w:p>
          <w:p>
            <w:pPr>
              <w:spacing w:after="120" w:line="408" w:lineRule="auto"/>
            </w:pPr>
            <w:r>
              <w:t xml:space="preserve">·</w:t>
            </w:r>
          </w:p>
          <w:p>
            <w:pPr>
              <w:spacing w:after="120" w:line="408" w:lineRule="auto"/>
            </w:pPr>
            <w:r>
              <w:t xml:space="preserve">1 dormant (Path 10: Sentinel)</w:t>
            </w:r>
          </w:p>
          <w:p>
            <w:pPr>
              <w:spacing w:after="120" w:line="408" w:lineRule="auto"/>
            </w:pPr>
            <w:r>
              <w:t xml:space="preserve">Polarity Distribution:</w:t>
            </w:r>
          </w:p>
          <w:p>
            <w:pPr>
              <w:spacing w:after="120" w:line="408" w:lineRule="auto"/>
            </w:pPr>
            <w:r>
              <w:t xml:space="preserve">8 Angelu</w:t>
            </w:r>
          </w:p>
          <w:p>
            <w:pPr>
              <w:spacing w:after="120" w:line="408" w:lineRule="auto"/>
            </w:pPr>
            <w:r>
              <w:t xml:space="preserve">·</w:t>
            </w:r>
          </w:p>
          <w:p>
            <w:pPr>
              <w:spacing w:after="120" w:line="408" w:lineRule="auto"/>
            </w:pPr>
            <w:r>
              <w:t xml:space="preserve">5 Deminu</w:t>
            </w:r>
          </w:p>
          <w:p>
            <w:pPr>
              <w:spacing w:after="120" w:line="408" w:lineRule="auto"/>
            </w:pPr>
            <w:r>
              <w:t xml:space="preserve">·</w:t>
            </w:r>
          </w:p>
          <w:p>
            <w:pPr>
              <w:spacing w:after="120" w:line="408" w:lineRule="auto"/>
            </w:pPr>
            <w:r>
              <w:t xml:space="preserve">5 Neutral</w:t>
            </w:r>
          </w:p>
          <w:p>
            <w:pPr>
              <w:spacing w:after="120" w:line="408" w:lineRule="auto"/>
            </w:pPr>
            <w:r>
              <w:t xml:space="preserve">·</w:t>
            </w:r>
          </w:p>
          <w:p>
            <w:pPr>
              <w:spacing w:after="120" w:line="408" w:lineRule="auto"/>
            </w:pPr>
            <w:r>
              <w:t xml:space="preserve">1 Dormant</w:t>
            </w:r>
          </w:p>
          <w:p>
            <w:pPr>
              <w:spacing w:after="120" w:line="408" w:lineRule="auto"/>
            </w:pPr>
            <w:r>
              <w:t xml:space="preserve">Net State:</w:t>
            </w:r>
          </w:p>
          <w:p>
            <w:pPr>
              <w:spacing w:after="120" w:line="408" w:lineRule="auto"/>
            </w:pPr>
            <w:r>
              <w:t xml:space="preserve">+3 (Angelu-lean)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7%"/>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Name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State</w:t>
            </w:r>
          </w:p>
        </w:tc>
        <w:tc>
          <w:tcPr>
            <w:tcW w:type="pct" w:w="15%"/>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Polarity</w:t>
            </w:r>
          </w:p>
        </w:tc>
        <w:tc>
          <w:tcPr>
            <w:tcW w:type="pct" w:w="15%"/>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Status</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Crown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Throne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Herald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Aegis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Vanguard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Standard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Bastion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Mandate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Forge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Sentinel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33.75°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5%"/>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Warden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Valor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Dominion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Rampart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Apex</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Sovereign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Garrison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Tribute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Vigilance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666666"/>
          <w:sz w:val="18"/>
          <w:szCs w:val="18"/>
        </w:rPr>
        <w:t xml:space="preserve">* Path 19 is the final Lion path but falls into Triad 7 and Hexagram IV, which are shared with the Phoenix domain — this constitutes a boundary overlap between Guardian territories.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AF4" w:color="auto" w:val="clear"/>
            <w:tcMar>
              <w:top w:type="dxa" w:w="160"/>
              <w:left w:type="dxa" w:w="240"/>
              <w:bottom w:type="dxa" w:w="160"/>
              <w:right w:type="dxa" w:w="240"/>
            </w:tcMar>
          </w:tcPr>
          <w:p>
            <w:pPr>
              <w:spacing w:after="120" w:line="408" w:lineRule="auto"/>
            </w:pPr>
            <w:r>
              <w:t xml:space="preserve">Domain Analysis:</w:t>
            </w:r>
          </w:p>
          <w:p>
            <w:pPr>
              <w:spacing w:after="120" w:line="408" w:lineRule="auto"/>
            </w:pPr>
            <w:r>
              <w:rPr>
                <w:i/>
                <w:iCs/>
              </w:rPr>
              <w:t xml:space="preserve">Lion's domain opens the Codex with the strongest Angelu concentration in its first two triads (Paths 1–6), establishing sovereign authority at the very origin of the circle. The domain's angular center (Path 10: Sentinel) is notably dormant — the Guardian's own heart lies latent, suggesting that sovereignty's deepest power remains unrealized. The latter half introduces Deminu counter-forces (Bastion, Forge, Dominion, Sovereign, Vigilance), creating internal tension within the domain and ensuring that even the seat of power is tempered by opposition.</w:t>
            </w:r>
          </w:p>
        </w:tc>
      </w:tr>
    </w:tbl>
    <w:p>
      <w:pPr>
        <w:spacing w:after="240" w:before="0"/>
      </w:pPr>
    </w:p>
    <w:p>
      <w:pPr>
        <w:pStyle w:val="Heading2"/>
        <w:spacing w:after="100" w:before="480" w:line="312" w:lineRule="auto"/>
      </w:pPr>
      <w:r>
        <w:rPr>
          <w:rFonts w:ascii="Cambria" w:cs="Cambria" w:eastAsia="Cambria" w:hAnsi="Cambria"/>
          <w:color w:val="8B6914"/>
          <w:sz w:val="36"/>
          <w:szCs w:val="36"/>
        </w:rPr>
        <w:t xml:space="preserve">C.3   Phoenix of Rebirth — Domain Table</w:t>
      </w:r>
    </w:p>
    <w:p>
      <w:pPr>
        <w:pBdr>
          <w:top w:val="single" w:color="C9A84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AF3E0" w:color="auto" w:val="clear"/>
            <w:tcMar>
              <w:top w:type="dxa" w:w="150"/>
              <w:left w:type="dxa" w:w="210"/>
              <w:bottom w:type="dxa" w:w="150"/>
              <w:right w:type="dxa" w:w="210"/>
            </w:tcMar>
          </w:tcPr>
          <w:p>
            <w:pPr>
              <w:spacing w:after="120" w:line="408" w:lineRule="auto"/>
            </w:pPr>
            <w:r>
              <w:t xml:space="preserve">Guardian:</w:t>
            </w:r>
          </w:p>
          <w:p>
            <w:pPr>
              <w:spacing w:after="120" w:line="408" w:lineRule="auto"/>
            </w:pPr>
            <w:r>
              <w:t xml:space="preserve">Phoenix of Rebirth</w:t>
            </w:r>
          </w:p>
          <w:p>
            <w:pPr>
              <w:spacing w:after="120" w:line="408" w:lineRule="auto"/>
            </w:pPr>
            <w:r>
              <w:t xml:space="preserve">|</w:t>
            </w:r>
          </w:p>
          <w:p>
            <w:pPr>
              <w:spacing w:after="120" w:line="408" w:lineRule="auto"/>
            </w:pPr>
            <w:r>
              <w:t xml:space="preserve">Domain:</w:t>
            </w:r>
          </w:p>
          <w:p>
            <w:pPr>
              <w:spacing w:after="120" w:line="408" w:lineRule="auto"/>
            </w:pPr>
            <w:r>
              <w:t xml:space="preserve">71.25°–142.5°</w:t>
            </w:r>
          </w:p>
          <w:p>
            <w:pPr>
              <w:spacing w:after="120" w:line="408" w:lineRule="auto"/>
            </w:pPr>
            <w:r>
              <w:t xml:space="preserve">|</w:t>
            </w:r>
          </w:p>
          <w:p>
            <w:pPr>
              <w:spacing w:after="120" w:line="408" w:lineRule="auto"/>
            </w:pPr>
            <w:r>
              <w:t xml:space="preserve">Angular Center:</w:t>
            </w:r>
          </w:p>
          <w:p>
            <w:pPr>
              <w:spacing w:after="120" w:line="408" w:lineRule="auto"/>
            </w:pPr>
            <w:r>
              <w:t xml:space="preserve">108.75°</w:t>
            </w:r>
          </w:p>
          <w:p>
            <w:pPr>
              <w:spacing w:after="120" w:line="408" w:lineRule="auto"/>
            </w:pPr>
            <w:r>
              <w:t xml:space="preserve">|</w:t>
            </w:r>
          </w:p>
          <w:p>
            <w:pPr>
              <w:spacing w:after="120" w:line="408" w:lineRule="auto"/>
            </w:pPr>
            <w:r>
              <w:t xml:space="preserve">Paths:</w:t>
            </w:r>
          </w:p>
          <w:p>
            <w:pPr>
              <w:spacing w:after="120" w:line="408" w:lineRule="auto"/>
            </w:pPr>
            <w:r>
              <w:t xml:space="preserve">20–38</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B96A" w:sz="6"/>
              <w:left w:val="single" w:color="D4B96A" w:sz="6"/>
              <w:bottom w:val="single" w:color="D4B96A" w:sz="6"/>
              <w:right w:val="single" w:color="D4B96A" w:sz="6"/>
            </w:tcBorders>
            <w:shd w:fill="FDF8ED" w:color="auto" w:val="clear"/>
            <w:tcMar>
              <w:top w:type="dxa" w:w="120"/>
              <w:left w:type="dxa" w:w="180"/>
              <w:bottom w:type="dxa" w:w="120"/>
              <w:right w:type="dxa" w:w="180"/>
            </w:tcMar>
          </w:tcPr>
          <w:p>
            <w:pPr>
              <w:spacing w:after="120" w:line="408" w:lineRule="auto"/>
            </w:pPr>
            <w:r>
              <w:t xml:space="preserve">Summary Statistics:</w:t>
            </w:r>
          </w:p>
          <w:p>
            <w:pPr>
              <w:spacing w:after="120" w:line="408" w:lineRule="auto"/>
            </w:pPr>
            <w:r>
              <w:t xml:space="preserve">19 total paths</w:t>
            </w:r>
          </w:p>
          <w:p>
            <w:pPr>
              <w:spacing w:after="120" w:line="408" w:lineRule="auto"/>
            </w:pPr>
            <w:r>
              <w:t xml:space="preserve">·</w:t>
            </w:r>
          </w:p>
          <w:p>
            <w:pPr>
              <w:spacing w:after="120" w:line="408" w:lineRule="auto"/>
            </w:pPr>
            <w:r>
              <w:t xml:space="preserve">17 active</w:t>
            </w:r>
          </w:p>
          <w:p>
            <w:pPr>
              <w:spacing w:after="120" w:line="408" w:lineRule="auto"/>
            </w:pPr>
            <w:r>
              <w:t xml:space="preserve">·</w:t>
            </w:r>
          </w:p>
          <w:p>
            <w:pPr>
              <w:spacing w:after="120" w:line="408" w:lineRule="auto"/>
            </w:pPr>
            <w:r>
              <w:t xml:space="preserve">2 dormant (Path 28: Ignition, Path 37: Transfiguration)</w:t>
            </w:r>
          </w:p>
          <w:p>
            <w:pPr>
              <w:spacing w:after="120" w:line="408" w:lineRule="auto"/>
            </w:pPr>
            <w:r>
              <w:t xml:space="preserve">Polarity Distribution:</w:t>
            </w:r>
          </w:p>
          <w:p>
            <w:pPr>
              <w:spacing w:after="120" w:line="408" w:lineRule="auto"/>
            </w:pPr>
            <w:r>
              <w:t xml:space="preserve">9 Angelu</w:t>
            </w:r>
          </w:p>
          <w:p>
            <w:pPr>
              <w:spacing w:after="120" w:line="408" w:lineRule="auto"/>
            </w:pPr>
            <w:r>
              <w:t xml:space="preserve">·</w:t>
            </w:r>
          </w:p>
          <w:p>
            <w:pPr>
              <w:spacing w:after="120" w:line="408" w:lineRule="auto"/>
            </w:pPr>
            <w:r>
              <w:t xml:space="preserve">4 Deminu</w:t>
            </w:r>
          </w:p>
          <w:p>
            <w:pPr>
              <w:spacing w:after="120" w:line="408" w:lineRule="auto"/>
            </w:pPr>
            <w:r>
              <w:t xml:space="preserve">·</w:t>
            </w:r>
          </w:p>
          <w:p>
            <w:pPr>
              <w:spacing w:after="120" w:line="408" w:lineRule="auto"/>
            </w:pPr>
            <w:r>
              <w:t xml:space="preserve">4 Neutral</w:t>
            </w:r>
          </w:p>
          <w:p>
            <w:pPr>
              <w:spacing w:after="120" w:line="408" w:lineRule="auto"/>
            </w:pPr>
            <w:r>
              <w:t xml:space="preserve">·</w:t>
            </w:r>
          </w:p>
          <w:p>
            <w:pPr>
              <w:spacing w:after="120" w:line="408" w:lineRule="auto"/>
            </w:pPr>
            <w:r>
              <w:t xml:space="preserve">2 Dormant</w:t>
            </w:r>
          </w:p>
          <w:p>
            <w:pPr>
              <w:spacing w:after="120" w:line="408" w:lineRule="auto"/>
            </w:pPr>
            <w:r>
              <w:t xml:space="preserve">Net State:</w:t>
            </w:r>
          </w:p>
          <w:p>
            <w:pPr>
              <w:spacing w:after="120" w:line="408" w:lineRule="auto"/>
            </w:pPr>
            <w:r>
              <w:t xml:space="preserve">+5 (strongest Angelu domain)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Name</w:t>
            </w:r>
          </w:p>
        </w:tc>
        <w:tc>
          <w:tcPr>
            <w:tcW w:type="pct" w:w="13%"/>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State</w:t>
            </w:r>
          </w:p>
        </w:tc>
        <w:tc>
          <w:tcPr>
            <w:tcW w:type="pct" w:w="13%"/>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Polarity</w:t>
            </w:r>
          </w:p>
        </w:tc>
        <w:tc>
          <w:tcPr>
            <w:tcW w:type="pct" w:w="13%"/>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Status</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12%"/>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Ember</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Pyre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Cinder</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Kindle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Crucible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Flare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Solstice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Radiance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Ignition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101.25°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3%"/>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Aurora</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Catalyst</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Tempering</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Ascension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Blaze</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34</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Renewal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35</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Immolation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36</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Dawn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37</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Transfiguration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3%"/>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38</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Phoenix Heart</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666666"/>
          <w:sz w:val="18"/>
          <w:szCs w:val="18"/>
        </w:rPr>
        <w:t xml:space="preserve">* Triad 13 and Hexagram VII are shared with the Dragon domain, constituting the Phoenix–Dragon boundary overlap.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AF4" w:color="auto" w:val="clear"/>
            <w:tcMar>
              <w:top w:type="dxa" w:w="160"/>
              <w:left w:type="dxa" w:w="240"/>
              <w:bottom w:type="dxa" w:w="160"/>
              <w:right w:type="dxa" w:w="240"/>
            </w:tcMar>
          </w:tcPr>
          <w:p>
            <w:pPr>
              <w:spacing w:after="120" w:line="408" w:lineRule="auto"/>
            </w:pPr>
            <w:r>
              <w:t xml:space="preserve">Domain Analysis:</w:t>
            </w:r>
          </w:p>
          <w:p>
            <w:pPr>
              <w:spacing w:after="120" w:line="408" w:lineRule="auto"/>
            </w:pPr>
            <w:r>
              <w:rPr>
                <w:i/>
                <w:iCs/>
              </w:rPr>
              <w:t xml:space="preserve">Phoenix carries the highest net Angelu charge (+5) of any Guardian domain, reflecting its nature as the force of rebirth and ascension. Triad 9 (Flare–Solstice–Radiance) is the only pure-Angelu triad in the entire Codex — a blazing triplet of unbroken ascending force. Both dormant paths (Ignition and Transfiguration) relate to transformative fire — the spark and the metamorphosis — suggesting that Phoenix's greatest alchemical powers await activation.</w:t>
            </w:r>
          </w:p>
        </w:tc>
      </w:tr>
    </w:tbl>
    <w:p>
      <w:pPr>
        <w:spacing w:after="240" w:before="0"/>
      </w:pPr>
    </w:p>
    <w:p>
      <w:pPr>
        <w:pStyle w:val="Heading2"/>
        <w:spacing w:after="100" w:before="480" w:line="312" w:lineRule="auto"/>
      </w:pPr>
      <w:r>
        <w:rPr>
          <w:rFonts w:ascii="Cambria" w:cs="Cambria" w:eastAsia="Cambria" w:hAnsi="Cambria"/>
          <w:color w:val="8B6914"/>
          <w:sz w:val="36"/>
          <w:szCs w:val="36"/>
        </w:rPr>
        <w:t xml:space="preserve">C.4   Dragon of Wisdom — Domain Table</w:t>
      </w:r>
    </w:p>
    <w:p>
      <w:pPr>
        <w:pBdr>
          <w:top w:val="single" w:color="C9A84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AF3E0" w:color="auto" w:val="clear"/>
            <w:tcMar>
              <w:top w:type="dxa" w:w="150"/>
              <w:left w:type="dxa" w:w="210"/>
              <w:bottom w:type="dxa" w:w="150"/>
              <w:right w:type="dxa" w:w="210"/>
            </w:tcMar>
          </w:tcPr>
          <w:p>
            <w:pPr>
              <w:spacing w:after="120" w:line="408" w:lineRule="auto"/>
            </w:pPr>
            <w:r>
              <w:t xml:space="preserve">Guardian:</w:t>
            </w:r>
          </w:p>
          <w:p>
            <w:pPr>
              <w:spacing w:after="120" w:line="408" w:lineRule="auto"/>
            </w:pPr>
            <w:r>
              <w:t xml:space="preserve">Dragon of Wisdom</w:t>
            </w:r>
          </w:p>
          <w:p>
            <w:pPr>
              <w:spacing w:after="120" w:line="408" w:lineRule="auto"/>
            </w:pPr>
            <w:r>
              <w:t xml:space="preserve">|</w:t>
            </w:r>
          </w:p>
          <w:p>
            <w:pPr>
              <w:spacing w:after="120" w:line="408" w:lineRule="auto"/>
            </w:pPr>
            <w:r>
              <w:t xml:space="preserve">Domain:</w:t>
            </w:r>
          </w:p>
          <w:p>
            <w:pPr>
              <w:spacing w:after="120" w:line="408" w:lineRule="auto"/>
            </w:pPr>
            <w:r>
              <w:t xml:space="preserve">142.5°–213.75°</w:t>
            </w:r>
          </w:p>
          <w:p>
            <w:pPr>
              <w:spacing w:after="120" w:line="408" w:lineRule="auto"/>
            </w:pPr>
            <w:r>
              <w:t xml:space="preserve">|</w:t>
            </w:r>
          </w:p>
          <w:p>
            <w:pPr>
              <w:spacing w:after="120" w:line="408" w:lineRule="auto"/>
            </w:pPr>
            <w:r>
              <w:t xml:space="preserve">Angular Center:</w:t>
            </w:r>
          </w:p>
          <w:p>
            <w:pPr>
              <w:spacing w:after="120" w:line="408" w:lineRule="auto"/>
            </w:pPr>
            <w:r>
              <w:t xml:space="preserve">176.25°</w:t>
            </w:r>
          </w:p>
          <w:p>
            <w:pPr>
              <w:spacing w:after="120" w:line="408" w:lineRule="auto"/>
            </w:pPr>
            <w:r>
              <w:t xml:space="preserve">|</w:t>
            </w:r>
          </w:p>
          <w:p>
            <w:pPr>
              <w:spacing w:after="120" w:line="408" w:lineRule="auto"/>
            </w:pPr>
            <w:r>
              <w:t xml:space="preserve">Paths:</w:t>
            </w:r>
          </w:p>
          <w:p>
            <w:pPr>
              <w:spacing w:after="120" w:line="408" w:lineRule="auto"/>
            </w:pPr>
            <w:r>
              <w:t xml:space="preserve">39–57</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B96A" w:sz="6"/>
              <w:left w:val="single" w:color="D4B96A" w:sz="6"/>
              <w:bottom w:val="single" w:color="D4B96A" w:sz="6"/>
              <w:right w:val="single" w:color="D4B96A" w:sz="6"/>
            </w:tcBorders>
            <w:shd w:fill="FDF8ED" w:color="auto" w:val="clear"/>
            <w:tcMar>
              <w:top w:type="dxa" w:w="120"/>
              <w:left w:type="dxa" w:w="180"/>
              <w:bottom w:type="dxa" w:w="120"/>
              <w:right w:type="dxa" w:w="180"/>
            </w:tcMar>
          </w:tcPr>
          <w:p>
            <w:pPr>
              <w:spacing w:after="120" w:line="408" w:lineRule="auto"/>
            </w:pPr>
            <w:r>
              <w:t xml:space="preserve">Summary Statistics:</w:t>
            </w:r>
          </w:p>
          <w:p>
            <w:pPr>
              <w:spacing w:after="120" w:line="408" w:lineRule="auto"/>
            </w:pPr>
            <w:r>
              <w:t xml:space="preserve">19 total paths</w:t>
            </w:r>
          </w:p>
          <w:p>
            <w:pPr>
              <w:spacing w:after="120" w:line="408" w:lineRule="auto"/>
            </w:pPr>
            <w:r>
              <w:t xml:space="preserve">·</w:t>
            </w:r>
          </w:p>
          <w:p>
            <w:pPr>
              <w:spacing w:after="120" w:line="408" w:lineRule="auto"/>
            </w:pPr>
            <w:r>
              <w:t xml:space="preserve">17 active</w:t>
            </w:r>
          </w:p>
          <w:p>
            <w:pPr>
              <w:spacing w:after="120" w:line="408" w:lineRule="auto"/>
            </w:pPr>
            <w:r>
              <w:t xml:space="preserve">·</w:t>
            </w:r>
          </w:p>
          <w:p>
            <w:pPr>
              <w:spacing w:after="120" w:line="408" w:lineRule="auto"/>
            </w:pPr>
            <w:r>
              <w:t xml:space="preserve">2 dormant (Path 46: Leviathan, Path 55: Obsidian)</w:t>
            </w:r>
          </w:p>
          <w:p>
            <w:pPr>
              <w:spacing w:after="120" w:line="408" w:lineRule="auto"/>
            </w:pPr>
            <w:r>
              <w:t xml:space="preserve">Polarity Distribution:</w:t>
            </w:r>
          </w:p>
          <w:p>
            <w:pPr>
              <w:spacing w:after="120" w:line="408" w:lineRule="auto"/>
            </w:pPr>
            <w:r>
              <w:t xml:space="preserve">5 Angelu</w:t>
            </w:r>
          </w:p>
          <w:p>
            <w:pPr>
              <w:spacing w:after="120" w:line="408" w:lineRule="auto"/>
            </w:pPr>
            <w:r>
              <w:t xml:space="preserve">·</w:t>
            </w:r>
          </w:p>
          <w:p>
            <w:pPr>
              <w:spacing w:after="120" w:line="408" w:lineRule="auto"/>
            </w:pPr>
            <w:r>
              <w:t xml:space="preserve">7 Deminu</w:t>
            </w:r>
          </w:p>
          <w:p>
            <w:pPr>
              <w:spacing w:after="120" w:line="408" w:lineRule="auto"/>
            </w:pPr>
            <w:r>
              <w:t xml:space="preserve">·</w:t>
            </w:r>
          </w:p>
          <w:p>
            <w:pPr>
              <w:spacing w:after="120" w:line="408" w:lineRule="auto"/>
            </w:pPr>
            <w:r>
              <w:t xml:space="preserve">5 Neutral</w:t>
            </w:r>
          </w:p>
          <w:p>
            <w:pPr>
              <w:spacing w:after="120" w:line="408" w:lineRule="auto"/>
            </w:pPr>
            <w:r>
              <w:t xml:space="preserve">·</w:t>
            </w:r>
          </w:p>
          <w:p>
            <w:pPr>
              <w:spacing w:after="120" w:line="408" w:lineRule="auto"/>
            </w:pPr>
            <w:r>
              <w:t xml:space="preserve">2 Dormant</w:t>
            </w:r>
          </w:p>
          <w:p>
            <w:pPr>
              <w:spacing w:after="120" w:line="408" w:lineRule="auto"/>
            </w:pPr>
            <w:r>
              <w:t xml:space="preserve">Net State:</w:t>
            </w:r>
          </w:p>
          <w:p>
            <w:pPr>
              <w:spacing w:after="120" w:line="408" w:lineRule="auto"/>
            </w:pPr>
            <w:r>
              <w:t xml:space="preserve">−2 (mild Deminu-lean)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7%"/>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Name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Polarity</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Status</w:t>
            </w:r>
          </w:p>
        </w:tc>
        <w:tc>
          <w:tcPr>
            <w:tcW w:type="pct" w:w="11%"/>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39</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Scale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40</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Wyrm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41</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Tempest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42</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Earthstone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43</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Abyss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44</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Coil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45</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Firmament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46</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Leviathan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168.75°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47</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Bedrock</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48</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Torrent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49</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Meridian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50</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Draconis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51</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Gale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52</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Monolith</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53</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Rift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54</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Tidecaller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55</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Obsidian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202.5°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56</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Strata</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57</w:t>
            </w:r>
          </w:p>
        </w:tc>
        <w:tc>
          <w:tcPr>
            <w:tcW w:type="pct" w:w="1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Primeval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666666"/>
          <w:sz w:val="18"/>
          <w:szCs w:val="18"/>
        </w:rPr>
        <w:t xml:space="preserve">* Triad 19 and Hexagram X are shared with the Owl domain, constituting the Dragon–Owl boundary overlap.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AF4" w:color="auto" w:val="clear"/>
            <w:tcMar>
              <w:top w:type="dxa" w:w="160"/>
              <w:left w:type="dxa" w:w="240"/>
              <w:bottom w:type="dxa" w:w="160"/>
              <w:right w:type="dxa" w:w="240"/>
            </w:tcMar>
          </w:tcPr>
          <w:p>
            <w:pPr>
              <w:spacing w:after="120" w:line="408" w:lineRule="auto"/>
            </w:pPr>
            <w:r>
              <w:t xml:space="preserve">Domain Analysis:</w:t>
            </w:r>
          </w:p>
          <w:p>
            <w:pPr>
              <w:spacing w:after="120" w:line="408" w:lineRule="auto"/>
            </w:pPr>
            <w:r>
              <w:rPr>
                <w:i/>
                <w:iCs/>
              </w:rPr>
              <w:t xml:space="preserve">Dragon's domain is the most internally conflicted — its Deminu majority (7) outweighs its Angelu presence (5), yielding a net −2 charge. This reflects Dragon's nature as the Guardian of Wisdom: understanding requires descent into shadow before ascent into knowledge. The dormant Leviathan (deep primordial power) and Obsidian (hardened shadow crystallized) suggest Dragon's latent capacity involves ancient, elemental forces not yet surfaced. Path 49 (Meridian) sits at exactly 180° — the mathematical midpoint of the circle — placing Dragon's domain astride the axis of symmetry.</w:t>
            </w:r>
          </w:p>
        </w:tc>
      </w:tr>
    </w:tbl>
    <w:p>
      <w:pPr>
        <w:spacing w:after="240" w:before="0"/>
      </w:pPr>
    </w:p>
    <w:p>
      <w:pPr>
        <w:pStyle w:val="Heading2"/>
        <w:spacing w:after="100" w:before="480" w:line="312" w:lineRule="auto"/>
      </w:pPr>
      <w:r>
        <w:rPr>
          <w:rFonts w:ascii="Cambria" w:cs="Cambria" w:eastAsia="Cambria" w:hAnsi="Cambria"/>
          <w:color w:val="8B6914"/>
          <w:sz w:val="36"/>
          <w:szCs w:val="36"/>
        </w:rPr>
        <w:t xml:space="preserve">C.5   Owl of Sight — Domain Table</w:t>
      </w:r>
    </w:p>
    <w:p>
      <w:pPr>
        <w:pBdr>
          <w:top w:val="single" w:color="C9A84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AF3E0" w:color="auto" w:val="clear"/>
            <w:tcMar>
              <w:top w:type="dxa" w:w="150"/>
              <w:left w:type="dxa" w:w="210"/>
              <w:bottom w:type="dxa" w:w="150"/>
              <w:right w:type="dxa" w:w="210"/>
            </w:tcMar>
          </w:tcPr>
          <w:p>
            <w:pPr>
              <w:spacing w:after="120" w:line="408" w:lineRule="auto"/>
            </w:pPr>
            <w:r>
              <w:t xml:space="preserve">Guardian:</w:t>
            </w:r>
          </w:p>
          <w:p>
            <w:pPr>
              <w:spacing w:after="120" w:line="408" w:lineRule="auto"/>
            </w:pPr>
            <w:r>
              <w:t xml:space="preserve">Owl of Sight</w:t>
            </w:r>
          </w:p>
          <w:p>
            <w:pPr>
              <w:spacing w:after="120" w:line="408" w:lineRule="auto"/>
            </w:pPr>
            <w:r>
              <w:t xml:space="preserve">|</w:t>
            </w:r>
          </w:p>
          <w:p>
            <w:pPr>
              <w:spacing w:after="120" w:line="408" w:lineRule="auto"/>
            </w:pPr>
            <w:r>
              <w:t xml:space="preserve">Domain:</w:t>
            </w:r>
          </w:p>
          <w:p>
            <w:pPr>
              <w:spacing w:after="120" w:line="408" w:lineRule="auto"/>
            </w:pPr>
            <w:r>
              <w:t xml:space="preserve">213.75°–285°</w:t>
            </w:r>
          </w:p>
          <w:p>
            <w:pPr>
              <w:spacing w:after="120" w:line="408" w:lineRule="auto"/>
            </w:pPr>
            <w:r>
              <w:t xml:space="preserve">|</w:t>
            </w:r>
          </w:p>
          <w:p>
            <w:pPr>
              <w:spacing w:after="120" w:line="408" w:lineRule="auto"/>
            </w:pPr>
            <w:r>
              <w:t xml:space="preserve">Angular Center:</w:t>
            </w:r>
          </w:p>
          <w:p>
            <w:pPr>
              <w:spacing w:after="120" w:line="408" w:lineRule="auto"/>
            </w:pPr>
            <w:r>
              <w:t xml:space="preserve">247.5°</w:t>
            </w:r>
          </w:p>
          <w:p>
            <w:pPr>
              <w:spacing w:after="120" w:line="408" w:lineRule="auto"/>
            </w:pPr>
            <w:r>
              <w:t xml:space="preserve">|</w:t>
            </w:r>
          </w:p>
          <w:p>
            <w:pPr>
              <w:spacing w:after="120" w:line="408" w:lineRule="auto"/>
            </w:pPr>
            <w:r>
              <w:t xml:space="preserve">Paths:</w:t>
            </w:r>
          </w:p>
          <w:p>
            <w:pPr>
              <w:spacing w:after="120" w:line="408" w:lineRule="auto"/>
            </w:pPr>
            <w:r>
              <w:t xml:space="preserve">58–76</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B96A" w:sz="6"/>
              <w:left w:val="single" w:color="D4B96A" w:sz="6"/>
              <w:bottom w:val="single" w:color="D4B96A" w:sz="6"/>
              <w:right w:val="single" w:color="D4B96A" w:sz="6"/>
            </w:tcBorders>
            <w:shd w:fill="FDF8ED" w:color="auto" w:val="clear"/>
            <w:tcMar>
              <w:top w:type="dxa" w:w="120"/>
              <w:left w:type="dxa" w:w="180"/>
              <w:bottom w:type="dxa" w:w="120"/>
              <w:right w:type="dxa" w:w="180"/>
            </w:tcMar>
          </w:tcPr>
          <w:p>
            <w:pPr>
              <w:spacing w:after="120" w:line="408" w:lineRule="auto"/>
            </w:pPr>
            <w:r>
              <w:t xml:space="preserve">Summary Statistics:</w:t>
            </w:r>
          </w:p>
          <w:p>
            <w:pPr>
              <w:spacing w:after="120" w:line="408" w:lineRule="auto"/>
            </w:pPr>
            <w:r>
              <w:t xml:space="preserve">19 total paths</w:t>
            </w:r>
          </w:p>
          <w:p>
            <w:pPr>
              <w:spacing w:after="120" w:line="408" w:lineRule="auto"/>
            </w:pPr>
            <w:r>
              <w:t xml:space="preserve">·</w:t>
            </w:r>
          </w:p>
          <w:p>
            <w:pPr>
              <w:spacing w:after="120" w:line="408" w:lineRule="auto"/>
            </w:pPr>
            <w:r>
              <w:t xml:space="preserve">17 active</w:t>
            </w:r>
          </w:p>
          <w:p>
            <w:pPr>
              <w:spacing w:after="120" w:line="408" w:lineRule="auto"/>
            </w:pPr>
            <w:r>
              <w:t xml:space="preserve">·</w:t>
            </w:r>
          </w:p>
          <w:p>
            <w:pPr>
              <w:spacing w:after="120" w:line="408" w:lineRule="auto"/>
            </w:pPr>
            <w:r>
              <w:t xml:space="preserve">2 dormant (Path 63: Augur, Path 72: Arcanum)</w:t>
            </w:r>
          </w:p>
          <w:p>
            <w:pPr>
              <w:spacing w:after="120" w:line="408" w:lineRule="auto"/>
            </w:pPr>
            <w:r>
              <w:t xml:space="preserve">Polarity Distribution:</w:t>
            </w:r>
          </w:p>
          <w:p>
            <w:pPr>
              <w:spacing w:after="120" w:line="408" w:lineRule="auto"/>
            </w:pPr>
            <w:r>
              <w:t xml:space="preserve">5 Angelu</w:t>
            </w:r>
          </w:p>
          <w:p>
            <w:pPr>
              <w:spacing w:after="120" w:line="408" w:lineRule="auto"/>
            </w:pPr>
            <w:r>
              <w:t xml:space="preserve">·</w:t>
            </w:r>
          </w:p>
          <w:p>
            <w:pPr>
              <w:spacing w:after="120" w:line="408" w:lineRule="auto"/>
            </w:pPr>
            <w:r>
              <w:t xml:space="preserve">5 Deminu</w:t>
            </w:r>
          </w:p>
          <w:p>
            <w:pPr>
              <w:spacing w:after="120" w:line="408" w:lineRule="auto"/>
            </w:pPr>
            <w:r>
              <w:t xml:space="preserve">·</w:t>
            </w:r>
          </w:p>
          <w:p>
            <w:pPr>
              <w:spacing w:after="120" w:line="408" w:lineRule="auto"/>
            </w:pPr>
            <w:r>
              <w:t xml:space="preserve">7 Neutral</w:t>
            </w:r>
          </w:p>
          <w:p>
            <w:pPr>
              <w:spacing w:after="120" w:line="408" w:lineRule="auto"/>
            </w:pPr>
            <w:r>
              <w:t xml:space="preserve">·</w:t>
            </w:r>
          </w:p>
          <w:p>
            <w:pPr>
              <w:spacing w:after="120" w:line="408" w:lineRule="auto"/>
            </w:pPr>
            <w:r>
              <w:t xml:space="preserve">2 Dormant</w:t>
            </w:r>
          </w:p>
          <w:p>
            <w:pPr>
              <w:spacing w:after="120" w:line="408" w:lineRule="auto"/>
            </w:pPr>
            <w:r>
              <w:t xml:space="preserve">Net State:</w:t>
            </w:r>
          </w:p>
          <w:p>
            <w:pPr>
              <w:spacing w:after="120" w:line="408" w:lineRule="auto"/>
            </w:pPr>
            <w:r>
              <w:t xml:space="preserve">0 (perfectly balanced)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6%"/>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Name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Polarity</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Status</w:t>
            </w:r>
          </w:p>
        </w:tc>
        <w:tc>
          <w:tcPr>
            <w:tcW w:type="pct" w:w="11%"/>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11%"/>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Iris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Whisper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Oracle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Cipher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Veil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Augur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232.5°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21</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Echo</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Seer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Codex</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22</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Prism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Omen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Nocturne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Insight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Sigil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Arcanum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266.25°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24</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Labyrinth</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Luminary</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Enigma</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25*</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Divination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666666"/>
          <w:sz w:val="18"/>
          <w:szCs w:val="18"/>
        </w:rPr>
        <w:t xml:space="preserve">* Triads 25–26 and Hexagram XIII are shared with the Raven domain, constituting the Owl–Raven boundary overlap.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AF4" w:color="auto" w:val="clear"/>
            <w:tcMar>
              <w:top w:type="dxa" w:w="160"/>
              <w:left w:type="dxa" w:w="240"/>
              <w:bottom w:type="dxa" w:w="160"/>
              <w:right w:type="dxa" w:w="240"/>
            </w:tcMar>
          </w:tcPr>
          <w:p>
            <w:pPr>
              <w:spacing w:after="120" w:line="408" w:lineRule="auto"/>
            </w:pPr>
            <w:r>
              <w:t xml:space="preserve">Domain Analysis:</w:t>
            </w:r>
          </w:p>
          <w:p>
            <w:pPr>
              <w:spacing w:after="120" w:line="408" w:lineRule="auto"/>
            </w:pPr>
            <w:r>
              <w:rPr>
                <w:i/>
                <w:iCs/>
              </w:rPr>
              <w:t xml:space="preserve">Owl's domain is the only Guardian territory at perfect net equilibrium (Net State = 0). With 5 Angelu and 5 Deminu paths balanced by 7 Neutrals and 2 Dormants, Owl embodies pure observation — the seer who watches without tipping the scales. Fittingly, Path 66 (Codex) carries Owl's name for the entire system, sitting near the domain center at Neutral polarity. The dormant Augur (the reader of signs) and Arcanum (the hidden mystery) suggest that Owl's unactivated potential lies in deeper modes of perception not yet unlocked.</w:t>
            </w:r>
          </w:p>
        </w:tc>
      </w:tr>
    </w:tbl>
    <w:p>
      <w:pPr>
        <w:spacing w:after="240" w:before="0"/>
      </w:pPr>
    </w:p>
    <w:p>
      <w:pPr>
        <w:pStyle w:val="Heading2"/>
        <w:spacing w:after="100" w:before="480" w:line="312" w:lineRule="auto"/>
      </w:pPr>
      <w:r>
        <w:rPr>
          <w:rFonts w:ascii="Cambria" w:cs="Cambria" w:eastAsia="Cambria" w:hAnsi="Cambria"/>
          <w:color w:val="8B6914"/>
          <w:sz w:val="36"/>
          <w:szCs w:val="36"/>
        </w:rPr>
        <w:t xml:space="preserve">C.6   Raven of Passage — Domain Table</w:t>
      </w:r>
    </w:p>
    <w:p>
      <w:pPr>
        <w:pBdr>
          <w:top w:val="single" w:color="C9A84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AF3E0" w:color="auto" w:val="clear"/>
            <w:tcMar>
              <w:top w:type="dxa" w:w="150"/>
              <w:left w:type="dxa" w:w="210"/>
              <w:bottom w:type="dxa" w:w="150"/>
              <w:right w:type="dxa" w:w="210"/>
            </w:tcMar>
          </w:tcPr>
          <w:p>
            <w:pPr>
              <w:spacing w:after="120" w:line="408" w:lineRule="auto"/>
            </w:pPr>
            <w:r>
              <w:t xml:space="preserve">Guardian:</w:t>
            </w:r>
          </w:p>
          <w:p>
            <w:pPr>
              <w:spacing w:after="120" w:line="408" w:lineRule="auto"/>
            </w:pPr>
            <w:r>
              <w:t xml:space="preserve">Raven of Passage</w:t>
            </w:r>
          </w:p>
          <w:p>
            <w:pPr>
              <w:spacing w:after="120" w:line="408" w:lineRule="auto"/>
            </w:pPr>
            <w:r>
              <w:t xml:space="preserve">|</w:t>
            </w:r>
          </w:p>
          <w:p>
            <w:pPr>
              <w:spacing w:after="120" w:line="408" w:lineRule="auto"/>
            </w:pPr>
            <w:r>
              <w:t xml:space="preserve">Domain:</w:t>
            </w:r>
          </w:p>
          <w:p>
            <w:pPr>
              <w:spacing w:after="120" w:line="408" w:lineRule="auto"/>
            </w:pPr>
            <w:r>
              <w:t xml:space="preserve">285°–356.25°</w:t>
            </w:r>
          </w:p>
          <w:p>
            <w:pPr>
              <w:spacing w:after="120" w:line="408" w:lineRule="auto"/>
            </w:pPr>
            <w:r>
              <w:t xml:space="preserve">|</w:t>
            </w:r>
          </w:p>
          <w:p>
            <w:pPr>
              <w:spacing w:after="120" w:line="408" w:lineRule="auto"/>
            </w:pPr>
            <w:r>
              <w:t xml:space="preserve">Angular Center:</w:t>
            </w:r>
          </w:p>
          <w:p>
            <w:pPr>
              <w:spacing w:after="120" w:line="408" w:lineRule="auto"/>
            </w:pPr>
            <w:r>
              <w:t xml:space="preserve">320.625°</w:t>
            </w:r>
          </w:p>
          <w:p>
            <w:pPr>
              <w:spacing w:after="120" w:line="408" w:lineRule="auto"/>
            </w:pPr>
            <w:r>
              <w:t xml:space="preserve">|</w:t>
            </w:r>
          </w:p>
          <w:p>
            <w:pPr>
              <w:spacing w:after="120" w:line="408" w:lineRule="auto"/>
            </w:pPr>
            <w:r>
              <w:t xml:space="preserve">Paths:</w:t>
            </w:r>
          </w:p>
          <w:p>
            <w:pPr>
              <w:spacing w:after="120" w:line="408" w:lineRule="auto"/>
            </w:pPr>
            <w:r>
              <w:t xml:space="preserve">77–96</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B96A" w:sz="6"/>
              <w:left w:val="single" w:color="D4B96A" w:sz="6"/>
              <w:bottom w:val="single" w:color="D4B96A" w:sz="6"/>
              <w:right w:val="single" w:color="D4B96A" w:sz="6"/>
            </w:tcBorders>
            <w:shd w:fill="FDF8ED" w:color="auto" w:val="clear"/>
            <w:tcMar>
              <w:top w:type="dxa" w:w="120"/>
              <w:left w:type="dxa" w:w="180"/>
              <w:bottom w:type="dxa" w:w="120"/>
              <w:right w:type="dxa" w:w="180"/>
            </w:tcMar>
          </w:tcPr>
          <w:p>
            <w:pPr>
              <w:spacing w:after="120" w:line="408" w:lineRule="auto"/>
            </w:pPr>
            <w:r>
              <w:t xml:space="preserve">Summary Statistics:</w:t>
            </w:r>
          </w:p>
          <w:p>
            <w:pPr>
              <w:spacing w:after="120" w:line="408" w:lineRule="auto"/>
            </w:pPr>
            <w:r>
              <w:t xml:space="preserve">20 total paths (largest domain)</w:t>
            </w:r>
          </w:p>
          <w:p>
            <w:pPr>
              <w:spacing w:after="120" w:line="408" w:lineRule="auto"/>
            </w:pPr>
            <w:r>
              <w:t xml:space="preserve">·</w:t>
            </w:r>
          </w:p>
          <w:p>
            <w:pPr>
              <w:spacing w:after="120" w:line="408" w:lineRule="auto"/>
            </w:pPr>
            <w:r>
              <w:t xml:space="preserve">17 active</w:t>
            </w:r>
          </w:p>
          <w:p>
            <w:pPr>
              <w:spacing w:after="120" w:line="408" w:lineRule="auto"/>
            </w:pPr>
            <w:r>
              <w:t xml:space="preserve">·</w:t>
            </w:r>
          </w:p>
          <w:p>
            <w:pPr>
              <w:spacing w:after="120" w:line="408" w:lineRule="auto"/>
            </w:pPr>
            <w:r>
              <w:t xml:space="preserve">3 dormant (Path 80: Vestige, Path 86: Specter, Path 91: Hollow)</w:t>
            </w:r>
          </w:p>
          <w:p>
            <w:pPr>
              <w:spacing w:after="120" w:line="408" w:lineRule="auto"/>
            </w:pPr>
            <w:r>
              <w:t xml:space="preserve">Polarity Distribution:</w:t>
            </w:r>
          </w:p>
          <w:p>
            <w:pPr>
              <w:spacing w:after="120" w:line="408" w:lineRule="auto"/>
            </w:pPr>
            <w:r>
              <w:t xml:space="preserve">3 Angelu</w:t>
            </w:r>
          </w:p>
          <w:p>
            <w:pPr>
              <w:spacing w:after="120" w:line="408" w:lineRule="auto"/>
            </w:pPr>
            <w:r>
              <w:t xml:space="preserve">·</w:t>
            </w:r>
          </w:p>
          <w:p>
            <w:pPr>
              <w:spacing w:after="120" w:line="408" w:lineRule="auto"/>
            </w:pPr>
            <w:r>
              <w:t xml:space="preserve">7 Deminu</w:t>
            </w:r>
          </w:p>
          <w:p>
            <w:pPr>
              <w:spacing w:after="120" w:line="408" w:lineRule="auto"/>
            </w:pPr>
            <w:r>
              <w:t xml:space="preserve">·</w:t>
            </w:r>
          </w:p>
          <w:p>
            <w:pPr>
              <w:spacing w:after="120" w:line="408" w:lineRule="auto"/>
            </w:pPr>
            <w:r>
              <w:t xml:space="preserve">7 Neutral</w:t>
            </w:r>
          </w:p>
          <w:p>
            <w:pPr>
              <w:spacing w:after="120" w:line="408" w:lineRule="auto"/>
            </w:pPr>
            <w:r>
              <w:t xml:space="preserve">·</w:t>
            </w:r>
          </w:p>
          <w:p>
            <w:pPr>
              <w:spacing w:after="120" w:line="408" w:lineRule="auto"/>
            </w:pPr>
            <w:r>
              <w:t xml:space="preserve">3 Dormant</w:t>
            </w:r>
          </w:p>
          <w:p>
            <w:pPr>
              <w:spacing w:after="120" w:line="408" w:lineRule="auto"/>
            </w:pPr>
            <w:r>
              <w:t xml:space="preserve">Net State:</w:t>
            </w:r>
          </w:p>
          <w:p>
            <w:pPr>
              <w:spacing w:after="120" w:line="408" w:lineRule="auto"/>
            </w:pPr>
            <w:r>
              <w:t xml:space="preserve">−4 (strongest Deminu domain)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6%"/>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Name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State</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Polarity</w:t>
            </w:r>
          </w:p>
        </w:tc>
        <w:tc>
          <w:tcPr>
            <w:tcW w:type="pct" w:w="14%"/>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Status</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12%"/>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Threshold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Shadow</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Crossing</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Vestige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296.25°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Requiem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Passage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Shroud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Revenant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Dusk</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Specter</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318.75°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87</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Waning</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88</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Ossuary</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89</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Terminus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Crypt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Deminu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91</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Hollow</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337.5°</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4%"/>
            <w:tcMar>
              <w:top w:type="dxa" w:w="60"/>
              <w:left w:type="dxa" w:w="90"/>
              <w:bottom w:type="dxa" w:w="60"/>
              <w:right w:type="dxa" w:w="90"/>
            </w:tcMar>
          </w:tcPr>
          <w:p>
            <w:r>
              <w:rPr>
                <w:rFonts w:ascii="Cambria" w:cs="Cambria" w:eastAsia="Cambria" w:hAnsi="Cambria"/>
                <w:b w:val="false"/>
                <w:bCs w:val="false"/>
                <w:i/>
                <w:iCs/>
                <w:strike w:val="false"/>
                <w:color w:val="8B6914"/>
                <w:sz w:val="24"/>
                <w:szCs w:val="24"/>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Eventide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341.25°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Penumbra</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345°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Nexus</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348.75°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Void</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352.5°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Neutral</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r>
        <w:trPr>
          <w:tblHeader w:val="false"/>
        </w:trPr>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96</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Return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356.25°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+1</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Angelu</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Active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C9A84C" w:sz="24"/>
              <w:bottom w:val="nil" w:color="FFFFFF" w:sz="0"/>
              <w:right w:val="nil" w:color="FFFFFF" w:sz="0"/>
            </w:tcBorders>
            <w:shd w:fill="FDFAF4" w:color="auto" w:val="clear"/>
            <w:tcMar>
              <w:top w:type="dxa" w:w="160"/>
              <w:left w:type="dxa" w:w="240"/>
              <w:bottom w:type="dxa" w:w="160"/>
              <w:right w:type="dxa" w:w="240"/>
            </w:tcMar>
          </w:tcPr>
          <w:p>
            <w:pPr>
              <w:spacing w:after="120" w:line="408" w:lineRule="auto"/>
            </w:pPr>
            <w:r>
              <w:t xml:space="preserve">Domain Analysis:</w:t>
            </w:r>
          </w:p>
          <w:p>
            <w:pPr>
              <w:spacing w:after="120" w:line="408" w:lineRule="auto"/>
            </w:pPr>
            <w:r>
              <w:rPr>
                <w:i/>
                <w:iCs/>
              </w:rPr>
              <w:t xml:space="preserve">Raven holds the largest domain (20 paths) and the deepest Deminu charge (−4). As the Guardian of Passage — transitions, endings, and the liminal — this domain is appropriately shadowed. It also holds the most dormant paths (3), reinforcing the theme of things half-seen and not-yet-manifest. However, the domain's final three active paths (Penumbra, Nexus, Return) carry Angelu polarity, creating a remarkable closing sequence: the Codex's last breath is one of light returning from darkness, the cycle preparing to begin again at Path 1: Crown.</w:t>
            </w:r>
          </w:p>
        </w:tc>
      </w:tr>
    </w:tbl>
    <w:p>
      <w:pPr>
        <w:spacing w:after="240" w:before="0"/>
      </w:pPr>
    </w:p>
    <w:p>
      <w:pPr>
        <w:pStyle w:val="Heading2"/>
        <w:spacing w:after="100" w:before="480" w:line="312" w:lineRule="auto"/>
      </w:pPr>
      <w:r>
        <w:rPr>
          <w:rFonts w:ascii="Cambria" w:cs="Cambria" w:eastAsia="Cambria" w:hAnsi="Cambria"/>
          <w:color w:val="8B6914"/>
          <w:sz w:val="36"/>
          <w:szCs w:val="36"/>
        </w:rPr>
        <w:t xml:space="preserve">C.7   Inter-Guardian Comparative Analysis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table presents a consolidated comparison of all five Guardian domains, permitting cross-domain analysis of path distribution, polarity balance, and thematic character.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gridCol w:w="100"/>
      </w:tblGrid>
      <w:tr>
        <w:trPr>
          <w:tblHeader/>
        </w:trPr>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Guardian</w:t>
            </w:r>
          </w:p>
        </w:tc>
        <w:tc>
          <w:tcPr>
            <w:tcW w:type="pct" w:w="11%"/>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Title</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Paths</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Active</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Dormant</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Angelu</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Deminu</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Neutral</w:t>
            </w:r>
          </w:p>
        </w:tc>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Net State</w:t>
            </w:r>
          </w:p>
        </w:tc>
        <w:tc>
          <w:tcPr>
            <w:tcW w:type="pct" w:w="16%"/>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Character</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Lion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Sovereign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+3</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Authority with dormant heart</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Phoenix</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Rebirth</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+5</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Strongest ascending force</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Dragon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Wisdom</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−2</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Descent into knowledge</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Owl</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Sight</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0</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Perfect equilibrium</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Raven</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Passage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6B1A"/>
                <w:sz w:val="24"/>
                <w:szCs w:val="24"/>
              </w:rPr>
              <w:t xml:space="preserve">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555555"/>
                <w:sz w:val="24"/>
                <w:szCs w:val="24"/>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8B1A1A"/>
                <w:sz w:val="24"/>
                <w:szCs w:val="24"/>
              </w:rPr>
              <w:t xml:space="preserve">−4</w:t>
            </w:r>
          </w:p>
        </w:tc>
        <w:tc>
          <w:tcPr>
            <w:tcW w:type="pct" w:w="16%"/>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Deepest shadow, cyclic return</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TOTALS</w:t>
            </w:r>
          </w:p>
        </w:tc>
        <w:tc>
          <w:tcPr>
            <w:tcW w:type="pct" w:w="11%"/>
            <w:tcMar>
              <w:top w:type="dxa" w:w="60"/>
              <w:left w:type="dxa" w:w="90"/>
              <w:bottom w:type="dxa" w:w="60"/>
              <w:right w:type="dxa" w:w="90"/>
            </w:tcMar>
          </w:tcPr>
          <w:p>
            <w:r>
              <w:rPr>
                <w:b w:val="false"/>
                <w:bCs w:val="false"/>
              </w:rPr>
              <w:t xml:space="preserve"/>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w:t>
            </w:r>
          </w:p>
        </w:tc>
        <w:tc>
          <w:tcPr>
            <w:tcW w:type="pct" w:w="16%"/>
            <w:tcMar>
              <w:top w:type="dxa" w:w="60"/>
              <w:left w:type="dxa" w:w="90"/>
              <w:bottom w:type="dxa" w:w="60"/>
              <w:right w:type="dxa" w:w="90"/>
            </w:tcMar>
          </w:tcPr>
          <w:p>
            <w:r>
              <w:rPr>
                <w:b w:val="false"/>
                <w:bCs w:val="false"/>
              </w:rPr>
              <w:t xml:space="preserve"/>
            </w:r>
          </w:p>
        </w:tc>
      </w:tr>
    </w:tbl>
    <w:p>
      <w:pPr>
        <w:spacing w:after="200" w:before="0"/>
      </w:pPr>
    </w:p>
    <w:p>
      <w:pPr>
        <w:pStyle w:val="Heading3"/>
        <w:spacing w:after="120" w:before="240" w:line="312" w:lineRule="auto"/>
      </w:pPr>
      <w:r>
        <w:rPr>
          <w:rFonts w:ascii="Cambria" w:cs="Cambria" w:eastAsia="Cambria" w:hAnsi="Cambria"/>
          <w:color w:val="7A5C00"/>
          <w:sz w:val="28"/>
          <w:szCs w:val="28"/>
        </w:rPr>
        <w:t xml:space="preserve">Key Observations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system's overall net state (</w:t>
      </w:r>
      <w:r>
        <w:rPr>
          <w:rFonts w:ascii="Cambria" w:cs="Cambria" w:eastAsia="Cambria" w:hAnsi="Cambria"/>
          <w:b/>
          <w:bCs/>
          <w:i w:val="false"/>
          <w:iCs w:val="false"/>
          <w:strike w:val="false"/>
          <w:color w:val="000000"/>
          <w:sz w:val="24"/>
          <w:szCs w:val="24"/>
        </w:rPr>
        <w:t xml:space="preserve">+2</w:t>
      </w:r>
      <w:r>
        <w:rPr>
          <w:rFonts w:ascii="Cambria" w:cs="Cambria" w:eastAsia="Cambria" w:hAnsi="Cambria"/>
          <w:b w:val="false"/>
          <w:bCs w:val="false"/>
          <w:i w:val="false"/>
          <w:iCs w:val="false"/>
          <w:strike w:val="false"/>
          <w:color w:val="000000"/>
          <w:sz w:val="24"/>
          <w:szCs w:val="24"/>
        </w:rPr>
        <w:t xml:space="preserve">) derives from Phoenix's surplus (+5) minus Dragon (−2) and Raven (−4), with Lion (+3) and Owl (0) providing the remainder. The Codex thus carries a slight but deliberate Angelu lean — light marginally prevails over shadow in the total architecture.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Dormant paths increase as one moves around the circle: Lion (1) → Phoenix (2) → Dragon (2) → Owl (2) → Raven (3). Latency concentrates in the later domains, suggesting that the deeper one travels into the Codex, the more potential remains unrealized.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Only Phoenix contains a pure-polarity triad (Triad 9: Flare–Solstice–Radiance, all Angelu). No pure-Deminu or pure-Neutral triads exist anywhere in the system, making Triad 9 a unique structural singularity within the 96-Path lattice.</w:t>
      </w:r>
    </w:p>
    <w:p>
      <w:pPr>
        <w:pStyle w:val="Heading2"/>
        <w:spacing w:after="100" w:before="480" w:line="312" w:lineRule="auto"/>
      </w:pPr>
      <w:r>
        <w:rPr>
          <w:rFonts w:ascii="Cambria" w:cs="Cambria" w:eastAsia="Cambria" w:hAnsi="Cambria"/>
          <w:color w:val="8B6914"/>
          <w:sz w:val="36"/>
          <w:szCs w:val="36"/>
        </w:rPr>
        <w:t xml:space="preserve">C.8   Dormant Path Registry</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ten dormant paths represent the Codex's latent potential — forces that exist within the lattice structure but remain inert until conditions for their activation are met. Each dormant path encodes a specific thematic significance that, when realized, fundamentally alters the character of its Guardian's domain. The following registry provides the complete enumeration of all dormant paths with their positional data and interpretive significance.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Path #</w:t>
            </w:r>
          </w:p>
        </w:tc>
        <w:tc>
          <w:tcPr>
            <w:tcW w:type="pct" w:w="16%"/>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Name</w:t>
            </w:r>
          </w:p>
        </w:tc>
        <w:tc>
          <w:tcPr>
            <w:tcW w:type="pct" w:w="12%"/>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Angle (°)</w:t>
            </w:r>
          </w:p>
        </w:tc>
        <w:tc>
          <w:tcPr>
            <w:tcW w:type="pct" w:w="12%"/>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Guardian</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Triad</w:t>
            </w:r>
          </w:p>
        </w:tc>
        <w:tc>
          <w:tcPr>
            <w:tcW w:type="pct" w:w="10%"/>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Hex</w:t>
            </w:r>
          </w:p>
        </w:tc>
        <w:tc>
          <w:tcPr>
            <w:tcW w:type="pct" w:w="31%"/>
            <w:shd w:fill="F5E6C8" w:color="auto" w:val="clear"/>
            <w:tcMar>
              <w:top w:type="dxa" w:w="60"/>
              <w:left w:type="dxa" w:w="90"/>
              <w:bottom w:type="dxa" w:w="60"/>
              <w:right w:type="dxa" w:w="90"/>
            </w:tcMar>
          </w:tcPr>
          <w:p>
            <w:r>
              <w:rPr>
                <w:rFonts w:ascii="Cambria" w:cs="Cambria" w:eastAsia="Cambria" w:hAnsi="Cambria"/>
                <w:b/>
                <w:bCs/>
                <w:i w:val="false"/>
                <w:iCs w:val="false"/>
                <w:strike w:val="false"/>
                <w:color w:val="3D2E00"/>
                <w:sz w:val="20"/>
                <w:szCs w:val="20"/>
              </w:rPr>
              <w:t xml:space="preserve">Thematic Significance Upon Activation</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Sentinel</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awakened guardian at sovereignty's center</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28</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Ignition</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Phoenix</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T10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kindling spark that initiates transformation</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37</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Transfiguration</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135°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Phoenix</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T13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completed metamorphosis from ash to flame</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46</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Leviathan</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168.75°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Dragon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T16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VIII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primordial deep-force risen from the abyss</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55</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Obsidian</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202.5°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Dragon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T19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Crystallized shadow transmuted into dark wisdom</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63</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Augur</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232.5°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Owl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T21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prophet's gift fully realized</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72</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Arcanum</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266.25°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Owl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T24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final mystery unveiled</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80</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Vestige</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296.25°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Raven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T27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XIV</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remnant of what was, restored to presence</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86</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Specter</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318.75°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Raven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T29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shadow-walker made manifest</w:t>
            </w:r>
          </w:p>
        </w:tc>
      </w:tr>
      <w:tr>
        <w:trPr>
          <w:tblHeader w:val="false"/>
        </w:trPr>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91</w:t>
            </w:r>
          </w:p>
        </w:tc>
        <w:tc>
          <w:tcPr>
            <w:tcW w:type="pct" w:w="16%"/>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Hollow</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337.5°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Raven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XVI</w:t>
            </w:r>
          </w:p>
        </w:tc>
        <w:tc>
          <w:tcPr>
            <w:tcW w:type="pct" w:w="31%"/>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The emptiness that becomes the vessel for return</w:t>
            </w:r>
          </w:p>
        </w:tc>
      </w:tr>
    </w:tbl>
    <w:p>
      <w:pPr>
        <w:spacing w:after="200" w:before="0"/>
      </w:pPr>
    </w:p>
    <w:p>
      <w:pPr>
        <w:pBdr>
          <w:bottom w:val="single" w:color="C9A84C"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Guardian State Tables provide the operational detail necessary to work with the Codex at the path level. Each Guardian's domain tells a story through its polarity balance, its dormant potentials, and its position within the greater circle. Together, the five domains form a complete narrative arc — from Lion's sovereign opening through Phoenix's ascent, Dragon's descent into wisdom, Owl's equilibrium of sight, to Raven's passage through shadow and ultimate return to light.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11DsekThCgtpK3SVTJ6nF</dc:title>
  <dc:creator>Un-named</dc:creator>
  <dc:description>Generated document</dc:description>
  <cp:lastModifiedBy>Un-named</cp:lastModifiedBy>
  <cp:revision>1</cp:revision>
  <dcterms:created xsi:type="dcterms:W3CDTF">2026-04-16T20:18:01.657Z</dcterms:created>
  <dcterms:modified xsi:type="dcterms:W3CDTF">2026-04-16T20:18:01.657Z</dcterms:modified>
</cp:coreProperties>
</file>

<file path=docProps/custom.xml><?xml version="1.0" encoding="utf-8"?>
<Properties xmlns="http://schemas.openxmlformats.org/officeDocument/2006/custom-properties" xmlns:vt="http://schemas.openxmlformats.org/officeDocument/2006/docPropsVTypes"/>
</file>