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line="384" w:lineRule="auto"/>
        <w:jc w:val="both"/>
      </w:pPr>
      <w:r>
        <w:rPr>
          <w:rFonts w:ascii="Cambria" w:cs="Cambria" w:eastAsia="Cambria" w:hAnsi="Cambria"/>
          <w:b w:val="false"/>
          <w:bCs w:val="false"/>
          <w:i w:val="false"/>
          <w:iCs w:val="false"/>
          <w:strike w:val="false"/>
          <w:color w:val="888666"/>
          <w:spacing w:val="60"/>
          <w:sz w:val="18"/>
          <w:szCs w:val="18"/>
        </w:rPr>
        <w:t xml:space="preserve">APPENDIX D — CODEX ARCHITECTURA</w:t>
      </w:r>
    </w:p>
    <w:p>
      <w:pPr>
        <w:pStyle w:val="Heading1"/>
        <w:spacing w:after="60" w:before="160" w:line="384" w:lineRule="auto"/>
        <w:jc w:val="center"/>
      </w:pPr>
      <w:r>
        <w:rPr>
          <w:rFonts w:ascii="Cambria" w:cs="Cambria" w:eastAsia="Cambria" w:hAnsi="Cambria"/>
          <w:color w:val="8B6914"/>
          <w:spacing w:val="40"/>
          <w:sz w:val="52"/>
          <w:szCs w:val="52"/>
        </w:rPr>
        <w:t xml:space="preserve">LATTICE ANGULAR MAP</w:t>
      </w:r>
    </w:p>
    <w:p>
      <w:pPr>
        <w:spacing w:after="60" w:before="80" w:line="384" w:lineRule="auto"/>
        <w:jc w:val="both"/>
      </w:pPr>
      <w:r>
        <w:rPr>
          <w:rFonts w:ascii="Cambria" w:cs="Cambria" w:eastAsia="Cambria" w:hAnsi="Cambria"/>
          <w:b w:val="false"/>
          <w:bCs w:val="false"/>
          <w:i/>
          <w:iCs/>
          <w:strike w:val="false"/>
          <w:color w:val="6B5210"/>
          <w:sz w:val="22"/>
          <w:szCs w:val="22"/>
        </w:rPr>
        <w:t xml:space="preserve">Visual-Reference Companion to Appendix B (96-Path Mathematical Model)</w:t>
      </w:r>
      <w:r>
        <w:rPr>
          <w:rFonts w:ascii="Cambria" w:cs="Cambria" w:eastAsia="Cambria" w:hAnsi="Cambria"/>
          <w:b w:val="false"/>
          <w:bCs w:val="false"/>
          <w:i/>
          <w:iCs/>
          <w:color w:val="6B5210"/>
          <w:sz w:val="22"/>
          <w:szCs w:val="22"/>
        </w:rPr>
        <w:br/>
      </w:r>
      <w:r>
        <w:rPr>
          <w:rFonts w:ascii="Cambria" w:cs="Cambria" w:eastAsia="Cambria" w:hAnsi="Cambria"/>
          <w:b w:val="false"/>
          <w:bCs w:val="false"/>
          <w:i/>
          <w:iCs/>
          <w:strike w:val="false"/>
          <w:color w:val="6B5210"/>
          <w:sz w:val="22"/>
          <w:szCs w:val="22"/>
        </w:rPr>
        <w:t xml:space="preserve">and Appendix C (Guardian State Tables)</w:t>
      </w:r>
    </w:p>
    <w:p>
      <w:pPr>
        <w:spacing w:after="60" w:before="60" w:line="384" w:lineRule="auto"/>
        <w:jc w:val="both"/>
      </w:pPr>
      <w:r>
        <w:rPr>
          <w:rFonts w:ascii="Cambria" w:cs="Cambria" w:eastAsia="Cambria" w:hAnsi="Cambria"/>
          <w:b w:val="false"/>
          <w:bCs w:val="false"/>
          <w:i w:val="false"/>
          <w:iCs w:val="false"/>
          <w:strike w:val="false"/>
          <w:color w:val="888666"/>
          <w:sz w:val="22"/>
          <w:szCs w:val="22"/>
        </w:rPr>
        <w:t xml:space="preserve">Geometric Coordinate Registry • Full Angular Decomposition • 360° Radial Index</w:t>
      </w:r>
    </w:p>
    <w:p>
      <w:pPr>
        <w:pBdr>
          <w:bottom w:val="single" w:color="C9A84C" w:sz="6"/>
        </w:pBdr>
        <w:spacing w:after="240" w:before="240"/>
      </w:pPr>
    </w:p>
    <w:p>
      <w:pPr>
        <w:pStyle w:val="Heading2"/>
        <w:spacing w:after="100" w:before="480" w:line="384" w:lineRule="auto"/>
      </w:pPr>
      <w:r>
        <w:rPr>
          <w:rFonts w:ascii="Cambria" w:cs="Cambria" w:eastAsia="Cambria" w:hAnsi="Cambria"/>
          <w:color w:val="8B6914"/>
          <w:spacing w:val="20"/>
          <w:sz w:val="32"/>
          <w:szCs w:val="32"/>
        </w:rPr>
        <w:t xml:space="preserve">I. The Circular Lattice</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Lattice Angular Map renders the 96-Path system in its native geometric form: a full 360° circle divided into 96 equidistant radial positions, each separated by exactly 3.75°. This map is the spatial key to the Codex — every path, every Guardian domain, every triad and hexagram occupies a precise and immutable angular address within this circle.</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coordinate system governing the Lattice is defined as follows. The origin is fixed at the geometric center of the circle. All paths are plotted upon a unit circle of radius </w:t>
      </w:r>
      <w:r>
        <w:rPr>
          <w:rFonts w:ascii="Cambria Math" w:cs="Cambria Math" w:eastAsia="Cambria Math" w:hAnsi="Cambria Math"/>
          <w:b w:val="false"/>
          <w:bCs w:val="false"/>
          <w:i/>
          <w:iCs/>
          <w:strike w:val="false"/>
          <w:color w:val="3A3A3A"/>
          <w:sz w:val="22"/>
          <w:szCs w:val="22"/>
        </w:rPr>
        <w:t xml:space="preserve">r</w:t>
      </w:r>
      <w:r>
        <w:rPr>
          <w:rFonts w:ascii="Cambria" w:cs="Cambria" w:eastAsia="Cambria" w:hAnsi="Cambria"/>
          <w:b w:val="false"/>
          <w:bCs w:val="false"/>
          <w:i w:val="false"/>
          <w:iCs w:val="false"/>
          <w:strike w:val="false"/>
          <w:color w:val="1A1A1A"/>
          <w:sz w:val="22"/>
          <w:szCs w:val="22"/>
        </w:rPr>
        <w:t xml:space="preserve"> = 1.0. Each path </w:t>
      </w:r>
      <w:r>
        <w:rPr>
          <w:rFonts w:ascii="Cambria Math" w:cs="Cambria Math" w:eastAsia="Cambria Math" w:hAnsi="Cambria Math"/>
          <w:b w:val="false"/>
          <w:bCs w:val="false"/>
          <w:i/>
          <w:iCs/>
          <w:strike w:val="false"/>
          <w:color w:val="3A3A3A"/>
          <w:sz w:val="22"/>
          <w:szCs w:val="22"/>
        </w:rPr>
        <w:t xml:space="preserve">k</w:t>
      </w:r>
      <w:r>
        <w:rPr>
          <w:rFonts w:ascii="Cambria" w:cs="Cambria" w:eastAsia="Cambria" w:hAnsi="Cambria"/>
          <w:b w:val="false"/>
          <w:bCs w:val="false"/>
          <w:i w:val="false"/>
          <w:iCs w:val="false"/>
          <w:strike w:val="false"/>
          <w:color w:val="1A1A1A"/>
          <w:sz w:val="22"/>
          <w:szCs w:val="22"/>
        </w:rPr>
        <w:t xml:space="preserve"> (where </w:t>
      </w:r>
      <w:r>
        <w:rPr>
          <w:rFonts w:ascii="Cambria Math" w:cs="Cambria Math" w:eastAsia="Cambria Math" w:hAnsi="Cambria Math"/>
          <w:b w:val="false"/>
          <w:bCs w:val="false"/>
          <w:i/>
          <w:iCs/>
          <w:strike w:val="false"/>
          <w:color w:val="3A3A3A"/>
          <w:sz w:val="22"/>
          <w:szCs w:val="22"/>
        </w:rPr>
        <w:t xml:space="preserve">k</w:t>
      </w:r>
      <w:r>
        <w:rPr>
          <w:rFonts w:ascii="Cambria" w:cs="Cambria" w:eastAsia="Cambria" w:hAnsi="Cambria"/>
          <w:b w:val="false"/>
          <w:bCs w:val="false"/>
          <w:i w:val="false"/>
          <w:iCs w:val="false"/>
          <w:strike w:val="false"/>
          <w:color w:val="1A1A1A"/>
          <w:sz w:val="22"/>
          <w:szCs w:val="22"/>
        </w:rPr>
        <w:t xml:space="preserve"> = 1, 2, 3, … , 96) occupies an angular position determined by the fundamental spacing axiom: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Angular Position:</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3A3A3A"/>
          <w:sz w:val="22"/>
          <w:szCs w:val="22"/>
        </w:rPr>
        <w:t xml:space="preserve">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3A3A3A"/>
          <w:sz w:val="22"/>
          <w:szCs w:val="22"/>
        </w:rPr>
        <w:t xml:space="preserve"> = (k − 1) × 3.75°</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Cartesian Mapping (x-coordinate):</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3A3A3A"/>
          <w:sz w:val="22"/>
          <w:szCs w:val="22"/>
        </w:rPr>
        <w:t xml:space="preserve">x</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3A3A3A"/>
          <w:sz w:val="22"/>
          <w:szCs w:val="22"/>
        </w:rPr>
        <w:t xml:space="preserve"> = cos(θ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3A3A3A"/>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Cartesian Mapping (y-coordinate):</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3A3A3A"/>
          <w:sz w:val="22"/>
          <w:szCs w:val="22"/>
        </w:rPr>
        <w:t xml:space="preserve">y</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3A3A3A"/>
          <w:sz w:val="22"/>
          <w:szCs w:val="22"/>
        </w:rPr>
        <w:t xml:space="preserve"> = sin(θ</w:t>
      </w:r>
      <w:r>
        <w:rPr>
          <w:rFonts w:ascii="Cambria" w:cs="Cambria" w:eastAsia="Cambria" w:hAnsi="Cambria"/>
          <w:b w:val="false"/>
          <w:bCs w:val="false"/>
          <w:i/>
          <w:iCs/>
          <w:strike w:val="false"/>
          <w:color w:val="1A1A1A"/>
          <w:sz w:val="22"/>
          <w:szCs w:val="22"/>
          <w:vertAlign w:val="subscript"/>
        </w:rPr>
        <w:t xml:space="preserve">k</w:t>
      </w:r>
      <w:r>
        <w:rPr>
          <w:rFonts w:ascii="Cambria Math" w:cs="Cambria Math" w:eastAsia="Cambria Math" w:hAnsi="Cambria Math"/>
          <w:b w:val="false"/>
          <w:bCs w:val="false"/>
          <w:i/>
          <w:iCs/>
          <w:strike w:val="false"/>
          <w:color w:val="3A3A3A"/>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Active Paths:</w:t>
      </w:r>
      <w:r>
        <w:rPr>
          <w:rFonts w:ascii="Cambria" w:cs="Cambria" w:eastAsia="Cambria" w:hAnsi="Cambria"/>
          <w:b w:val="false"/>
          <w:bCs w:val="false"/>
          <w:i w:val="false"/>
          <w:iCs w:val="false"/>
          <w:strike w:val="false"/>
          <w:color w:val="1A1A1A"/>
          <w:sz w:val="22"/>
          <w:szCs w:val="22"/>
        </w:rPr>
        <w:t xml:space="preserve"> Plotted at radius </w:t>
      </w:r>
      <w:r>
        <w:rPr>
          <w:rFonts w:ascii="Cambria Math" w:cs="Cambria Math" w:eastAsia="Cambria Math" w:hAnsi="Cambria Math"/>
          <w:b w:val="false"/>
          <w:bCs w:val="false"/>
          <w:i/>
          <w:iCs/>
          <w:strike w:val="false"/>
          <w:color w:val="3A3A3A"/>
          <w:sz w:val="22"/>
          <w:szCs w:val="22"/>
        </w:rPr>
        <w:t xml:space="preserve">r</w:t>
      </w:r>
      <w:r>
        <w:rPr>
          <w:rFonts w:ascii="Cambria" w:cs="Cambria" w:eastAsia="Cambria" w:hAnsi="Cambria"/>
          <w:b w:val="false"/>
          <w:bCs w:val="false"/>
          <w:i w:val="false"/>
          <w:iCs w:val="false"/>
          <w:strike w:val="false"/>
          <w:color w:val="1A1A1A"/>
          <w:sz w:val="22"/>
          <w:szCs w:val="22"/>
        </w:rPr>
        <w:t xml:space="preserve"> = 1.0 — the full circumference of the circle, representing paths in manifest operation.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Dormant Paths:</w:t>
      </w:r>
      <w:r>
        <w:rPr>
          <w:rFonts w:ascii="Cambria" w:cs="Cambria" w:eastAsia="Cambria" w:hAnsi="Cambria"/>
          <w:b w:val="false"/>
          <w:bCs w:val="false"/>
          <w:i w:val="false"/>
          <w:iCs w:val="false"/>
          <w:strike w:val="false"/>
          <w:color w:val="1A1A1A"/>
          <w:sz w:val="22"/>
          <w:szCs w:val="22"/>
        </w:rPr>
        <w:t xml:space="preserve"> Plotted at radius </w:t>
      </w:r>
      <w:r>
        <w:rPr>
          <w:rFonts w:ascii="Cambria Math" w:cs="Cambria Math" w:eastAsia="Cambria Math" w:hAnsi="Cambria Math"/>
          <w:b w:val="false"/>
          <w:bCs w:val="false"/>
          <w:i/>
          <w:iCs/>
          <w:strike w:val="false"/>
          <w:color w:val="3A3A3A"/>
          <w:sz w:val="22"/>
          <w:szCs w:val="22"/>
        </w:rPr>
        <w:t xml:space="preserve">r</w:t>
      </w:r>
      <w:r>
        <w:rPr>
          <w:rFonts w:ascii="Cambria" w:cs="Cambria" w:eastAsia="Cambria" w:hAnsi="Cambria"/>
          <w:b w:val="false"/>
          <w:bCs w:val="false"/>
          <w:i w:val="false"/>
          <w:iCs w:val="false"/>
          <w:strike w:val="false"/>
          <w:color w:val="1A1A1A"/>
          <w:sz w:val="22"/>
          <w:szCs w:val="22"/>
        </w:rPr>
        <w:t xml:space="preserve"> = 0.7 — recessed into the interior to visually distinguish latent positions. These paths retain their angular address but are drawn inward, marking them as present-but-unawakened stations within the lattice.</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This coordinate scheme ensures that the entire 96-Path system can be projected onto a plane with perfect geometric regularity. No path overlaps another; no angular address is shared. The 3.75° axiom is the irreducible quantum of angular separation within the Codex.</w:t>
      </w:r>
    </w:p>
    <w:p>
      <w:pPr>
        <w:pStyle w:val="Heading2"/>
        <w:spacing w:after="100" w:before="480" w:line="384" w:lineRule="auto"/>
      </w:pPr>
      <w:r>
        <w:rPr>
          <w:rFonts w:ascii="Cambria" w:cs="Cambria" w:eastAsia="Cambria" w:hAnsi="Cambria"/>
          <w:color w:val="8B6914"/>
          <w:spacing w:val="20"/>
          <w:sz w:val="32"/>
          <w:szCs w:val="32"/>
        </w:rPr>
        <w:t xml:space="preserve">II. Guardian Arc Designations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five Guardians govern contiguous sectors of the Lattice circle. Each Guardian's domain is an unbroken arc spanning a defined angular range, within which all paths answer to that Guardian's authority. The five arcs are enumerated below in order of angular precedence.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4%"/>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Guardian</w:t>
            </w:r>
          </w:p>
        </w:tc>
        <w:tc>
          <w:tcPr>
            <w:tcW w:type="pct" w:w="14%"/>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Arc Color</w:t>
            </w:r>
          </w:p>
        </w:tc>
        <w:tc>
          <w:tcPr>
            <w:tcW w:type="pct" w:w="2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Angular Range</w:t>
            </w:r>
          </w:p>
        </w:tc>
        <w:tc>
          <w:tcPr>
            <w:tcW w:type="pct" w:w="12%"/>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Paths</w:t>
            </w:r>
          </w:p>
        </w:tc>
        <w:tc>
          <w:tcPr>
            <w:tcW w:type="pct" w:w="1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Arc Span</w:t>
            </w:r>
          </w:p>
        </w:tc>
        <w:tc>
          <w:tcPr>
            <w:tcW w:type="pct" w:w="14%"/>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 of Circle</w:t>
            </w:r>
          </w:p>
        </w:tc>
      </w:tr>
      <w:tr>
        <w:trPr>
          <w:tblHeader w:val="false"/>
        </w:trPr>
        <w:tc>
          <w:tcPr>
            <w:tcW w:type="pct" w:w="24%"/>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 the Sovereign</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Gold</w:t>
            </w:r>
          </w:p>
        </w:tc>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 → 67.5°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1–19</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w:t>
            </w:r>
          </w:p>
        </w:tc>
      </w:tr>
      <w:tr>
        <w:trPr>
          <w:tblHeader w:val="false"/>
        </w:trPr>
        <w:tc>
          <w:tcPr>
            <w:tcW w:type="pct" w:w="24%"/>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 of Rebirth</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Crimson</w:t>
            </w:r>
          </w:p>
        </w:tc>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71.25° → 138.75°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20–38</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w:t>
            </w:r>
          </w:p>
        </w:tc>
      </w:tr>
      <w:tr>
        <w:trPr>
          <w:tblHeader w:val="false"/>
        </w:trPr>
        <w:tc>
          <w:tcPr>
            <w:tcW w:type="pct" w:w="24%"/>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 of Wisdom</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Emerald</w:t>
            </w:r>
          </w:p>
        </w:tc>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142.5° → 210°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39–57</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w:t>
            </w:r>
          </w:p>
        </w:tc>
      </w:tr>
      <w:tr>
        <w:trPr>
          <w:tblHeader w:val="false"/>
        </w:trPr>
        <w:tc>
          <w:tcPr>
            <w:tcW w:type="pct" w:w="24%"/>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 of Sight</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Silver</w:t>
            </w:r>
          </w:p>
        </w:tc>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213.75° → 281.25°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58–76</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w:t>
            </w:r>
          </w:p>
        </w:tc>
      </w:tr>
      <w:tr>
        <w:trPr>
          <w:tblHeader w:val="false"/>
        </w:trPr>
        <w:tc>
          <w:tcPr>
            <w:tcW w:type="pct" w:w="24%"/>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 of Passage</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Violet</w:t>
            </w:r>
          </w:p>
        </w:tc>
        <w:tc>
          <w:tcPr>
            <w:tcW w:type="pct" w:w="2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285° → 356.25°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77–96</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71.25°</w:t>
            </w:r>
          </w:p>
        </w:tc>
        <w:tc>
          <w:tcPr>
            <w:tcW w:type="pct" w:w="1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19.79%</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BF8F0" w:color="auto" w:val="clear"/>
            <w:tcMar>
              <w:top w:type="dxa" w:w="150"/>
              <w:left w:type="dxa" w:w="210"/>
              <w:bottom w:type="dxa" w:w="150"/>
              <w:right w:type="dxa" w:w="210"/>
            </w:tcMar>
          </w:tcPr>
          <w:p>
            <w:pPr>
              <w:spacing w:after="60" w:line="384" w:lineRule="auto"/>
              <w:jc w:val="both"/>
            </w:pPr>
            <w:r>
              <w:rPr>
                <w:rFonts w:ascii="Cambria" w:cs="Cambria" w:eastAsia="Cambria" w:hAnsi="Cambria"/>
                <w:b/>
                <w:bCs/>
                <w:i w:val="false"/>
                <w:iCs w:val="false"/>
                <w:strike w:val="false"/>
                <w:color w:val="8B6914"/>
                <w:sz w:val="20"/>
                <w:szCs w:val="20"/>
              </w:rPr>
              <w:t xml:space="preserve">Note — Liminal Intervals</w:t>
            </w:r>
          </w:p>
          <w:p>
            <w:pPr>
              <w:spacing w:after="60" w:line="384" w:lineRule="auto"/>
              <w:jc w:val="both"/>
            </w:pPr>
            <w:r>
              <w:rPr>
                <w:rFonts w:ascii="Cambria" w:cs="Cambria" w:eastAsia="Cambria" w:hAnsi="Cambria"/>
                <w:b w:val="false"/>
                <w:bCs w:val="false"/>
                <w:i w:val="false"/>
                <w:iCs w:val="false"/>
                <w:strike w:val="false"/>
                <w:color w:val="1A1A1A"/>
                <w:sz w:val="20"/>
                <w:szCs w:val="20"/>
              </w:rPr>
              <w:t xml:space="preserve">The five Guardian arcs cover 341.25° of the 360° circle. The remaining 18.75° — consisting of five gaps of 3.75° each between adjacent domains — constitute the </w:t>
            </w:r>
            <w:r>
              <w:rPr>
                <w:rFonts w:ascii="Cambria" w:cs="Cambria" w:eastAsia="Cambria" w:hAnsi="Cambria"/>
                <w:b/>
                <w:bCs/>
                <w:i w:val="false"/>
                <w:iCs w:val="false"/>
                <w:strike w:val="false"/>
                <w:color w:val="1A1A1A"/>
                <w:sz w:val="22"/>
                <w:szCs w:val="22"/>
              </w:rPr>
              <w:t xml:space="preserve">Liminal Intervals</w:t>
            </w:r>
            <w:r>
              <w:rPr>
                <w:rFonts w:ascii="Cambria" w:cs="Cambria" w:eastAsia="Cambria" w:hAnsi="Cambria"/>
                <w:b w:val="false"/>
                <w:bCs w:val="false"/>
                <w:i w:val="false"/>
                <w:iCs w:val="false"/>
                <w:strike w:val="false"/>
                <w:color w:val="1A1A1A"/>
                <w:sz w:val="20"/>
                <w:szCs w:val="20"/>
              </w:rPr>
              <w:t xml:space="preserve">. These are transitional spaces between Guardian territories where influence functions overlap and jurisdictional authority is shared. The Liminal Intervals occur at the following boundaries: 67.5°–71.25° (Lion/Phoenix), 138.75°–142.5° (Phoenix/Dragon), 210°–213.75° (Dragon/Owl), 281.25°–285° (Owl/Raven), and 356.25°–360° (Raven/Lion, closing the circle).</w:t>
            </w:r>
          </w:p>
        </w:tc>
      </w:tr>
    </w:tbl>
    <w:p>
      <w:pPr>
        <w:spacing w:after="240" w:before="0"/>
      </w:pPr>
    </w:p>
    <w:p>
      <w:pPr>
        <w:pStyle w:val="Heading2"/>
        <w:spacing w:after="100" w:before="480" w:line="384" w:lineRule="auto"/>
      </w:pPr>
      <w:r>
        <w:rPr>
          <w:rFonts w:ascii="Cambria" w:cs="Cambria" w:eastAsia="Cambria" w:hAnsi="Cambria"/>
          <w:color w:val="8B6914"/>
          <w:spacing w:val="20"/>
          <w:sz w:val="32"/>
          <w:szCs w:val="32"/>
        </w:rPr>
        <w:t xml:space="preserve">III. Quadrant Analysis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Dividing the Lattice circle into four standard geometric quadrants reveals the distribution of paths, polarities, and Guardian influence across the cardinal sectors of the system. Each quadrant spans exactly 90° of arc.</w:t>
      </w:r>
    </w:p>
    <w:p>
      <w:pPr>
        <w:pStyle w:val="Heading3"/>
        <w:spacing w:after="100" w:before="280" w:line="384" w:lineRule="auto"/>
      </w:pPr>
      <w:r>
        <w:rPr>
          <w:rFonts w:ascii="Cambria" w:cs="Cambria" w:eastAsia="Cambria" w:hAnsi="Cambria"/>
          <w:color w:val="6B5210"/>
          <w:sz w:val="26"/>
          <w:szCs w:val="26"/>
        </w:rPr>
        <w:t xml:space="preserve">Quadrant I (0°–90°): Paths 1–25</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Dominated by </w:t>
      </w:r>
      <w:r>
        <w:rPr>
          <w:rFonts w:ascii="Cambria" w:cs="Cambria" w:eastAsia="Cambria" w:hAnsi="Cambria"/>
          <w:b/>
          <w:bCs/>
          <w:i w:val="false"/>
          <w:iCs w:val="false"/>
          <w:strike w:val="false"/>
          <w:color w:val="B8860B"/>
          <w:sz w:val="22"/>
          <w:szCs w:val="22"/>
        </w:rPr>
        <w:t xml:space="preserve">Lion the Sovereign</w:t>
      </w:r>
      <w:r>
        <w:rPr>
          <w:rFonts w:ascii="Cambria" w:cs="Cambria" w:eastAsia="Cambria" w:hAnsi="Cambria"/>
          <w:b w:val="false"/>
          <w:bCs w:val="false"/>
          <w:i w:val="false"/>
          <w:iCs w:val="false"/>
          <w:strike w:val="false"/>
          <w:color w:val="1A1A1A"/>
          <w:sz w:val="22"/>
          <w:szCs w:val="22"/>
        </w:rPr>
        <w:t xml:space="preserve"> (Paths 1–19), with the opening stations of </w:t>
      </w:r>
      <w:r>
        <w:rPr>
          <w:rFonts w:ascii="Cambria" w:cs="Cambria" w:eastAsia="Cambria" w:hAnsi="Cambria"/>
          <w:b/>
          <w:bCs/>
          <w:i w:val="false"/>
          <w:iCs w:val="false"/>
          <w:strike w:val="false"/>
          <w:color w:val="A52A2A"/>
          <w:sz w:val="22"/>
          <w:szCs w:val="22"/>
        </w:rPr>
        <w:t xml:space="preserve">Phoenix of Rebirth</w:t>
      </w:r>
      <w:r>
        <w:rPr>
          <w:rFonts w:ascii="Cambria" w:cs="Cambria" w:eastAsia="Cambria" w:hAnsi="Cambria"/>
          <w:b w:val="false"/>
          <w:bCs w:val="false"/>
          <w:i w:val="false"/>
          <w:iCs w:val="false"/>
          <w:strike w:val="false"/>
          <w:color w:val="1A1A1A"/>
          <w:sz w:val="22"/>
          <w:szCs w:val="22"/>
        </w:rPr>
        <w:t xml:space="preserve"> beginning at Path 20. This quadrant contains 25 paths — the largest count of any quadrant — and holds the strongest Angelu concentration. It is the quadrant of sovereignty, origination, and commanding fire. The single Dormant path here is Path 10 (Sentinel), the lone sleeping watcher in the Lion's domain.</w:t>
      </w:r>
    </w:p>
    <w:p>
      <w:pPr>
        <w:pStyle w:val="Heading3"/>
        <w:spacing w:after="100" w:before="280" w:line="384" w:lineRule="auto"/>
      </w:pPr>
      <w:r>
        <w:rPr>
          <w:rFonts w:ascii="Cambria" w:cs="Cambria" w:eastAsia="Cambria" w:hAnsi="Cambria"/>
          <w:color w:val="6B5210"/>
          <w:sz w:val="26"/>
          <w:szCs w:val="26"/>
        </w:rPr>
        <w:t xml:space="preserve">Quadrant II (90°–180°): Paths 26–49</w:t>
      </w:r>
    </w:p>
    <w:p>
      <w:pPr>
        <w:spacing w:after="240" w:before="60" w:line="384" w:lineRule="auto"/>
        <w:jc w:val="both"/>
      </w:pPr>
      <w:r>
        <w:rPr>
          <w:rFonts w:ascii="Cambria" w:cs="Cambria" w:eastAsia="Cambria" w:hAnsi="Cambria"/>
          <w:b/>
          <w:bCs/>
          <w:i w:val="false"/>
          <w:iCs w:val="false"/>
          <w:strike w:val="false"/>
          <w:color w:val="A52A2A"/>
          <w:sz w:val="22"/>
          <w:szCs w:val="22"/>
        </w:rPr>
        <w:t xml:space="preserve">Phoenix of Rebirth</w:t>
      </w:r>
      <w:r>
        <w:rPr>
          <w:rFonts w:ascii="Cambria" w:cs="Cambria" w:eastAsia="Cambria" w:hAnsi="Cambria"/>
          <w:b w:val="false"/>
          <w:bCs w:val="false"/>
          <w:i w:val="false"/>
          <w:iCs w:val="false"/>
          <w:strike w:val="false"/>
          <w:color w:val="1A1A1A"/>
          <w:sz w:val="22"/>
          <w:szCs w:val="22"/>
        </w:rPr>
        <w:t xml:space="preserve"> continues through Path 38, after which </w:t>
      </w:r>
      <w:r>
        <w:rPr>
          <w:rFonts w:ascii="Cambria" w:cs="Cambria" w:eastAsia="Cambria" w:hAnsi="Cambria"/>
          <w:b/>
          <w:bCs/>
          <w:i w:val="false"/>
          <w:iCs w:val="false"/>
          <w:strike w:val="false"/>
          <w:color w:val="2E7D32"/>
          <w:sz w:val="22"/>
          <w:szCs w:val="22"/>
        </w:rPr>
        <w:t xml:space="preserve">Dragon of Wisdom</w:t>
      </w:r>
      <w:r>
        <w:rPr>
          <w:rFonts w:ascii="Cambria" w:cs="Cambria" w:eastAsia="Cambria" w:hAnsi="Cambria"/>
          <w:b w:val="false"/>
          <w:bCs w:val="false"/>
          <w:i w:val="false"/>
          <w:iCs w:val="false"/>
          <w:strike w:val="false"/>
          <w:color w:val="1A1A1A"/>
          <w:sz w:val="22"/>
          <w:szCs w:val="22"/>
        </w:rPr>
        <w:t xml:space="preserve"> begins at Path 39. This quadrant contains 24 paths and exhibits mixed polarity with a notably strong Angelu surplus of +7. Three Dormant paths reside here — Ignition (28), Transfiguration (37), and Leviathan (46) — the highest concentration of latent stations in any quadrant.</w:t>
      </w:r>
    </w:p>
    <w:p>
      <w:pPr>
        <w:pStyle w:val="Heading3"/>
        <w:spacing w:after="100" w:before="280" w:line="384" w:lineRule="auto"/>
      </w:pPr>
      <w:r>
        <w:rPr>
          <w:rFonts w:ascii="Cambria" w:cs="Cambria" w:eastAsia="Cambria" w:hAnsi="Cambria"/>
          <w:color w:val="6B5210"/>
          <w:sz w:val="26"/>
          <w:szCs w:val="26"/>
        </w:rPr>
        <w:t xml:space="preserve">Quadrant III (180°–270°): Paths 50–73</w:t>
      </w:r>
    </w:p>
    <w:p>
      <w:pPr>
        <w:spacing w:after="240" w:before="60" w:line="384" w:lineRule="auto"/>
        <w:jc w:val="both"/>
      </w:pPr>
      <w:r>
        <w:rPr>
          <w:rFonts w:ascii="Cambria" w:cs="Cambria" w:eastAsia="Cambria" w:hAnsi="Cambria"/>
          <w:b/>
          <w:bCs/>
          <w:i w:val="false"/>
          <w:iCs w:val="false"/>
          <w:strike w:val="false"/>
          <w:color w:val="2E7D32"/>
          <w:sz w:val="22"/>
          <w:szCs w:val="22"/>
        </w:rPr>
        <w:t xml:space="preserve">Dragon of Wisdom</w:t>
      </w:r>
      <w:r>
        <w:rPr>
          <w:rFonts w:ascii="Cambria" w:cs="Cambria" w:eastAsia="Cambria" w:hAnsi="Cambria"/>
          <w:b w:val="false"/>
          <w:bCs w:val="false"/>
          <w:i w:val="false"/>
          <w:iCs w:val="false"/>
          <w:strike w:val="false"/>
          <w:color w:val="1A1A1A"/>
          <w:sz w:val="22"/>
          <w:szCs w:val="22"/>
        </w:rPr>
        <w:t xml:space="preserve"> concludes with Path 57, and </w:t>
      </w:r>
      <w:r>
        <w:rPr>
          <w:rFonts w:ascii="Cambria" w:cs="Cambria" w:eastAsia="Cambria" w:hAnsi="Cambria"/>
          <w:b/>
          <w:bCs/>
          <w:i w:val="false"/>
          <w:iCs w:val="false"/>
          <w:strike w:val="false"/>
          <w:color w:val="5A5A7A"/>
          <w:sz w:val="22"/>
          <w:szCs w:val="22"/>
        </w:rPr>
        <w:t xml:space="preserve">Owl of Sight</w:t>
      </w:r>
      <w:r>
        <w:rPr>
          <w:rFonts w:ascii="Cambria" w:cs="Cambria" w:eastAsia="Cambria" w:hAnsi="Cambria"/>
          <w:b w:val="false"/>
          <w:bCs w:val="false"/>
          <w:i w:val="false"/>
          <w:iCs w:val="false"/>
          <w:strike w:val="false"/>
          <w:color w:val="1A1A1A"/>
          <w:sz w:val="22"/>
          <w:szCs w:val="22"/>
        </w:rPr>
        <w:t xml:space="preserve"> spans the majority of this quadrant (Paths 58–73). With 24 paths total, this is the most Neutral-heavy quadrant, containing 7 Neutral-polarity stations — the domain of perception, hidden knowledge, and equilibrium. Only one Dormant path is present: Oracle (64).</w:t>
      </w:r>
    </w:p>
    <w:p>
      <w:pPr>
        <w:pStyle w:val="Heading3"/>
        <w:spacing w:after="100" w:before="280" w:line="384" w:lineRule="auto"/>
      </w:pPr>
      <w:r>
        <w:rPr>
          <w:rFonts w:ascii="Cambria" w:cs="Cambria" w:eastAsia="Cambria" w:hAnsi="Cambria"/>
          <w:color w:val="6B5210"/>
          <w:sz w:val="26"/>
          <w:szCs w:val="26"/>
        </w:rPr>
        <w:t xml:space="preserve">Quadrant IV (270°–360°): Paths 74–96</w:t>
      </w:r>
    </w:p>
    <w:p>
      <w:pPr>
        <w:spacing w:after="240" w:before="60" w:line="384" w:lineRule="auto"/>
        <w:jc w:val="both"/>
      </w:pPr>
      <w:r>
        <w:rPr>
          <w:rFonts w:ascii="Cambria" w:cs="Cambria" w:eastAsia="Cambria" w:hAnsi="Cambria"/>
          <w:b/>
          <w:bCs/>
          <w:i w:val="false"/>
          <w:iCs w:val="false"/>
          <w:strike w:val="false"/>
          <w:color w:val="5A5A7A"/>
          <w:sz w:val="22"/>
          <w:szCs w:val="22"/>
        </w:rPr>
        <w:t xml:space="preserve">Owl of Sight</w:t>
      </w:r>
      <w:r>
        <w:rPr>
          <w:rFonts w:ascii="Cambria" w:cs="Cambria" w:eastAsia="Cambria" w:hAnsi="Cambria"/>
          <w:b w:val="false"/>
          <w:bCs w:val="false"/>
          <w:i w:val="false"/>
          <w:iCs w:val="false"/>
          <w:strike w:val="false"/>
          <w:color w:val="1A1A1A"/>
          <w:sz w:val="22"/>
          <w:szCs w:val="22"/>
        </w:rPr>
        <w:t xml:space="preserve"> concludes with Path 76, and </w:t>
      </w:r>
      <w:r>
        <w:rPr>
          <w:rFonts w:ascii="Cambria" w:cs="Cambria" w:eastAsia="Cambria" w:hAnsi="Cambria"/>
          <w:b/>
          <w:bCs/>
          <w:i w:val="false"/>
          <w:iCs w:val="false"/>
          <w:strike w:val="false"/>
          <w:color w:val="6A1B9A"/>
          <w:sz w:val="22"/>
          <w:szCs w:val="22"/>
        </w:rPr>
        <w:t xml:space="preserve">Raven of Passage</w:t>
      </w:r>
      <w:r>
        <w:rPr>
          <w:rFonts w:ascii="Cambria" w:cs="Cambria" w:eastAsia="Cambria" w:hAnsi="Cambria"/>
          <w:b w:val="false"/>
          <w:bCs w:val="false"/>
          <w:i w:val="false"/>
          <w:iCs w:val="false"/>
          <w:strike w:val="false"/>
          <w:color w:val="1A1A1A"/>
          <w:sz w:val="22"/>
          <w:szCs w:val="22"/>
        </w:rPr>
        <w:t xml:space="preserve"> commands the remainder (Paths 77–96). This quadrant contains 23 paths — the smallest count — and bears the strongest Deminu concentration relative to its size. It is the domain of endings, twilight, and passage. Two Dormant paths mark this space: Abyss (82) and Hollow (91).</w:t>
      </w:r>
    </w:p>
    <w:p>
      <w:pPr>
        <w:pStyle w:val="Heading3"/>
        <w:spacing w:after="100" w:before="280" w:line="384" w:lineRule="auto"/>
      </w:pPr>
      <w:r>
        <w:rPr>
          <w:rFonts w:ascii="Cambria" w:cs="Cambria" w:eastAsia="Cambria" w:hAnsi="Cambria"/>
          <w:color w:val="6B5210"/>
          <w:sz w:val="26"/>
          <w:szCs w:val="26"/>
        </w:rPr>
        <w:t xml:space="preserve">Quadrant Summary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10%"/>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Quadrant</w:t>
            </w:r>
          </w:p>
        </w:tc>
        <w:tc>
          <w:tcPr>
            <w:tcW w:type="pct" w:w="11%"/>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Paths</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Count</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Angelu (⊕)</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Deminu (⊖)</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Neutral (○)</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Dormant (◇)</w:t>
            </w:r>
          </w:p>
        </w:tc>
        <w:tc>
          <w:tcPr>
            <w:tcW w:type="pct" w:w="1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Net State</w:t>
            </w:r>
          </w:p>
        </w:tc>
        <w:tc>
          <w:tcPr>
            <w:tcW w:type="pct" w:w="21%"/>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Dominant Character</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I</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 Angelu</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Lion / Sovereignty</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II</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26–49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 Angelu</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Phoenix / Transformation</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III</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50–73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 Angelu</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Owl / Perception</w:t>
            </w:r>
          </w:p>
        </w:tc>
      </w:tr>
      <w:tr>
        <w:trPr>
          <w:tblHeader w:val="false"/>
        </w:trPr>
        <w:tc>
          <w:tcPr>
            <w:tcW w:type="pct" w:w="10%"/>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IV</w:t>
            </w:r>
          </w:p>
        </w:tc>
        <w:tc>
          <w:tcPr>
            <w:tcW w:type="pct" w:w="1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74–96</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23</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 Angelu</w:t>
            </w:r>
          </w:p>
        </w:tc>
        <w:tc>
          <w:tcPr>
            <w:tcW w:type="pct" w:w="2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Raven / Passage</w:t>
            </w:r>
          </w:p>
        </w:tc>
      </w:tr>
    </w:tbl>
    <w:p>
      <w:pPr>
        <w:spacing w:after="200" w:before="0"/>
      </w:pPr>
    </w:p>
    <w:p>
      <w:pPr>
        <w:pStyle w:val="Heading2"/>
        <w:spacing w:after="100" w:before="480" w:line="384" w:lineRule="auto"/>
      </w:pPr>
      <w:r>
        <w:rPr>
          <w:rFonts w:ascii="Cambria" w:cs="Cambria" w:eastAsia="Cambria" w:hAnsi="Cambria"/>
          <w:color w:val="8B6914"/>
          <w:spacing w:val="20"/>
          <w:sz w:val="32"/>
          <w:szCs w:val="32"/>
        </w:rPr>
        <w:t xml:space="preserve">IV. Angular Position Table — Full 96-Path Listing</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following master table presents the complete angular map of all 96 paths, organized by hexagram (16 groups of 6 paths each). For each path, the angular position </w:t>
      </w:r>
      <w:r>
        <w:rPr>
          <w:rFonts w:ascii="Cambria Math" w:cs="Cambria Math" w:eastAsia="Cambria Math" w:hAnsi="Cambria Math"/>
          <w:b w:val="false"/>
          <w:bCs w:val="false"/>
          <w:i/>
          <w:iCs/>
          <w:strike w:val="false"/>
          <w:color w:val="3A3A3A"/>
          <w:sz w:val="22"/>
          <w:szCs w:val="22"/>
        </w:rPr>
        <w:t xml:space="preserve">θ</w:t>
      </w:r>
      <w:r>
        <w:rPr>
          <w:rFonts w:ascii="Cambria" w:cs="Cambria" w:eastAsia="Cambria" w:hAnsi="Cambria"/>
          <w:b w:val="false"/>
          <w:bCs w:val="false"/>
          <w:i w:val="false"/>
          <w:iCs w:val="false"/>
          <w:strike w:val="false"/>
          <w:color w:val="1A1A1A"/>
          <w:sz w:val="22"/>
          <w:szCs w:val="22"/>
        </w:rPr>
        <w:t xml:space="preserve">, Cartesian coordinates (</w:t>
      </w:r>
      <w:r>
        <w:rPr>
          <w:rFonts w:ascii="Cambria Math" w:cs="Cambria Math" w:eastAsia="Cambria Math" w:hAnsi="Cambria Math"/>
          <w:b w:val="false"/>
          <w:bCs w:val="false"/>
          <w:i/>
          <w:iCs/>
          <w:strike w:val="false"/>
          <w:color w:val="3A3A3A"/>
          <w:sz w:val="22"/>
          <w:szCs w:val="22"/>
        </w:rPr>
        <w:t xml:space="preserve">x</w:t>
      </w:r>
      <w:r>
        <w:rPr>
          <w:rFonts w:ascii="Cambria" w:cs="Cambria" w:eastAsia="Cambria" w:hAnsi="Cambria"/>
          <w:b w:val="false"/>
          <w:bCs w:val="false"/>
          <w:i w:val="false"/>
          <w:iCs w:val="false"/>
          <w:strike w:val="false"/>
          <w:color w:val="1A1A1A"/>
          <w:sz w:val="22"/>
          <w:szCs w:val="22"/>
        </w:rPr>
        <w:t xml:space="preserve">, </w:t>
      </w:r>
      <w:r>
        <w:rPr>
          <w:rFonts w:ascii="Cambria Math" w:cs="Cambria Math" w:eastAsia="Cambria Math" w:hAnsi="Cambria Math"/>
          <w:b w:val="false"/>
          <w:bCs w:val="false"/>
          <w:i/>
          <w:iCs/>
          <w:strike w:val="false"/>
          <w:color w:val="3A3A3A"/>
          <w:sz w:val="22"/>
          <w:szCs w:val="22"/>
        </w:rPr>
        <w:t xml:space="preserve">y</w:t>
      </w:r>
      <w:r>
        <w:rPr>
          <w:rFonts w:ascii="Cambria" w:cs="Cambria" w:eastAsia="Cambria" w:hAnsi="Cambria"/>
          <w:b w:val="false"/>
          <w:bCs w:val="false"/>
          <w:i w:val="false"/>
          <w:iCs w:val="false"/>
          <w:strike w:val="false"/>
          <w:color w:val="1A1A1A"/>
          <w:sz w:val="22"/>
          <w:szCs w:val="22"/>
        </w:rPr>
        <w:t xml:space="preserve">), Guardian assignment, polarity symbol, and operational status are recorded. Polarity notation: ⊕ = Angelu, ⊖ = Deminu, ○ = Neutral, ◇ = Dormant. All trigonometric values are computed to three decimal places.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31%"/>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w:t>
            </w:r>
          </w:p>
        </w:tc>
        <w:tc>
          <w:tcPr>
            <w:tcW w:type="pct" w:w="12%"/>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Name</w:t>
            </w:r>
          </w:p>
        </w:tc>
        <w:tc>
          <w:tcPr>
            <w:tcW w:type="pct" w:w="10%"/>
            <w:shd w:fill="F5EDD6" w:color="auto" w:val="clear"/>
            <w:tcMar>
              <w:top w:type="dxa" w:w="60"/>
              <w:left w:type="dxa" w:w="90"/>
              <w:bottom w:type="dxa" w:w="60"/>
              <w:right w:type="dxa" w:w="90"/>
            </w:tcMar>
          </w:tcPr>
          <w:p>
            <w:r>
              <w:rPr>
                <w:rFonts w:ascii="Cambria Math" w:cs="Cambria Math" w:eastAsia="Cambria Math" w:hAnsi="Cambria Math"/>
                <w:b/>
                <w:bCs/>
                <w:i/>
                <w:iCs/>
                <w:strike w:val="false"/>
                <w:color w:val="5A4510"/>
                <w:sz w:val="22"/>
                <w:szCs w:val="22"/>
              </w:rPr>
              <w:t xml:space="preserve">θ</w:t>
            </w:r>
            <w:r>
              <w:rPr>
                <w:rFonts w:ascii="Cambria" w:cs="Cambria" w:eastAsia="Cambria" w:hAnsi="Cambria"/>
                <w:b/>
                <w:bCs/>
                <w:i w:val="false"/>
                <w:iCs w:val="false"/>
                <w:strike w:val="false"/>
                <w:color w:val="5A4510"/>
                <w:sz w:val="18"/>
                <w:szCs w:val="18"/>
              </w:rPr>
              <w:t xml:space="preserve"> (°)</w:t>
            </w:r>
          </w:p>
        </w:tc>
        <w:tc>
          <w:tcPr>
            <w:tcW w:type="pct" w:w="10%"/>
            <w:shd w:fill="F5EDD6" w:color="auto" w:val="clear"/>
            <w:tcMar>
              <w:top w:type="dxa" w:w="60"/>
              <w:left w:type="dxa" w:w="90"/>
              <w:bottom w:type="dxa" w:w="60"/>
              <w:right w:type="dxa" w:w="90"/>
            </w:tcMar>
          </w:tcPr>
          <w:p>
            <w:r>
              <w:rPr>
                <w:rFonts w:ascii="Cambria Math" w:cs="Cambria Math" w:eastAsia="Cambria Math" w:hAnsi="Cambria Math"/>
                <w:b/>
                <w:bCs/>
                <w:i/>
                <w:iCs/>
                <w:strike w:val="false"/>
                <w:color w:val="5A4510"/>
                <w:sz w:val="22"/>
                <w:szCs w:val="22"/>
              </w:rPr>
              <w:t xml:space="preserve">x</w:t>
            </w:r>
            <w:r>
              <w:rPr>
                <w:rFonts w:ascii="Cambria" w:cs="Cambria" w:eastAsia="Cambria" w:hAnsi="Cambria"/>
                <w:b/>
                <w:bCs/>
                <w:i w:val="false"/>
                <w:iCs w:val="false"/>
                <w:strike w:val="false"/>
                <w:color w:val="5A4510"/>
                <w:sz w:val="18"/>
                <w:szCs w:val="18"/>
              </w:rPr>
              <w:t xml:space="preserve"> = cos </w:t>
            </w:r>
            <w:r>
              <w:rPr>
                <w:rFonts w:ascii="Cambria Math" w:cs="Cambria Math" w:eastAsia="Cambria Math" w:hAnsi="Cambria Math"/>
                <w:b/>
                <w:bCs/>
                <w:i/>
                <w:iCs/>
                <w:strike w:val="false"/>
                <w:color w:val="5A4510"/>
                <w:sz w:val="22"/>
                <w:szCs w:val="22"/>
              </w:rPr>
              <w:t xml:space="preserve">θ</w:t>
            </w:r>
          </w:p>
        </w:tc>
        <w:tc>
          <w:tcPr>
            <w:tcW w:type="pct" w:w="10%"/>
            <w:shd w:fill="F5EDD6" w:color="auto" w:val="clear"/>
            <w:tcMar>
              <w:top w:type="dxa" w:w="60"/>
              <w:left w:type="dxa" w:w="90"/>
              <w:bottom w:type="dxa" w:w="60"/>
              <w:right w:type="dxa" w:w="90"/>
            </w:tcMar>
          </w:tcPr>
          <w:p>
            <w:r>
              <w:rPr>
                <w:rFonts w:ascii="Cambria Math" w:cs="Cambria Math" w:eastAsia="Cambria Math" w:hAnsi="Cambria Math"/>
                <w:b/>
                <w:bCs/>
                <w:i/>
                <w:iCs/>
                <w:strike w:val="false"/>
                <w:color w:val="5A4510"/>
                <w:sz w:val="22"/>
                <w:szCs w:val="22"/>
              </w:rPr>
              <w:t xml:space="preserve">y</w:t>
            </w:r>
            <w:r>
              <w:rPr>
                <w:rFonts w:ascii="Cambria" w:cs="Cambria" w:eastAsia="Cambria" w:hAnsi="Cambria"/>
                <w:b/>
                <w:bCs/>
                <w:i w:val="false"/>
                <w:iCs w:val="false"/>
                <w:strike w:val="false"/>
                <w:color w:val="5A4510"/>
                <w:sz w:val="18"/>
                <w:szCs w:val="18"/>
              </w:rPr>
              <w:t xml:space="preserve"> = sin </w:t>
            </w:r>
            <w:r>
              <w:rPr>
                <w:rFonts w:ascii="Cambria Math" w:cs="Cambria Math" w:eastAsia="Cambria Math" w:hAnsi="Cambria Math"/>
                <w:b/>
                <w:bCs/>
                <w:i/>
                <w:iCs/>
                <w:strike w:val="false"/>
                <w:color w:val="5A4510"/>
                <w:sz w:val="22"/>
                <w:szCs w:val="22"/>
              </w:rPr>
              <w:t xml:space="preserve">θ</w:t>
            </w:r>
          </w:p>
        </w:tc>
        <w:tc>
          <w:tcPr>
            <w:tcW w:type="pct" w:w="10%"/>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Guardian</w:t>
            </w:r>
          </w:p>
        </w:tc>
        <w:tc>
          <w:tcPr>
            <w:tcW w:type="pct" w:w="8%"/>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Pol.</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Status</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I — 0° to 18.75° — The Crown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Crown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Throne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Herald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Aegis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Vanguard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Standard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II — 22.5° to 41.25° — The Bastion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Bastion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Mandate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Forge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Sentinel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Warden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Valor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III — 45° to 63.75° — The Dominion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Dominion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Rampart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Apex</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Sovereign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Garrison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Tribute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IV — 67.5° to 86.25° — The Vigilance Sequence (Lion/Phoenix Boundary)</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Vigilance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Ember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Pyre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Cinder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Kindle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Crucible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V — 90° to 108.75° — The Flare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Flare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Solstice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Radiance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Ignition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Aurora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Catalyst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VI — 112.5° to 131.25° — The Furnace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Furnace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Tempest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116.25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Blaze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Inferno</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Scorch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127.50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Immolation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131.25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VII — 135° to 153.75° — The Transfiguration Sequence (Phoenix/Dragon Boundary)</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Transfiguration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135.00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Resurgence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138.75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Emerald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142.50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Verdant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146.25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Wyrm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150.00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Serpentis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153.75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VIII — 157.5° to 176.25° — The Coil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Coil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157.50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Fathom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161.25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Abyssal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165.00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Leviathan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168.75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Trident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172.50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Maelstrom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176.25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IX — 180° to 198.75° — The Meridian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49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Meridian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Compass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Anchor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187.50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Leyline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191.25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Geode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195.00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Cruciform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198.75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 — 202.5° to 221.25° — The Strata Sequence (Dragon/Owl Boundary)</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Strata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202.50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Monolith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206.25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Obelisk</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210.00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Iris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213.75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59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Vigil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217.50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Nocturne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221.25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XI — 225° to 243.75° — The Cipher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Cipher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225.00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Glyph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228.75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Sigil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232.50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Oracle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236.25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Augur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Portent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XII — 247.5° to 266.25° — The Omen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Omen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247.50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Prophecy</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251.25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69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Vision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255.00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Specter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258.75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Wraith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262.50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Phantom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266.25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XIII — 270° to 288.75° — The Labyrinth Sequence (Owl/Raven Boundary)</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Labyrinth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270.00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−1.000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Enigma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273.75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Paradox</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277.50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Divination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281.25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Obsidian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285.00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Umbra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288.75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XIV — 292.5° to 311.25° — The Eclipse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79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Eclipse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292.50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Penumbra</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296.25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Void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300.00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Abyss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303.75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Crypt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307.50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Requiem</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311.25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XV — 315° to 333.75° — The Dusk Sequence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Dusk</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315.00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−0.707</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Twilight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318.75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0.752</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87</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Eventide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322.50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0.793</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−0.609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88</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Vesper</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326.25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0.831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−0.556</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89</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Dirge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330.00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−0.500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90</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Knell</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333.75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0.897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−0.442</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gridSpan w:val="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Hexagram XVI — 337.5° to 356.25° — The Hollow Sequence (Terminal)</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91</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Hollow</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337.50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0.924</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−0.383</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Dormant</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92</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Terminus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341.25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0.947</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−0.321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93</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Finality</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345.00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0.966</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−0.259</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94</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Nexus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348.75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0.981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−0.195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95</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Threshold</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352.50</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0.991</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−0.131</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r>
        <w:trPr>
          <w:tblHeader w:val="false"/>
        </w:trPr>
        <w:tc>
          <w:tcPr>
            <w:tcW w:type="pct" w:w="31%"/>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96</w:t>
            </w:r>
          </w:p>
        </w:tc>
        <w:tc>
          <w:tcPr>
            <w:tcW w:type="pct" w:w="12%"/>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Ouroboros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356.25</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0.998</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−0.065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2"/>
                <w:szCs w:val="22"/>
              </w:rPr>
              <w:t xml:space="preserve">Active</w:t>
            </w:r>
          </w:p>
        </w:tc>
      </w:tr>
    </w:tbl>
    <w:p>
      <w:pPr>
        <w:spacing w:after="200" w:before="0"/>
      </w:pPr>
    </w:p>
    <w:p>
      <w:pPr>
        <w:pStyle w:val="Heading2"/>
        <w:spacing w:after="100" w:before="480" w:line="384" w:lineRule="auto"/>
      </w:pPr>
      <w:r>
        <w:rPr>
          <w:rFonts w:ascii="Cambria" w:cs="Cambria" w:eastAsia="Cambria" w:hAnsi="Cambria"/>
          <w:color w:val="8B6914"/>
          <w:spacing w:val="20"/>
          <w:sz w:val="32"/>
          <w:szCs w:val="32"/>
        </w:rPr>
        <w:t xml:space="preserve">V. Diametrically Opposite Path Pairs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Every path in the 96-Path Lattice possesses a diametrically opposite counterpart — a path separated by exactly 180° (48 positions) across the circle. These antipodal pairs form the deep structural axes of the Codex, each axis connecting two paths whose thematic and polaric natures create meaningful tension. The following table presents the most notable of these pairings.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5%"/>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 A</w:t>
            </w:r>
          </w:p>
        </w:tc>
        <w:tc>
          <w:tcPr>
            <w:tcW w:type="pct" w:w="10%"/>
            <w:shd w:fill="F5EDD6" w:color="auto" w:val="clear"/>
            <w:tcMar>
              <w:top w:type="dxa" w:w="60"/>
              <w:left w:type="dxa" w:w="90"/>
              <w:bottom w:type="dxa" w:w="60"/>
              <w:right w:type="dxa" w:w="90"/>
            </w:tcMar>
          </w:tcPr>
          <w:p>
            <w:r>
              <w:rPr>
                <w:rFonts w:ascii="Cambria Math" w:cs="Cambria Math" w:eastAsia="Cambria Math" w:hAnsi="Cambria Math"/>
                <w:b/>
                <w:bCs/>
                <w:i/>
                <w:iCs/>
                <w:strike w:val="false"/>
                <w:color w:val="5A4510"/>
                <w:sz w:val="22"/>
                <w:szCs w:val="22"/>
              </w:rPr>
              <w:t xml:space="preserve">θ</w:t>
            </w:r>
          </w:p>
        </w:tc>
        <w:tc>
          <w:tcPr>
            <w:tcW w:type="pct" w:w="10%"/>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Guardian</w:t>
            </w:r>
          </w:p>
        </w:tc>
        <w:tc>
          <w:tcPr>
            <w:tcW w:type="pct" w:w="8%"/>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w:t>
            </w:r>
          </w:p>
        </w:tc>
        <w:tc>
          <w:tcPr>
            <w:tcW w:type="pct" w:w="1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 B</w:t>
            </w:r>
          </w:p>
        </w:tc>
        <w:tc>
          <w:tcPr>
            <w:tcW w:type="pct" w:w="10%"/>
            <w:shd w:fill="F5EDD6" w:color="auto" w:val="clear"/>
            <w:tcMar>
              <w:top w:type="dxa" w:w="60"/>
              <w:left w:type="dxa" w:w="90"/>
              <w:bottom w:type="dxa" w:w="60"/>
              <w:right w:type="dxa" w:w="90"/>
            </w:tcMar>
          </w:tcPr>
          <w:p>
            <w:r>
              <w:rPr>
                <w:rFonts w:ascii="Cambria Math" w:cs="Cambria Math" w:eastAsia="Cambria Math" w:hAnsi="Cambria Math"/>
                <w:b/>
                <w:bCs/>
                <w:i/>
                <w:iCs/>
                <w:strike w:val="false"/>
                <w:color w:val="5A4510"/>
                <w:sz w:val="22"/>
                <w:szCs w:val="22"/>
              </w:rPr>
              <w:t xml:space="preserve">θ</w:t>
            </w:r>
          </w:p>
        </w:tc>
        <w:tc>
          <w:tcPr>
            <w:tcW w:type="pct" w:w="10%"/>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Guardian</w:t>
            </w:r>
          </w:p>
        </w:tc>
        <w:tc>
          <w:tcPr>
            <w:tcW w:type="pct" w:w="24%"/>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Axis Interpretation</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 — Crown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49 — Meridian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180°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Sovereignty meets the meridian of wisdom</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10 — Sentinel</w:t>
            </w:r>
            <w:r>
              <w:rPr>
                <w:rFonts w:ascii="Cambria" w:cs="Cambria" w:eastAsia="Cambria" w:hAnsi="Cambria"/>
                <w:b w:val="false"/>
                <w:bCs w:val="false"/>
                <w:i w:val="false"/>
                <w:iCs w:val="false"/>
                <w:strike w:val="false"/>
                <w:color w:val="1A1A1A"/>
                <w:sz w:val="20"/>
                <w:szCs w:val="20"/>
              </w:rPr>
              <w:t xml:space="preserve"> </w:t>
            </w:r>
            <w:r>
              <w:rPr>
                <w:rFonts w:ascii="Cambria" w:cs="Cambria" w:eastAsia="Cambria" w:hAnsi="Cambria"/>
                <w:b w:val="false"/>
                <w:bCs w:val="false"/>
                <w:i/>
                <w:iCs/>
                <w:strike w:val="false"/>
                <w:color w:val="1A1A1A"/>
                <w:sz w:val="22"/>
                <w:szCs w:val="22"/>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33.75°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58 — Iris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213.75°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Dormant guardian faces awakened sight</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25 — Flare</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90°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73 — Labyrinth</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270°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Pure fire confronts the maze of perception</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28 — Ignition</w:t>
            </w:r>
            <w:r>
              <w:rPr>
                <w:rFonts w:ascii="Cambria" w:cs="Cambria" w:eastAsia="Cambria" w:hAnsi="Cambria"/>
                <w:b w:val="false"/>
                <w:bCs w:val="false"/>
                <w:i w:val="false"/>
                <w:iCs w:val="false"/>
                <w:strike w:val="false"/>
                <w:color w:val="1A1A1A"/>
                <w:sz w:val="20"/>
                <w:szCs w:val="20"/>
              </w:rPr>
              <w:t xml:space="preserve"> </w:t>
            </w:r>
            <w:r>
              <w:rPr>
                <w:rFonts w:ascii="Cambria" w:cs="Cambria" w:eastAsia="Cambria" w:hAnsi="Cambria"/>
                <w:b w:val="false"/>
                <w:bCs w:val="false"/>
                <w:i/>
                <w:iCs/>
                <w:strike w:val="false"/>
                <w:color w:val="1A1A1A"/>
                <w:sz w:val="22"/>
                <w:szCs w:val="22"/>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101.25°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76 — Divination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281.25°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Unlit spark faces the diviner</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46 — Leviathan</w:t>
            </w:r>
            <w:r>
              <w:rPr>
                <w:rFonts w:ascii="Cambria" w:cs="Cambria" w:eastAsia="Cambria" w:hAnsi="Cambria"/>
                <w:b w:val="false"/>
                <w:bCs w:val="false"/>
                <w:i w:val="false"/>
                <w:iCs w:val="false"/>
                <w:strike w:val="false"/>
                <w:color w:val="1A1A1A"/>
                <w:sz w:val="20"/>
                <w:szCs w:val="20"/>
              </w:rPr>
              <w:t xml:space="preserve"> </w:t>
            </w:r>
            <w:r>
              <w:rPr>
                <w:rFonts w:ascii="Cambria" w:cs="Cambria" w:eastAsia="Cambria" w:hAnsi="Cambria"/>
                <w:b w:val="false"/>
                <w:bCs w:val="false"/>
                <w:i/>
                <w:iCs/>
                <w:strike w:val="false"/>
                <w:color w:val="1A1A1A"/>
                <w:sz w:val="22"/>
                <w:szCs w:val="22"/>
              </w:rPr>
              <w:t xml:space="preserve">(Dormant)</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168.75°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94 — Nexus</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348.75°</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Sleeping deep-force opposite the connective node</w:t>
            </w:r>
          </w:p>
        </w:tc>
      </w:tr>
      <w:tr>
        <w:trPr>
          <w:tblHeader w:val="false"/>
        </w:trPr>
        <w:tc>
          <w:tcPr>
            <w:tcW w:type="pct" w:w="15%"/>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49 — Meridian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180°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8%"/>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 — Crown</w:t>
            </w:r>
          </w:p>
        </w:tc>
        <w:tc>
          <w:tcPr>
            <w:tcW w:type="pct" w:w="10%"/>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0°</w:t>
            </w:r>
          </w:p>
        </w:tc>
        <w:tc>
          <w:tcPr>
            <w:tcW w:type="pct" w:w="10%"/>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2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The 180° axis of the Codex — the primary diameter</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BF8F0" w:color="auto" w:val="clear"/>
            <w:tcMar>
              <w:top w:type="dxa" w:w="150"/>
              <w:left w:type="dxa" w:w="210"/>
              <w:bottom w:type="dxa" w:w="150"/>
              <w:right w:type="dxa" w:w="210"/>
            </w:tcMar>
          </w:tcPr>
          <w:p>
            <w:pPr>
              <w:spacing w:after="60" w:line="384" w:lineRule="auto"/>
              <w:jc w:val="both"/>
            </w:pPr>
            <w:r>
              <w:rPr>
                <w:rFonts w:ascii="Cambria" w:cs="Cambria" w:eastAsia="Cambria" w:hAnsi="Cambria"/>
                <w:b/>
                <w:bCs/>
                <w:i w:val="false"/>
                <w:iCs w:val="false"/>
                <w:strike w:val="false"/>
                <w:color w:val="8B6914"/>
                <w:sz w:val="20"/>
                <w:szCs w:val="20"/>
              </w:rPr>
              <w:t xml:space="preserve">Structural Observation</w:t>
            </w:r>
          </w:p>
          <w:p>
            <w:pPr>
              <w:spacing w:after="60" w:line="384" w:lineRule="auto"/>
              <w:jc w:val="both"/>
            </w:pPr>
            <w:r>
              <w:rPr>
                <w:rFonts w:ascii="Cambria" w:cs="Cambria" w:eastAsia="Cambria" w:hAnsi="Cambria"/>
                <w:b w:val="false"/>
                <w:bCs w:val="false"/>
                <w:i w:val="false"/>
                <w:iCs w:val="false"/>
                <w:strike w:val="false"/>
                <w:color w:val="1A1A1A"/>
                <w:sz w:val="20"/>
                <w:szCs w:val="20"/>
              </w:rPr>
              <w:t xml:space="preserve">Every Lion path is diametrically opposite a Dragon or Owl path, and every Phoenix path faces an Owl or Raven path. The Guardians are arranged so that their oppositions create meaningful thematic tension across the circle: sovereignty against wisdom, rebirth against perception, passage against dominion. No Guardian faces itself across the diameter — the architecture of opposition is total.</w:t>
            </w:r>
          </w:p>
        </w:tc>
      </w:tr>
    </w:tbl>
    <w:p>
      <w:pPr>
        <w:spacing w:after="240" w:before="0"/>
      </w:pPr>
    </w:p>
    <w:p>
      <w:pPr>
        <w:pStyle w:val="Heading2"/>
        <w:spacing w:after="100" w:before="480" w:line="384" w:lineRule="auto"/>
      </w:pPr>
      <w:r>
        <w:rPr>
          <w:rFonts w:ascii="Cambria" w:cs="Cambria" w:eastAsia="Cambria" w:hAnsi="Cambria"/>
          <w:color w:val="8B6914"/>
          <w:spacing w:val="20"/>
          <w:sz w:val="32"/>
          <w:szCs w:val="32"/>
        </w:rPr>
        <w:t xml:space="preserve">VI. Special Angular Positions</w:t>
      </w:r>
    </w:p>
    <w:p>
      <w:pPr>
        <w:pBdr>
          <w:top w:val="single" w:color="C9A84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Certain angular positions within the Lattice correspond to geometrically significant points — the cardinal directions, the diagonal axes, and the trine positions of classical geometry. The paths occupying these positions carry additional structural weight within the Codex.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2%"/>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Angle</w:t>
            </w:r>
          </w:p>
        </w:tc>
        <w:tc>
          <w:tcPr>
            <w:tcW w:type="pct" w:w="34%"/>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Geometric Significance</w:t>
            </w:r>
          </w:p>
        </w:tc>
        <w:tc>
          <w:tcPr>
            <w:tcW w:type="pct" w:w="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Path</w:t>
            </w:r>
          </w:p>
        </w:tc>
        <w:tc>
          <w:tcPr>
            <w:tcW w:type="pct" w:w="19%"/>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Name</w:t>
            </w:r>
          </w:p>
        </w:tc>
        <w:tc>
          <w:tcPr>
            <w:tcW w:type="pct" w:w="1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Guardian</w:t>
            </w:r>
          </w:p>
        </w:tc>
        <w:tc>
          <w:tcPr>
            <w:tcW w:type="pct" w:w="13%"/>
            <w:shd w:fill="F5EDD6" w:color="auto" w:val="clear"/>
            <w:tcMar>
              <w:top w:type="dxa" w:w="60"/>
              <w:left w:type="dxa" w:w="90"/>
              <w:bottom w:type="dxa" w:w="60"/>
              <w:right w:type="dxa" w:w="90"/>
            </w:tcMar>
          </w:tcPr>
          <w:p>
            <w:r>
              <w:rPr>
                <w:rFonts w:ascii="Cambria" w:cs="Cambria" w:eastAsia="Cambria" w:hAnsi="Cambria"/>
                <w:b/>
                <w:bCs/>
                <w:i w:val="false"/>
                <w:iCs w:val="false"/>
                <w:strike w:val="false"/>
                <w:color w:val="5A4510"/>
                <w:sz w:val="18"/>
                <w:szCs w:val="18"/>
              </w:rPr>
              <w:t xml:space="preserve">Status</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0°</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Origin — Cardinal North</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Crown</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45°</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Diagonal (NE)</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13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Dominion</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B8860B"/>
                <w:sz w:val="22"/>
                <w:szCs w:val="22"/>
              </w:rPr>
              <w:t xml:space="preserve">Lion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90°</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Cardinal East</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25</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Flare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120°</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Trine Position</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33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Blaze</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135°</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Diagonal (SE) — </w:t>
            </w:r>
            <w:r>
              <w:rPr>
                <w:rFonts w:ascii="Cambria" w:cs="Cambria" w:eastAsia="Cambria" w:hAnsi="Cambria"/>
                <w:b w:val="false"/>
                <w:bCs w:val="false"/>
                <w:i/>
                <w:iCs/>
                <w:strike w:val="false"/>
                <w:color w:val="1A1A1A"/>
                <w:sz w:val="22"/>
                <w:szCs w:val="22"/>
              </w:rPr>
              <w:t xml:space="preserve">notably Dormant</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37</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Transfiguration</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A52A2A"/>
                <w:sz w:val="22"/>
                <w:szCs w:val="22"/>
              </w:rPr>
              <w:t xml:space="preserve">Phoenix</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Dormant</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180°</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The Axis — Cardinal West — Midpoint</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49</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Meridian</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2E7D32"/>
                <w:sz w:val="22"/>
                <w:szCs w:val="22"/>
              </w:rPr>
              <w:t xml:space="preserve">Dragon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225°</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Diagonal (SW)</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61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Cipher</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270°</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Cardinal South</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73</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Labyrinth</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5A5A7A"/>
                <w:sz w:val="22"/>
                <w:szCs w:val="22"/>
              </w:rPr>
              <w:t xml:space="preserve">Owl</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315°</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Diagonal (NW)</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85</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Dusk</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Active</w:t>
            </w:r>
          </w:p>
        </w:tc>
      </w:tr>
      <w:tr>
        <w:trPr>
          <w:tblHeader w:val="false"/>
        </w:trPr>
        <w:tc>
          <w:tcPr>
            <w:tcW w:type="pct" w:w="12%"/>
            <w:tcMar>
              <w:top w:type="dxa" w:w="60"/>
              <w:left w:type="dxa" w:w="90"/>
              <w:bottom w:type="dxa" w:w="60"/>
              <w:right w:type="dxa" w:w="90"/>
            </w:tcMar>
          </w:tcPr>
          <w:p>
            <w:r>
              <w:rPr>
                <w:rFonts w:ascii="Cambria" w:cs="Cambria" w:eastAsia="Cambria" w:hAnsi="Cambria"/>
                <w:b/>
                <w:bCs/>
                <w:i w:val="false"/>
                <w:iCs w:val="false"/>
                <w:strike w:val="false"/>
                <w:color w:val="1A1A1A"/>
                <w:sz w:val="22"/>
                <w:szCs w:val="22"/>
              </w:rPr>
              <w:t xml:space="preserve">337.5°</w:t>
            </w:r>
          </w:p>
        </w:tc>
        <w:tc>
          <w:tcPr>
            <w:tcW w:type="pct" w:w="34%"/>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The Last Dormant — Terminal Diagonal</w:t>
            </w:r>
          </w:p>
        </w:tc>
        <w:tc>
          <w:tcPr>
            <w:tcW w:type="pct" w:w="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91</w:t>
            </w:r>
          </w:p>
        </w:tc>
        <w:tc>
          <w:tcPr>
            <w:tcW w:type="pct" w:w="19%"/>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Hollow</w:t>
            </w:r>
          </w:p>
        </w:tc>
        <w:tc>
          <w:tcPr>
            <w:tcW w:type="pct" w:w="13%"/>
            <w:tcMar>
              <w:top w:type="dxa" w:w="60"/>
              <w:left w:type="dxa" w:w="90"/>
              <w:bottom w:type="dxa" w:w="60"/>
              <w:right w:type="dxa" w:w="90"/>
            </w:tcMar>
          </w:tcPr>
          <w:p>
            <w:r>
              <w:rPr>
                <w:rFonts w:ascii="Cambria" w:cs="Cambria" w:eastAsia="Cambria" w:hAnsi="Cambria"/>
                <w:b/>
                <w:bCs/>
                <w:i w:val="false"/>
                <w:iCs w:val="false"/>
                <w:strike w:val="false"/>
                <w:color w:val="6A1B9A"/>
                <w:sz w:val="22"/>
                <w:szCs w:val="22"/>
              </w:rPr>
              <w:t xml:space="preserve">Raven</w:t>
            </w:r>
          </w:p>
        </w:tc>
        <w:tc>
          <w:tcPr>
            <w:tcW w:type="pct" w:w="13%"/>
            <w:tcMar>
              <w:top w:type="dxa" w:w="60"/>
              <w:left w:type="dxa" w:w="90"/>
              <w:bottom w:type="dxa" w:w="60"/>
              <w:right w:type="dxa" w:w="90"/>
            </w:tcMar>
          </w:tcPr>
          <w:p>
            <w:r>
              <w:rPr>
                <w:rFonts w:ascii="Cambria" w:cs="Cambria" w:eastAsia="Cambria" w:hAnsi="Cambria"/>
                <w:b w:val="false"/>
                <w:bCs w:val="false"/>
                <w:i w:val="false"/>
                <w:iCs w:val="false"/>
                <w:strike w:val="false"/>
                <w:color w:val="1A1A1A"/>
                <w:sz w:val="20"/>
                <w:szCs w:val="20"/>
              </w:rPr>
              <w:t xml:space="preserve">Dormant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6914" w:sz="6"/>
              <w:left w:val="single" w:color="8B6914" w:sz="6"/>
              <w:bottom w:val="single" w:color="8B6914" w:sz="6"/>
              <w:right w:val="single" w:color="8B6914" w:sz="6"/>
            </w:tcBorders>
            <w:shd w:fill="FBF8F0" w:color="auto" w:val="clear"/>
            <w:tcMar>
              <w:top w:type="dxa" w:w="150"/>
              <w:left w:type="dxa" w:w="210"/>
              <w:bottom w:type="dxa" w:w="150"/>
              <w:right w:type="dxa" w:w="210"/>
            </w:tcMar>
          </w:tcPr>
          <w:p>
            <w:pPr>
              <w:spacing w:after="60" w:line="384" w:lineRule="auto"/>
              <w:jc w:val="both"/>
            </w:pPr>
            <w:r>
              <w:rPr>
                <w:rFonts w:ascii="Cambria" w:cs="Cambria" w:eastAsia="Cambria" w:hAnsi="Cambria"/>
                <w:b/>
                <w:bCs/>
                <w:i w:val="false"/>
                <w:iCs w:val="false"/>
                <w:strike w:val="false"/>
                <w:color w:val="8B6914"/>
                <w:sz w:val="20"/>
                <w:szCs w:val="20"/>
              </w:rPr>
              <w:t xml:space="preserve">Observation — Cardinal and Diagonal Symmetry</w:t>
            </w:r>
          </w:p>
          <w:p>
            <w:pPr>
              <w:spacing w:after="60" w:line="384" w:lineRule="auto"/>
              <w:jc w:val="both"/>
            </w:pPr>
            <w:r>
              <w:rPr>
                <w:rFonts w:ascii="Cambria" w:cs="Cambria" w:eastAsia="Cambria" w:hAnsi="Cambria"/>
                <w:b w:val="false"/>
                <w:bCs w:val="false"/>
                <w:i w:val="false"/>
                <w:iCs w:val="false"/>
                <w:strike w:val="false"/>
                <w:color w:val="1A1A1A"/>
                <w:sz w:val="20"/>
                <w:szCs w:val="20"/>
              </w:rPr>
              <w:t xml:space="preserve">Of the four cardinal positions (0°, 90°, 180°, 270°), all four are Active — and the origin at 0° is the system's foundational point, Path 1: Crown. Of the four diagonal positions (45°, 135°, 225°, 315°), three are Active and one is Dormant: the 135° diagonal, occupied by </w:t>
            </w:r>
            <w:r>
              <w:rPr>
                <w:rFonts w:ascii="Cambria" w:cs="Cambria" w:eastAsia="Cambria" w:hAnsi="Cambria"/>
                <w:b/>
                <w:bCs/>
                <w:i w:val="false"/>
                <w:iCs w:val="false"/>
                <w:strike w:val="false"/>
                <w:color w:val="1A1A1A"/>
                <w:sz w:val="22"/>
                <w:szCs w:val="22"/>
              </w:rPr>
              <w:t xml:space="preserve">Transfiguration</w:t>
            </w:r>
            <w:r>
              <w:rPr>
                <w:rFonts w:ascii="Cambria" w:cs="Cambria" w:eastAsia="Cambria" w:hAnsi="Cambria"/>
                <w:b w:val="false"/>
                <w:bCs w:val="false"/>
                <w:i w:val="false"/>
                <w:iCs w:val="false"/>
                <w:strike w:val="false"/>
                <w:color w:val="1A1A1A"/>
                <w:sz w:val="20"/>
                <w:szCs w:val="20"/>
              </w:rPr>
              <w:t xml:space="preserve">. This dormant diagonal is particularly significant as it sits precisely at the Phoenix–Dragon boundary, the liminal threshold between rebirth and wisdom. Its dormancy at a major geometric axis suggests a latent transformation point — a gate that has not yet opened.</w:t>
            </w:r>
          </w:p>
        </w:tc>
      </w:tr>
    </w:tbl>
    <w:p>
      <w:pPr>
        <w:spacing w:after="240" w:before="0"/>
      </w:pPr>
    </w:p>
    <w:p>
      <w:pPr>
        <w:pBdr>
          <w:bottom w:val="single" w:color="C9A84C"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Lattice Angular Map fixes every path in geometric space, transforming the abstract state vector into a navigable territory. Each path's position is not arbitrary but architecturally determined — a consequence of the 3.75° axiom that governs the entire Codex. To read the map is to see the system as it truly is: a circle of ninety-six stations, each holding its polarity, each answering to its Guardian, each contributing to the whole.</w:t>
      </w:r>
    </w:p>
    <w:p>
      <w:pPr>
        <w:spacing w:after="240" w:before="60" w:line="384" w:lineRule="auto"/>
        <w:jc w:val="center"/>
      </w:pPr>
      <w:r>
        <w:rPr>
          <w:rFonts w:ascii="Cambria" w:cs="Cambria" w:eastAsia="Cambria" w:hAnsi="Cambria"/>
          <w:b w:val="false"/>
          <w:bCs w:val="false"/>
          <w:i w:val="false"/>
          <w:iCs w:val="false"/>
          <w:strike w:val="false"/>
          <w:color w:val="B8A070"/>
          <w:sz w:val="22"/>
          <w:szCs w:val="22"/>
        </w:rPr>
        <w:t xml:space="preserve">• • • END OF APPENDIX D • •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hxe8wavdHv5j6ShbdLTnA</dc:title>
  <dc:creator>Un-named</dc:creator>
  <dc:description>Generated document</dc:description>
  <cp:lastModifiedBy>Un-named</cp:lastModifiedBy>
  <cp:revision>1</cp:revision>
  <dcterms:created xsi:type="dcterms:W3CDTF">2026-04-16T20:18:16.288Z</dcterms:created>
  <dcterms:modified xsi:type="dcterms:W3CDTF">2026-04-16T20:18:16.288Z</dcterms:modified>
</cp:coreProperties>
</file>

<file path=docProps/custom.xml><?xml version="1.0" encoding="utf-8"?>
<Properties xmlns="http://schemas.openxmlformats.org/officeDocument/2006/custom-properties" xmlns:vt="http://schemas.openxmlformats.org/officeDocument/2006/docPropsVTypes"/>
</file>