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019E2" w14:textId="77777777" w:rsidR="00B2650A" w:rsidRPr="009A257C" w:rsidRDefault="0074118A" w:rsidP="0074118A">
      <w:pPr>
        <w:jc w:val="center"/>
        <w:rPr>
          <w:rFonts w:asciiTheme="majorHAnsi" w:hAnsiTheme="majorHAnsi"/>
          <w:b/>
          <w:sz w:val="28"/>
        </w:rPr>
      </w:pPr>
      <w:r w:rsidRPr="009A257C">
        <w:rPr>
          <w:rFonts w:asciiTheme="majorHAnsi" w:hAnsiTheme="majorHAnsi"/>
          <w:b/>
          <w:sz w:val="28"/>
        </w:rPr>
        <w:t>CS3243 Term Project – Let’s Play Tetris</w:t>
      </w:r>
    </w:p>
    <w:p w14:paraId="134DC85F" w14:textId="77777777" w:rsidR="0074118A" w:rsidRPr="0074118A" w:rsidRDefault="0074118A">
      <w:pPr>
        <w:rPr>
          <w:rFonts w:asciiTheme="majorHAnsi" w:hAnsiTheme="majorHAnsi"/>
        </w:rPr>
      </w:pP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4"/>
        <w:gridCol w:w="3505"/>
        <w:gridCol w:w="3505"/>
      </w:tblGrid>
      <w:tr w:rsidR="0074118A" w:rsidRPr="0074118A" w14:paraId="4A9A44F1" w14:textId="77777777" w:rsidTr="00867731">
        <w:trPr>
          <w:trHeight w:val="740"/>
        </w:trPr>
        <w:tc>
          <w:tcPr>
            <w:tcW w:w="3504" w:type="dxa"/>
            <w:vAlign w:val="center"/>
          </w:tcPr>
          <w:p w14:paraId="2A0CB31D" w14:textId="77777777" w:rsidR="0074118A" w:rsidRPr="009A257C" w:rsidRDefault="0074118A" w:rsidP="0074118A">
            <w:pPr>
              <w:jc w:val="center"/>
              <w:rPr>
                <w:rFonts w:asciiTheme="majorHAnsi" w:hAnsiTheme="majorHAnsi"/>
                <w:b/>
              </w:rPr>
            </w:pPr>
            <w:r w:rsidRPr="009A257C">
              <w:rPr>
                <w:rFonts w:asciiTheme="majorHAnsi" w:hAnsiTheme="majorHAnsi"/>
                <w:b/>
              </w:rPr>
              <w:t>Group 10</w:t>
            </w:r>
          </w:p>
        </w:tc>
        <w:tc>
          <w:tcPr>
            <w:tcW w:w="3505" w:type="dxa"/>
            <w:vAlign w:val="center"/>
          </w:tcPr>
          <w:p w14:paraId="444027C4" w14:textId="77777777" w:rsidR="0074118A" w:rsidRPr="0074118A" w:rsidRDefault="0074118A" w:rsidP="0074118A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74118A">
              <w:rPr>
                <w:rFonts w:asciiTheme="majorHAnsi" w:eastAsia="Times New Roman" w:hAnsiTheme="majorHAnsi" w:cs="Arial"/>
                <w:color w:val="000000"/>
              </w:rPr>
              <w:t>Cheong Ee Ju Martin (A0087013M)</w:t>
            </w:r>
          </w:p>
        </w:tc>
        <w:tc>
          <w:tcPr>
            <w:tcW w:w="3505" w:type="dxa"/>
            <w:vAlign w:val="center"/>
          </w:tcPr>
          <w:p w14:paraId="79A8E26D" w14:textId="77777777" w:rsidR="00016FC1" w:rsidRDefault="0074118A" w:rsidP="0074118A">
            <w:pPr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74118A">
              <w:rPr>
                <w:rFonts w:asciiTheme="majorHAnsi" w:eastAsia="Times New Roman" w:hAnsiTheme="majorHAnsi" w:cs="Arial"/>
                <w:color w:val="000000"/>
              </w:rPr>
              <w:t xml:space="preserve">Law Wen Yong </w:t>
            </w:r>
          </w:p>
          <w:p w14:paraId="6C4267F0" w14:textId="5F035F17" w:rsidR="0074118A" w:rsidRPr="0074118A" w:rsidRDefault="0074118A" w:rsidP="0074118A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74118A">
              <w:rPr>
                <w:rFonts w:asciiTheme="majorHAnsi" w:eastAsia="Times New Roman" w:hAnsiTheme="majorHAnsi" w:cs="Arial"/>
                <w:color w:val="000000"/>
              </w:rPr>
              <w:t>(A0081205U)</w:t>
            </w:r>
          </w:p>
        </w:tc>
      </w:tr>
      <w:tr w:rsidR="0074118A" w:rsidRPr="0074118A" w14:paraId="7ACA5408" w14:textId="77777777" w:rsidTr="00867731">
        <w:trPr>
          <w:trHeight w:val="740"/>
        </w:trPr>
        <w:tc>
          <w:tcPr>
            <w:tcW w:w="3504" w:type="dxa"/>
            <w:vAlign w:val="center"/>
          </w:tcPr>
          <w:p w14:paraId="1B53BAFA" w14:textId="17C84918" w:rsidR="0074118A" w:rsidRPr="0074118A" w:rsidRDefault="0074118A" w:rsidP="0074118A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74118A">
              <w:rPr>
                <w:rFonts w:asciiTheme="majorHAnsi" w:eastAsia="Times New Roman" w:hAnsiTheme="majorHAnsi" w:cs="Arial"/>
                <w:color w:val="000000"/>
              </w:rPr>
              <w:t xml:space="preserve">Nguyen Hoang Thanh Duc </w:t>
            </w:r>
            <w:r w:rsidR="00016FC1">
              <w:rPr>
                <w:rFonts w:asciiTheme="majorHAnsi" w:eastAsia="Times New Roman" w:hAnsiTheme="majorHAnsi" w:cs="Arial"/>
                <w:color w:val="000000"/>
              </w:rPr>
              <w:t>(</w:t>
            </w:r>
            <w:r w:rsidRPr="0074118A">
              <w:rPr>
                <w:rFonts w:asciiTheme="majorHAnsi" w:eastAsia="Times New Roman" w:hAnsiTheme="majorHAnsi" w:cs="Arial"/>
                <w:color w:val="000000"/>
              </w:rPr>
              <w:t>A0090551L</w:t>
            </w:r>
            <w:r w:rsidR="00016FC1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3505" w:type="dxa"/>
            <w:vAlign w:val="center"/>
          </w:tcPr>
          <w:p w14:paraId="7638D219" w14:textId="77777777" w:rsidR="0074118A" w:rsidRPr="0074118A" w:rsidRDefault="0074118A" w:rsidP="0074118A">
            <w:pPr>
              <w:jc w:val="center"/>
              <w:rPr>
                <w:rFonts w:asciiTheme="majorHAnsi" w:hAnsiTheme="majorHAnsi" w:cs="Times New Roman"/>
              </w:rPr>
            </w:pPr>
            <w:r w:rsidRPr="0074118A">
              <w:rPr>
                <w:rFonts w:asciiTheme="majorHAnsi" w:hAnsiTheme="majorHAnsi" w:cs="Arial"/>
                <w:color w:val="000000"/>
              </w:rPr>
              <w:t>Worapol Ratanapan</w:t>
            </w:r>
          </w:p>
          <w:p w14:paraId="7CE0FBA5" w14:textId="77777777" w:rsidR="0074118A" w:rsidRPr="0074118A" w:rsidRDefault="0074118A" w:rsidP="0074118A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74118A">
              <w:rPr>
                <w:rFonts w:asciiTheme="majorHAnsi" w:eastAsia="Times New Roman" w:hAnsiTheme="majorHAnsi" w:cs="Arial"/>
                <w:color w:val="000000"/>
              </w:rPr>
              <w:t>(A0074997E)</w:t>
            </w:r>
          </w:p>
        </w:tc>
        <w:tc>
          <w:tcPr>
            <w:tcW w:w="3505" w:type="dxa"/>
            <w:vAlign w:val="center"/>
          </w:tcPr>
          <w:p w14:paraId="5E22DECD" w14:textId="77777777" w:rsidR="0074118A" w:rsidRPr="0074118A" w:rsidRDefault="0074118A" w:rsidP="0074118A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74118A">
              <w:rPr>
                <w:rFonts w:asciiTheme="majorHAnsi" w:eastAsia="Times New Roman" w:hAnsiTheme="majorHAnsi" w:cs="Arial"/>
                <w:color w:val="000000"/>
              </w:rPr>
              <w:t>Wong Shun Heur, John (A0088015H)</w:t>
            </w:r>
          </w:p>
        </w:tc>
      </w:tr>
    </w:tbl>
    <w:p w14:paraId="3F06B6E2" w14:textId="77777777" w:rsidR="0074118A" w:rsidRPr="0074118A" w:rsidRDefault="0074118A">
      <w:pPr>
        <w:rPr>
          <w:rFonts w:asciiTheme="majorHAnsi" w:hAnsiTheme="majorHAnsi"/>
        </w:rPr>
      </w:pPr>
    </w:p>
    <w:p w14:paraId="7FA2DF3A" w14:textId="77777777" w:rsidR="009A257C" w:rsidRPr="009A257C" w:rsidRDefault="009A257C">
      <w:pPr>
        <w:rPr>
          <w:rFonts w:asciiTheme="majorHAnsi" w:hAnsiTheme="majorHAnsi"/>
          <w:b/>
        </w:rPr>
      </w:pPr>
      <w:r w:rsidRPr="009A257C">
        <w:rPr>
          <w:rFonts w:asciiTheme="majorHAnsi" w:hAnsiTheme="majorHAnsi"/>
          <w:b/>
        </w:rPr>
        <w:t>Approach</w:t>
      </w:r>
    </w:p>
    <w:p w14:paraId="265AC030" w14:textId="77777777" w:rsidR="009A257C" w:rsidRDefault="009A257C">
      <w:pPr>
        <w:rPr>
          <w:rFonts w:asciiTheme="majorHAnsi" w:hAnsiTheme="majorHAnsi"/>
        </w:rPr>
      </w:pPr>
    </w:p>
    <w:p w14:paraId="53E19A39" w14:textId="504D584B" w:rsidR="00FA4FB3" w:rsidRDefault="009A25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Since Tetris is a game with a single goal (clear the most number of lines without filling the board) </w:t>
      </w:r>
      <w:r w:rsidR="00B01604">
        <w:rPr>
          <w:rFonts w:asciiTheme="majorHAnsi" w:hAnsiTheme="majorHAnsi"/>
        </w:rPr>
        <w:t>and the move to make depends on the board’s current state</w:t>
      </w:r>
      <w:r w:rsidR="00E42532">
        <w:rPr>
          <w:rFonts w:asciiTheme="majorHAnsi" w:hAnsiTheme="majorHAnsi"/>
        </w:rPr>
        <w:t>,</w:t>
      </w:r>
      <w:r w:rsidR="00B0160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 utility-based agent </w:t>
      </w:r>
      <w:r w:rsidR="00026FE7">
        <w:rPr>
          <w:rFonts w:asciiTheme="majorHAnsi" w:hAnsiTheme="majorHAnsi"/>
        </w:rPr>
        <w:t>was implemented by our group</w:t>
      </w:r>
      <w:r>
        <w:rPr>
          <w:rFonts w:asciiTheme="majorHAnsi" w:hAnsiTheme="majorHAnsi"/>
        </w:rPr>
        <w:t xml:space="preserve">. </w:t>
      </w:r>
    </w:p>
    <w:p w14:paraId="028BBEB1" w14:textId="6DCC5B90" w:rsidR="009A257C" w:rsidRDefault="009A25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numerous variations to how utility </w:t>
      </w:r>
      <w:r w:rsidR="000822BF">
        <w:rPr>
          <w:rFonts w:asciiTheme="majorHAnsi" w:hAnsiTheme="majorHAnsi"/>
        </w:rPr>
        <w:t>can</w:t>
      </w:r>
      <w:r>
        <w:rPr>
          <w:rFonts w:asciiTheme="majorHAnsi" w:hAnsiTheme="majorHAnsi"/>
        </w:rPr>
        <w:t xml:space="preserve"> be calculated, since </w:t>
      </w:r>
      <w:r w:rsidR="000822BF">
        <w:rPr>
          <w:rFonts w:asciiTheme="majorHAnsi" w:hAnsiTheme="majorHAnsi"/>
        </w:rPr>
        <w:t xml:space="preserve">we felt </w:t>
      </w:r>
      <w:r>
        <w:rPr>
          <w:rFonts w:asciiTheme="majorHAnsi" w:hAnsiTheme="majorHAnsi"/>
        </w:rPr>
        <w:t xml:space="preserve">there was not much innovation that could be </w:t>
      </w:r>
      <w:r w:rsidR="000822BF">
        <w:rPr>
          <w:rFonts w:asciiTheme="majorHAnsi" w:hAnsiTheme="majorHAnsi"/>
        </w:rPr>
        <w:t xml:space="preserve">created in this aspect, our group decided to reference existing </w:t>
      </w:r>
      <w:r w:rsidR="009A08AA">
        <w:rPr>
          <w:rFonts w:asciiTheme="majorHAnsi" w:hAnsiTheme="majorHAnsi"/>
        </w:rPr>
        <w:t>features</w:t>
      </w:r>
      <w:r w:rsidR="000B629B">
        <w:rPr>
          <w:rStyle w:val="FootnoteReference"/>
          <w:rFonts w:asciiTheme="majorHAnsi" w:hAnsiTheme="majorHAnsi"/>
        </w:rPr>
        <w:footnoteReference w:id="1"/>
      </w:r>
      <w:r w:rsidR="000822BF">
        <w:rPr>
          <w:rFonts w:asciiTheme="majorHAnsi" w:hAnsiTheme="majorHAnsi"/>
        </w:rPr>
        <w:t xml:space="preserve"> and innovate on other aspects.</w:t>
      </w:r>
    </w:p>
    <w:p w14:paraId="461F4A31" w14:textId="77777777" w:rsidR="000822BF" w:rsidRDefault="000822BF">
      <w:pPr>
        <w:rPr>
          <w:rFonts w:asciiTheme="majorHAnsi" w:hAnsiTheme="majorHAnsi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7402"/>
      </w:tblGrid>
      <w:tr w:rsidR="000822BF" w14:paraId="5183F6F8" w14:textId="77777777" w:rsidTr="003849A8">
        <w:trPr>
          <w:trHeight w:val="311"/>
        </w:trPr>
        <w:tc>
          <w:tcPr>
            <w:tcW w:w="2345" w:type="dxa"/>
          </w:tcPr>
          <w:p w14:paraId="396E14FE" w14:textId="7751C386" w:rsidR="000822BF" w:rsidRPr="000822BF" w:rsidRDefault="009A08A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Features</w:t>
            </w:r>
          </w:p>
        </w:tc>
        <w:tc>
          <w:tcPr>
            <w:tcW w:w="7402" w:type="dxa"/>
          </w:tcPr>
          <w:p w14:paraId="4F2820ED" w14:textId="77777777" w:rsidR="000822BF" w:rsidRPr="000822BF" w:rsidRDefault="000822BF">
            <w:pPr>
              <w:rPr>
                <w:rFonts w:asciiTheme="majorHAnsi" w:hAnsiTheme="majorHAnsi"/>
                <w:b/>
              </w:rPr>
            </w:pPr>
            <w:r w:rsidRPr="000822BF">
              <w:rPr>
                <w:rFonts w:asciiTheme="majorHAnsi" w:hAnsiTheme="majorHAnsi"/>
                <w:b/>
              </w:rPr>
              <w:t>Description</w:t>
            </w:r>
          </w:p>
        </w:tc>
      </w:tr>
      <w:tr w:rsidR="000822BF" w14:paraId="663B8E6E" w14:textId="77777777" w:rsidTr="003849A8">
        <w:trPr>
          <w:trHeight w:val="311"/>
        </w:trPr>
        <w:tc>
          <w:tcPr>
            <w:tcW w:w="2345" w:type="dxa"/>
          </w:tcPr>
          <w:p w14:paraId="4EA65DE3" w14:textId="77777777" w:rsidR="000822BF" w:rsidRDefault="000822BF" w:rsidP="000B6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Rows Cleared</w:t>
            </w:r>
          </w:p>
        </w:tc>
        <w:tc>
          <w:tcPr>
            <w:tcW w:w="7402" w:type="dxa"/>
          </w:tcPr>
          <w:p w14:paraId="5F6CA67A" w14:textId="77777777" w:rsidR="000822BF" w:rsidRDefault="000822BF" w:rsidP="000B6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rows cleared by a move</w:t>
            </w:r>
          </w:p>
        </w:tc>
      </w:tr>
      <w:tr w:rsidR="000822BF" w14:paraId="57300651" w14:textId="77777777" w:rsidTr="003849A8">
        <w:trPr>
          <w:trHeight w:val="311"/>
        </w:trPr>
        <w:tc>
          <w:tcPr>
            <w:tcW w:w="2345" w:type="dxa"/>
          </w:tcPr>
          <w:p w14:paraId="15D3F252" w14:textId="77777777" w:rsidR="000822BF" w:rsidRDefault="000822BF" w:rsidP="000B6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Landing Height</w:t>
            </w:r>
          </w:p>
        </w:tc>
        <w:tc>
          <w:tcPr>
            <w:tcW w:w="7402" w:type="dxa"/>
          </w:tcPr>
          <w:p w14:paraId="7F03FDE4" w14:textId="77777777" w:rsidR="000822BF" w:rsidRDefault="000822BF" w:rsidP="000B6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height which a piece lands + (height of piece) / 2</w:t>
            </w:r>
          </w:p>
        </w:tc>
      </w:tr>
      <w:tr w:rsidR="000822BF" w14:paraId="20CE8AA7" w14:textId="77777777" w:rsidTr="003849A8">
        <w:trPr>
          <w:trHeight w:val="337"/>
        </w:trPr>
        <w:tc>
          <w:tcPr>
            <w:tcW w:w="2345" w:type="dxa"/>
          </w:tcPr>
          <w:p w14:paraId="686F403E" w14:textId="77777777" w:rsidR="000822BF" w:rsidRDefault="000822BF" w:rsidP="000B6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Row Transitions</w:t>
            </w:r>
          </w:p>
        </w:tc>
        <w:tc>
          <w:tcPr>
            <w:tcW w:w="7402" w:type="dxa"/>
          </w:tcPr>
          <w:p w14:paraId="0F007D2B" w14:textId="77777777" w:rsidR="000822BF" w:rsidRDefault="000822BF" w:rsidP="000B6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transitions between a filled and empty cell in a row</w:t>
            </w:r>
          </w:p>
        </w:tc>
      </w:tr>
      <w:tr w:rsidR="000822BF" w14:paraId="0C1E20C4" w14:textId="77777777" w:rsidTr="003849A8">
        <w:trPr>
          <w:trHeight w:val="291"/>
        </w:trPr>
        <w:tc>
          <w:tcPr>
            <w:tcW w:w="2345" w:type="dxa"/>
          </w:tcPr>
          <w:p w14:paraId="2EA9ECB4" w14:textId="77777777" w:rsidR="000822BF" w:rsidRDefault="000822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Column Transitions</w:t>
            </w:r>
          </w:p>
        </w:tc>
        <w:tc>
          <w:tcPr>
            <w:tcW w:w="7402" w:type="dxa"/>
          </w:tcPr>
          <w:p w14:paraId="47EA8C88" w14:textId="77777777" w:rsidR="000822BF" w:rsidRDefault="000822BF" w:rsidP="000822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transitions between a filled and empty cell in a column</w:t>
            </w:r>
          </w:p>
        </w:tc>
      </w:tr>
      <w:tr w:rsidR="000822BF" w14:paraId="54B5B195" w14:textId="77777777" w:rsidTr="003849A8">
        <w:trPr>
          <w:trHeight w:val="311"/>
        </w:trPr>
        <w:tc>
          <w:tcPr>
            <w:tcW w:w="2345" w:type="dxa"/>
          </w:tcPr>
          <w:p w14:paraId="7ADBAD22" w14:textId="77777777" w:rsidR="000822BF" w:rsidRDefault="000822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Holes</w:t>
            </w:r>
          </w:p>
        </w:tc>
        <w:tc>
          <w:tcPr>
            <w:tcW w:w="7402" w:type="dxa"/>
          </w:tcPr>
          <w:p w14:paraId="588DD874" w14:textId="77777777" w:rsidR="000822BF" w:rsidRDefault="000822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hole is defined as an empty cell with at least one filled cell above it</w:t>
            </w:r>
          </w:p>
        </w:tc>
      </w:tr>
      <w:tr w:rsidR="000822BF" w14:paraId="24ACD104" w14:textId="77777777" w:rsidTr="003849A8">
        <w:trPr>
          <w:trHeight w:val="311"/>
        </w:trPr>
        <w:tc>
          <w:tcPr>
            <w:tcW w:w="2345" w:type="dxa"/>
          </w:tcPr>
          <w:p w14:paraId="596A79FE" w14:textId="77777777" w:rsidR="000822BF" w:rsidRDefault="000822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Well Sum</w:t>
            </w:r>
          </w:p>
        </w:tc>
        <w:tc>
          <w:tcPr>
            <w:tcW w:w="7402" w:type="dxa"/>
          </w:tcPr>
          <w:p w14:paraId="64D6EF72" w14:textId="77777777" w:rsidR="000822BF" w:rsidRDefault="000822BF" w:rsidP="000822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 is defined as an empty cell with filled cells on its left and right</w:t>
            </w:r>
          </w:p>
        </w:tc>
      </w:tr>
    </w:tbl>
    <w:p w14:paraId="14DB4FD0" w14:textId="77777777" w:rsidR="000822BF" w:rsidRDefault="000822BF">
      <w:pPr>
        <w:rPr>
          <w:rFonts w:asciiTheme="majorHAnsi" w:hAnsiTheme="majorHAnsi"/>
        </w:rPr>
      </w:pPr>
    </w:p>
    <w:p w14:paraId="3C918B5F" w14:textId="458671F2" w:rsidR="0074118A" w:rsidRDefault="009A08A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Feature Weights</w:t>
      </w:r>
    </w:p>
    <w:p w14:paraId="29D23B08" w14:textId="77777777" w:rsidR="009A08AA" w:rsidRDefault="009A08AA">
      <w:pPr>
        <w:rPr>
          <w:rFonts w:asciiTheme="majorHAnsi" w:hAnsiTheme="majorHAnsi"/>
          <w:b/>
        </w:rPr>
      </w:pPr>
    </w:p>
    <w:p w14:paraId="135DDA93" w14:textId="3924ED4F" w:rsidR="009A08AA" w:rsidRDefault="002E1558">
      <w:pPr>
        <w:rPr>
          <w:rFonts w:asciiTheme="majorHAnsi" w:hAnsiTheme="majorHAnsi"/>
        </w:rPr>
      </w:pPr>
      <w:r w:rsidRPr="002E1558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performance of the utility </w:t>
      </w:r>
      <w:r w:rsidR="008F5F54">
        <w:rPr>
          <w:rFonts w:asciiTheme="majorHAnsi" w:hAnsiTheme="majorHAnsi"/>
        </w:rPr>
        <w:t>agent</w:t>
      </w:r>
      <w:r>
        <w:rPr>
          <w:rFonts w:asciiTheme="majorHAnsi" w:hAnsiTheme="majorHAnsi"/>
        </w:rPr>
        <w:t xml:space="preserve"> would be </w:t>
      </w:r>
      <w:r w:rsidR="006607BA">
        <w:rPr>
          <w:rFonts w:asciiTheme="majorHAnsi" w:hAnsiTheme="majorHAnsi"/>
        </w:rPr>
        <w:t xml:space="preserve">very </w:t>
      </w:r>
      <w:r w:rsidR="003E527A">
        <w:rPr>
          <w:rFonts w:asciiTheme="majorHAnsi" w:hAnsiTheme="majorHAnsi"/>
        </w:rPr>
        <w:t>limited</w:t>
      </w:r>
      <w:r w:rsidR="008F5F54">
        <w:rPr>
          <w:rFonts w:asciiTheme="majorHAnsi" w:hAnsiTheme="majorHAnsi"/>
        </w:rPr>
        <w:t xml:space="preserve"> if its features were not appropriately weighted. To find the </w:t>
      </w:r>
      <w:r w:rsidR="00DF0376">
        <w:rPr>
          <w:rFonts w:asciiTheme="majorHAnsi" w:hAnsiTheme="majorHAnsi"/>
        </w:rPr>
        <w:t xml:space="preserve">appropriate weights, </w:t>
      </w:r>
      <w:r w:rsidR="00C1082B">
        <w:rPr>
          <w:rFonts w:asciiTheme="majorHAnsi" w:hAnsiTheme="majorHAnsi"/>
        </w:rPr>
        <w:t>learning agents were created</w:t>
      </w:r>
      <w:r w:rsidR="008F5F54">
        <w:rPr>
          <w:rFonts w:asciiTheme="majorHAnsi" w:hAnsiTheme="majorHAnsi"/>
        </w:rPr>
        <w:t>. The learning agent would generate a set of weights, based on an internal algorithm, and an evaluator would test the performance of these weights; the results were then returned to the learning agent so that it could repeat and improve.</w:t>
      </w:r>
      <w:r w:rsidR="007F566E">
        <w:rPr>
          <w:rFonts w:asciiTheme="majorHAnsi" w:hAnsiTheme="majorHAnsi"/>
        </w:rPr>
        <w:t xml:space="preserve"> Since the pieces are randomized, the average across 3 games was taken when evaluating performance.</w:t>
      </w:r>
    </w:p>
    <w:p w14:paraId="1D54C84F" w14:textId="77777777" w:rsidR="008F5F54" w:rsidRDefault="008F5F54">
      <w:pPr>
        <w:rPr>
          <w:rFonts w:asciiTheme="majorHAnsi" w:hAnsiTheme="majorHAnsi"/>
        </w:rPr>
      </w:pPr>
    </w:p>
    <w:p w14:paraId="5B1349C4" w14:textId="7B0F86C3" w:rsidR="001B78BA" w:rsidRPr="009B0EA1" w:rsidRDefault="00832C9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Learning</w:t>
      </w:r>
      <w:r w:rsidR="009B0EA1" w:rsidRPr="009B0EA1">
        <w:rPr>
          <w:rFonts w:asciiTheme="majorHAnsi" w:hAnsiTheme="majorHAnsi"/>
          <w:b/>
        </w:rPr>
        <w:t xml:space="preserve"> Algorithms</w:t>
      </w:r>
    </w:p>
    <w:p w14:paraId="6E74BE50" w14:textId="77777777" w:rsidR="009B0EA1" w:rsidRPr="002E1558" w:rsidRDefault="009B0EA1">
      <w:pPr>
        <w:rPr>
          <w:rFonts w:asciiTheme="majorHAnsi" w:hAnsiTheme="majorHAnsi"/>
        </w:rPr>
      </w:pPr>
    </w:p>
    <w:p w14:paraId="6A7F2FF3" w14:textId="27EAFA0E" w:rsidR="00E965B0" w:rsidRDefault="008F55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the learning agent’s internal </w:t>
      </w:r>
      <w:r w:rsidR="00F81A31">
        <w:rPr>
          <w:rFonts w:asciiTheme="majorHAnsi" w:hAnsiTheme="majorHAnsi"/>
        </w:rPr>
        <w:t xml:space="preserve">weight-generation </w:t>
      </w:r>
      <w:r>
        <w:rPr>
          <w:rFonts w:asciiTheme="majorHAnsi" w:hAnsiTheme="majorHAnsi"/>
        </w:rPr>
        <w:t xml:space="preserve">algorithm, there are again many available algorithms to choose from. </w:t>
      </w:r>
      <w:r w:rsidR="00445D61">
        <w:rPr>
          <w:rFonts w:asciiTheme="majorHAnsi" w:hAnsiTheme="majorHAnsi"/>
        </w:rPr>
        <w:t>Since t</w:t>
      </w:r>
      <w:r w:rsidR="001271F8">
        <w:rPr>
          <w:rFonts w:asciiTheme="majorHAnsi" w:hAnsiTheme="majorHAnsi"/>
        </w:rPr>
        <w:t xml:space="preserve">here are an infinite number of </w:t>
      </w:r>
      <w:r w:rsidR="00445D61">
        <w:rPr>
          <w:rFonts w:asciiTheme="majorHAnsi" w:hAnsiTheme="majorHAnsi"/>
        </w:rPr>
        <w:t xml:space="preserve">weight </w:t>
      </w:r>
      <w:r w:rsidR="002C1C4C">
        <w:rPr>
          <w:rFonts w:asciiTheme="majorHAnsi" w:hAnsiTheme="majorHAnsi"/>
        </w:rPr>
        <w:t>combinations</w:t>
      </w:r>
      <w:r w:rsidR="00CE5942">
        <w:rPr>
          <w:rFonts w:asciiTheme="majorHAnsi" w:hAnsiTheme="majorHAnsi"/>
        </w:rPr>
        <w:t>,</w:t>
      </w:r>
      <w:r w:rsidR="001271F8">
        <w:rPr>
          <w:rFonts w:asciiTheme="majorHAnsi" w:hAnsiTheme="majorHAnsi"/>
        </w:rPr>
        <w:t xml:space="preserve"> a local search algorithm is necessary.  </w:t>
      </w:r>
      <w:r w:rsidR="00E965B0">
        <w:rPr>
          <w:rFonts w:asciiTheme="majorHAnsi" w:hAnsiTheme="majorHAnsi"/>
        </w:rPr>
        <w:t xml:space="preserve">Our group decided on </w:t>
      </w:r>
      <w:r w:rsidR="00630B53">
        <w:rPr>
          <w:rFonts w:asciiTheme="majorHAnsi" w:hAnsiTheme="majorHAnsi"/>
        </w:rPr>
        <w:t>using the genetic algorithm and particle swarm algorithm, as they were appropriate for this multi-dimensional search space.</w:t>
      </w:r>
    </w:p>
    <w:p w14:paraId="22D3E720" w14:textId="77777777" w:rsidR="00F11408" w:rsidRDefault="00F11408">
      <w:pPr>
        <w:rPr>
          <w:rFonts w:asciiTheme="majorHAnsi" w:hAnsiTheme="majorHAnsi"/>
        </w:rPr>
      </w:pPr>
    </w:p>
    <w:p w14:paraId="3692B69B" w14:textId="1986A5A9" w:rsidR="000B629B" w:rsidRDefault="003E0E38">
      <w:pPr>
        <w:rPr>
          <w:rFonts w:asciiTheme="majorHAnsi" w:hAnsiTheme="majorHAnsi"/>
          <w:b/>
        </w:rPr>
      </w:pPr>
      <w:r w:rsidRPr="003E0E38">
        <w:rPr>
          <w:rFonts w:asciiTheme="majorHAnsi" w:hAnsiTheme="majorHAnsi"/>
          <w:b/>
        </w:rPr>
        <w:t>Genetic Algorithm</w:t>
      </w:r>
    </w:p>
    <w:p w14:paraId="07193852" w14:textId="77777777" w:rsidR="007109A0" w:rsidRDefault="007109A0">
      <w:pPr>
        <w:rPr>
          <w:rFonts w:asciiTheme="majorHAnsi" w:hAnsiTheme="majorHAnsi"/>
          <w:b/>
        </w:rPr>
      </w:pPr>
    </w:p>
    <w:tbl>
      <w:tblPr>
        <w:tblStyle w:val="TableGrid"/>
        <w:tblW w:w="10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9"/>
        <w:gridCol w:w="8818"/>
      </w:tblGrid>
      <w:tr w:rsidR="00241892" w14:paraId="00A6EBB3" w14:textId="77777777" w:rsidTr="00F11408">
        <w:trPr>
          <w:trHeight w:val="363"/>
        </w:trPr>
        <w:tc>
          <w:tcPr>
            <w:tcW w:w="1719" w:type="dxa"/>
          </w:tcPr>
          <w:p w14:paraId="6EBA3F4C" w14:textId="02E0A665" w:rsidR="007109A0" w:rsidRDefault="007109A0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Population Size</w:t>
            </w:r>
          </w:p>
        </w:tc>
        <w:tc>
          <w:tcPr>
            <w:tcW w:w="8818" w:type="dxa"/>
          </w:tcPr>
          <w:p w14:paraId="50D3DAB5" w14:textId="6B2F8520" w:rsidR="007109A0" w:rsidRDefault="007109A0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trials with a population of 200 quickly revealed that the algorithm would take too long to run. As a result, we reduced the size to 50 chromosomes</w:t>
            </w:r>
          </w:p>
          <w:p w14:paraId="7A1B3400" w14:textId="0F375C87" w:rsidR="007109A0" w:rsidRDefault="007109A0" w:rsidP="00241892">
            <w:pPr>
              <w:rPr>
                <w:rFonts w:asciiTheme="majorHAnsi" w:hAnsiTheme="majorHAnsi"/>
              </w:rPr>
            </w:pPr>
          </w:p>
        </w:tc>
      </w:tr>
      <w:tr w:rsidR="00241892" w14:paraId="7AAA1A48" w14:textId="77777777" w:rsidTr="00F11408">
        <w:trPr>
          <w:trHeight w:val="363"/>
        </w:trPr>
        <w:tc>
          <w:tcPr>
            <w:tcW w:w="1719" w:type="dxa"/>
          </w:tcPr>
          <w:p w14:paraId="1EACE3B5" w14:textId="003626B4" w:rsidR="007109A0" w:rsidRDefault="007109A0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Crossover</w:t>
            </w:r>
          </w:p>
        </w:tc>
        <w:tc>
          <w:tcPr>
            <w:tcW w:w="8818" w:type="dxa"/>
          </w:tcPr>
          <w:p w14:paraId="7226052E" w14:textId="54EEE0B6" w:rsidR="007109A0" w:rsidRDefault="007109A0" w:rsidP="007109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implemented a position-based crossover, where chromosomes were merged at either index 1, 2 or 3</w:t>
            </w:r>
          </w:p>
          <w:p w14:paraId="69A85AA3" w14:textId="3CE6826B" w:rsidR="007109A0" w:rsidRDefault="007109A0" w:rsidP="007109A0">
            <w:pPr>
              <w:rPr>
                <w:rFonts w:asciiTheme="majorHAnsi" w:hAnsiTheme="majorHAnsi"/>
              </w:rPr>
            </w:pPr>
          </w:p>
        </w:tc>
      </w:tr>
      <w:tr w:rsidR="00241892" w14:paraId="22742FBF" w14:textId="77777777" w:rsidTr="00F11408">
        <w:trPr>
          <w:trHeight w:val="393"/>
        </w:trPr>
        <w:tc>
          <w:tcPr>
            <w:tcW w:w="1719" w:type="dxa"/>
          </w:tcPr>
          <w:p w14:paraId="6ABF3670" w14:textId="505F941A" w:rsidR="007109A0" w:rsidRDefault="007109A0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Mutation</w:t>
            </w:r>
          </w:p>
        </w:tc>
        <w:tc>
          <w:tcPr>
            <w:tcW w:w="8818" w:type="dxa"/>
          </w:tcPr>
          <w:p w14:paraId="126DCAE4" w14:textId="4F679C95" w:rsidR="007109A0" w:rsidRDefault="00241892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Mutation rates were varied at 10%, 20% or 30%. At each round, w</w:t>
            </w:r>
            <w:r w:rsidR="007109A0">
              <w:rPr>
                <w:rFonts w:asciiTheme="majorHAnsi" w:hAnsiTheme="majorHAnsi"/>
              </w:rPr>
              <w:t xml:space="preserve">e </w:t>
            </w:r>
            <w:r>
              <w:rPr>
                <w:rFonts w:asciiTheme="majorHAnsi" w:hAnsiTheme="majorHAnsi"/>
              </w:rPr>
              <w:t>randomly selected only one weight to mutate. This was to reduce the risk of killing of</w:t>
            </w:r>
            <w:r w:rsidR="0024648E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 xml:space="preserve"> a strong candidate, while allowing </w:t>
            </w:r>
            <w:r w:rsidR="00715A51">
              <w:rPr>
                <w:rFonts w:asciiTheme="majorHAnsi" w:hAnsiTheme="majorHAnsi"/>
              </w:rPr>
              <w:t>growth for weaker candidates</w:t>
            </w:r>
          </w:p>
          <w:p w14:paraId="4498514F" w14:textId="4B298205" w:rsidR="00241892" w:rsidRDefault="00241892" w:rsidP="00241892">
            <w:pPr>
              <w:rPr>
                <w:rFonts w:asciiTheme="majorHAnsi" w:hAnsiTheme="majorHAnsi"/>
              </w:rPr>
            </w:pPr>
          </w:p>
        </w:tc>
      </w:tr>
      <w:tr w:rsidR="00241892" w14:paraId="2BB3C092" w14:textId="77777777" w:rsidTr="00F11408">
        <w:trPr>
          <w:trHeight w:val="340"/>
        </w:trPr>
        <w:tc>
          <w:tcPr>
            <w:tcW w:w="1719" w:type="dxa"/>
          </w:tcPr>
          <w:p w14:paraId="5E588960" w14:textId="67FA957A" w:rsidR="007109A0" w:rsidRDefault="00241892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Reproduction</w:t>
            </w:r>
          </w:p>
        </w:tc>
        <w:tc>
          <w:tcPr>
            <w:tcW w:w="8818" w:type="dxa"/>
          </w:tcPr>
          <w:p w14:paraId="059B23A9" w14:textId="2EBBE712" w:rsidR="007109A0" w:rsidRDefault="00241892" w:rsidP="002418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generation, the worse 60% of the previous generation was replaced by newly generated chromosomes</w:t>
            </w:r>
          </w:p>
        </w:tc>
      </w:tr>
    </w:tbl>
    <w:p w14:paraId="1E9AFD93" w14:textId="77777777" w:rsidR="00241892" w:rsidRDefault="00241892">
      <w:pPr>
        <w:rPr>
          <w:rFonts w:asciiTheme="majorHAnsi" w:hAnsiTheme="majorHAnsi"/>
        </w:rPr>
      </w:pPr>
    </w:p>
    <w:p w14:paraId="5D8E0295" w14:textId="12BB5A22" w:rsidR="003E0E38" w:rsidRDefault="00553446">
      <w:pPr>
        <w:rPr>
          <w:rFonts w:asciiTheme="majorHAnsi" w:hAnsiTheme="majorHAnsi"/>
        </w:rPr>
      </w:pPr>
      <w:r w:rsidRPr="00553446">
        <w:rPr>
          <w:rFonts w:asciiTheme="majorHAnsi" w:hAnsiTheme="majorHAnsi"/>
          <w:noProof/>
          <w:lang w:val="en-SG" w:eastAsia="en-SG"/>
        </w:rPr>
        <w:drawing>
          <wp:inline distT="0" distB="0" distL="0" distR="0" wp14:anchorId="387D773C" wp14:editId="27831E12">
            <wp:extent cx="3306429" cy="1599573"/>
            <wp:effectExtent l="0" t="0" r="0" b="635"/>
            <wp:docPr id="4" name="Picture 4" descr="Macintosh HD:Users:johnwong:Desktop:NUS:CS3243 Introduction to Artificial Intelligence:ga_crossover_positions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hnwong:Desktop:NUS:CS3243 Introduction to Artificial Intelligence:ga_crossover_positions_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67" cy="16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val="en-SG" w:eastAsia="en-SG"/>
        </w:rPr>
        <w:drawing>
          <wp:inline distT="0" distB="0" distL="0" distR="0" wp14:anchorId="1CC58978" wp14:editId="36BDD9F1">
            <wp:extent cx="3308350" cy="1552454"/>
            <wp:effectExtent l="0" t="0" r="0" b="0"/>
            <wp:docPr id="2" name="Picture 2" descr="Macintosh HD:Users:johnwong:Desktop:NUS:CS3243 Introduction to Artificial Intelligence:ga_mutation_rates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nwong:Desktop:NUS:CS3243 Introduction to Artificial Intelligence:ga_mutation_rates_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974" cy="15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F857" w14:textId="77777777" w:rsidR="00553446" w:rsidRDefault="00553446">
      <w:pPr>
        <w:rPr>
          <w:rFonts w:asciiTheme="majorHAnsi" w:hAnsiTheme="majorHAnsi"/>
        </w:rPr>
      </w:pPr>
    </w:p>
    <w:p w14:paraId="1B0C9400" w14:textId="33484A77" w:rsidR="00EB7509" w:rsidRDefault="00EB75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crossover position of 1 is best possibly because </w:t>
      </w:r>
      <w:r w:rsidR="00946757">
        <w:rPr>
          <w:rFonts w:asciiTheme="majorHAnsi" w:hAnsiTheme="majorHAnsi"/>
        </w:rPr>
        <w:t xml:space="preserve">interchanging 2 or 3 features </w:t>
      </w:r>
      <w:r w:rsidR="00C545FD">
        <w:rPr>
          <w:rFonts w:asciiTheme="majorHAnsi" w:hAnsiTheme="majorHAnsi"/>
        </w:rPr>
        <w:t xml:space="preserve">alters the combination too much </w:t>
      </w:r>
      <w:r>
        <w:rPr>
          <w:rFonts w:asciiTheme="majorHAnsi" w:hAnsiTheme="majorHAnsi"/>
        </w:rPr>
        <w:t xml:space="preserve">and reduces the effectiveness of the produced </w:t>
      </w:r>
      <w:r w:rsidR="00C545FD">
        <w:rPr>
          <w:rFonts w:asciiTheme="majorHAnsi" w:hAnsiTheme="majorHAnsi"/>
        </w:rPr>
        <w:t>chromosome</w:t>
      </w:r>
      <w:r>
        <w:rPr>
          <w:rFonts w:asciiTheme="majorHAnsi" w:hAnsiTheme="majorHAnsi"/>
        </w:rPr>
        <w:t xml:space="preserve">. While a mutation rate of 20% is best </w:t>
      </w:r>
      <w:r w:rsidR="00522456">
        <w:rPr>
          <w:rFonts w:asciiTheme="majorHAnsi" w:hAnsiTheme="majorHAnsi"/>
        </w:rPr>
        <w:t xml:space="preserve">probably </w:t>
      </w:r>
      <w:r>
        <w:rPr>
          <w:rFonts w:asciiTheme="majorHAnsi" w:hAnsiTheme="majorHAnsi"/>
        </w:rPr>
        <w:t xml:space="preserve">because 10% introduces too little diversity while 30% produces too much fluctuation and kills off strong chromosomes. </w:t>
      </w:r>
    </w:p>
    <w:p w14:paraId="74661E09" w14:textId="77777777" w:rsidR="00EB7509" w:rsidRDefault="00EB7509">
      <w:pPr>
        <w:rPr>
          <w:rFonts w:asciiTheme="majorHAnsi" w:hAnsiTheme="majorHAnsi"/>
        </w:rPr>
      </w:pPr>
    </w:p>
    <w:p w14:paraId="0C9B2FF7" w14:textId="28BFE754" w:rsidR="00EB7509" w:rsidRPr="00EB7509" w:rsidRDefault="00EB7509">
      <w:pPr>
        <w:rPr>
          <w:rFonts w:asciiTheme="majorHAnsi" w:hAnsiTheme="majorHAnsi"/>
          <w:b/>
        </w:rPr>
      </w:pPr>
      <w:r w:rsidRPr="00EB7509">
        <w:rPr>
          <w:rFonts w:asciiTheme="majorHAnsi" w:hAnsiTheme="majorHAnsi"/>
          <w:b/>
        </w:rPr>
        <w:t xml:space="preserve">Particle Swarm </w:t>
      </w:r>
      <w:r w:rsidR="001714A6">
        <w:rPr>
          <w:rFonts w:asciiTheme="majorHAnsi" w:hAnsiTheme="majorHAnsi"/>
          <w:b/>
        </w:rPr>
        <w:t>Optimizer</w:t>
      </w:r>
    </w:p>
    <w:p w14:paraId="66ED1882" w14:textId="77777777" w:rsidR="00EB7509" w:rsidRDefault="00EB7509">
      <w:pPr>
        <w:rPr>
          <w:rFonts w:asciiTheme="majorHAnsi" w:hAnsiTheme="majorHAnsi"/>
        </w:rPr>
      </w:pPr>
    </w:p>
    <w:p w14:paraId="674EBBF3" w14:textId="1DC9CA46" w:rsidR="004E48EB" w:rsidRDefault="0097675F" w:rsidP="004E48EB">
      <w:pPr>
        <w:rPr>
          <w:rFonts w:asciiTheme="majorHAnsi" w:hAnsiTheme="majorHAnsi"/>
        </w:rPr>
      </w:pPr>
      <w:r>
        <w:rPr>
          <w:rFonts w:asciiTheme="majorHAnsi" w:hAnsiTheme="majorHAnsi"/>
        </w:rPr>
        <w:t>Particle swarm is another algorithm that originates from nature. For this algorithm, a</w:t>
      </w:r>
      <w:r w:rsidR="004E48EB">
        <w:rPr>
          <w:rFonts w:asciiTheme="majorHAnsi" w:hAnsiTheme="majorHAnsi"/>
        </w:rPr>
        <w:t xml:space="preserve"> set of particles </w:t>
      </w:r>
      <w:r>
        <w:rPr>
          <w:rFonts w:asciiTheme="majorHAnsi" w:hAnsiTheme="majorHAnsi"/>
        </w:rPr>
        <w:t>is</w:t>
      </w:r>
      <w:r w:rsidR="004E48EB">
        <w:rPr>
          <w:rFonts w:asciiTheme="majorHAnsi" w:hAnsiTheme="majorHAnsi"/>
        </w:rPr>
        <w:t xml:space="preserve"> first created, each with random positions (-100, 100) and random velocities (-200, 200) in 6 dimensions. A particle’s position in one dimension is mapped to the weight of one feature </w:t>
      </w:r>
      <w:r w:rsidR="0095713E">
        <w:rPr>
          <w:rFonts w:asciiTheme="majorHAnsi" w:hAnsiTheme="majorHAnsi"/>
        </w:rPr>
        <w:t>of our utility function</w:t>
      </w:r>
      <w:r w:rsidR="004E48EB">
        <w:rPr>
          <w:rFonts w:asciiTheme="majorHAnsi" w:hAnsiTheme="majorHAnsi"/>
        </w:rPr>
        <w:t xml:space="preserve"> to evaluate performance.  </w:t>
      </w:r>
      <w:r>
        <w:rPr>
          <w:rFonts w:asciiTheme="majorHAnsi" w:hAnsiTheme="majorHAnsi"/>
        </w:rPr>
        <w:t>For</w:t>
      </w:r>
      <w:r w:rsidR="004E48EB">
        <w:rPr>
          <w:rFonts w:asciiTheme="majorHAnsi" w:hAnsiTheme="majorHAnsi"/>
        </w:rPr>
        <w:t xml:space="preserve"> each iteration, </w:t>
      </w:r>
      <w:r>
        <w:rPr>
          <w:rFonts w:asciiTheme="majorHAnsi" w:hAnsiTheme="majorHAnsi"/>
        </w:rPr>
        <w:t>every</w:t>
      </w:r>
      <w:r w:rsidR="004E48EB">
        <w:rPr>
          <w:rFonts w:asciiTheme="majorHAnsi" w:hAnsiTheme="majorHAnsi"/>
        </w:rPr>
        <w:t xml:space="preserve"> dimension of every particle was updated by the formula: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asciiTheme="majorHAnsi" w:hAnsiTheme="majorHAnsi"/>
        </w:rPr>
        <w:t>.</w:t>
      </w:r>
      <w:r w:rsidR="004E48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</w:t>
      </w:r>
      <w:r w:rsidR="004E48EB">
        <w:rPr>
          <w:rFonts w:asciiTheme="majorHAnsi" w:hAnsiTheme="majorHAnsi"/>
        </w:rPr>
        <w:t>ach particle’s velocity was</w:t>
      </w:r>
      <w:r>
        <w:rPr>
          <w:rFonts w:asciiTheme="majorHAnsi" w:hAnsiTheme="majorHAnsi"/>
        </w:rPr>
        <w:t xml:space="preserve"> also</w:t>
      </w:r>
      <w:r w:rsidR="004E48EB">
        <w:rPr>
          <w:rFonts w:asciiTheme="majorHAnsi" w:hAnsiTheme="majorHAnsi"/>
        </w:rPr>
        <w:t xml:space="preserve"> updated by the formula</w:t>
      </w:r>
      <w:r>
        <w:rPr>
          <w:rStyle w:val="FootnoteReference"/>
          <w:rFonts w:asciiTheme="majorHAnsi" w:hAnsiTheme="majorHAnsi"/>
        </w:rPr>
        <w:footnoteReference w:id="2"/>
      </w:r>
      <w:r w:rsidR="004E48EB">
        <w:rPr>
          <w:rFonts w:asciiTheme="majorHAnsi" w:hAnsiTheme="majorHAnsi"/>
        </w:rPr>
        <w:t xml:space="preserve">: </w:t>
      </w:r>
    </w:p>
    <w:p w14:paraId="6161A363" w14:textId="77777777" w:rsidR="00F00CA0" w:rsidRPr="00F00CA0" w:rsidRDefault="00F00CA0" w:rsidP="004E48EB">
      <w:pPr>
        <w:rPr>
          <w:rFonts w:asciiTheme="majorHAnsi" w:hAnsiTheme="majorHAnsi"/>
        </w:rPr>
      </w:pPr>
    </w:p>
    <w:p w14:paraId="528D3E21" w14:textId="77777777" w:rsidR="004E48EB" w:rsidRDefault="00764A7F" w:rsidP="004E48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cur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(g-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cur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1FBFC1" w14:textId="77777777" w:rsidR="004E48EB" w:rsidRDefault="004E48EB">
      <w:pPr>
        <w:rPr>
          <w:rFonts w:asciiTheme="majorHAnsi" w:hAnsiTheme="majorHAnsi"/>
        </w:rPr>
      </w:pPr>
    </w:p>
    <w:p w14:paraId="5AC25EB2" w14:textId="28DEF00B" w:rsidR="00C52893" w:rsidRDefault="00C5289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main parameters were varied to optimize the algorithm for learning </w:t>
      </w:r>
      <w:r w:rsidR="007F1D75">
        <w:rPr>
          <w:rFonts w:asciiTheme="majorHAnsi" w:hAnsiTheme="majorHAnsi"/>
        </w:rPr>
        <w:t xml:space="preserve">the feature weights. </w:t>
      </w:r>
    </w:p>
    <w:p w14:paraId="0BABB070" w14:textId="77777777" w:rsidR="007F1D75" w:rsidRDefault="007F1D75">
      <w:pPr>
        <w:rPr>
          <w:rFonts w:asciiTheme="majorHAnsi" w:hAnsiTheme="majorHAnsi"/>
        </w:rPr>
      </w:pPr>
    </w:p>
    <w:tbl>
      <w:tblPr>
        <w:tblStyle w:val="TableGrid"/>
        <w:tblW w:w="10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8060"/>
      </w:tblGrid>
      <w:tr w:rsidR="007F1D75" w14:paraId="74DC2BA1" w14:textId="77777777" w:rsidTr="003849A8">
        <w:trPr>
          <w:trHeight w:val="351"/>
        </w:trPr>
        <w:tc>
          <w:tcPr>
            <w:tcW w:w="2531" w:type="dxa"/>
          </w:tcPr>
          <w:p w14:paraId="0A090895" w14:textId="0AA6C109" w:rsidR="007F1D75" w:rsidRDefault="007F1D75" w:rsidP="007105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Inertia</w:t>
            </w:r>
            <w:r w:rsidR="00710505">
              <w:rPr>
                <w:rFonts w:asciiTheme="majorHAnsi" w:hAnsiTheme="majorHAnsi"/>
              </w:rPr>
              <w:t xml:space="preserve"> weight (</w:t>
            </w:r>
            <w:r w:rsidR="00710505" w:rsidRPr="00710505">
              <w:rPr>
                <w:rFonts w:asciiTheme="majorHAnsi" w:hAnsiTheme="majorHAnsi"/>
                <w:i/>
              </w:rPr>
              <w:t>w</w:t>
            </w:r>
            <w:r w:rsidR="00710505">
              <w:rPr>
                <w:rFonts w:asciiTheme="majorHAnsi" w:hAnsiTheme="majorHAnsi"/>
              </w:rPr>
              <w:t>)</w:t>
            </w:r>
          </w:p>
        </w:tc>
        <w:tc>
          <w:tcPr>
            <w:tcW w:w="8060" w:type="dxa"/>
          </w:tcPr>
          <w:p w14:paraId="713A7063" w14:textId="715FA316" w:rsidR="007F1D75" w:rsidRDefault="007F566E" w:rsidP="007F56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smaller the value,</w:t>
            </w:r>
            <w:r w:rsidR="00710505">
              <w:rPr>
                <w:rFonts w:asciiTheme="majorHAnsi" w:hAnsiTheme="majorHAnsi"/>
              </w:rPr>
              <w:t xml:space="preserve"> </w:t>
            </w:r>
            <w:r w:rsidR="00F00CA0">
              <w:rPr>
                <w:rFonts w:asciiTheme="majorHAnsi" w:hAnsiTheme="majorHAnsi"/>
              </w:rPr>
              <w:t xml:space="preserve">the faster the particle </w:t>
            </w:r>
            <w:r>
              <w:rPr>
                <w:rFonts w:asciiTheme="majorHAnsi" w:hAnsiTheme="majorHAnsi"/>
              </w:rPr>
              <w:t>reaches a local maximum</w:t>
            </w:r>
            <w:r w:rsidR="00710505">
              <w:rPr>
                <w:rFonts w:asciiTheme="majorHAnsi" w:hAnsiTheme="majorHAnsi"/>
              </w:rPr>
              <w:t xml:space="preserve">. It was found that a value of 0.7 was best. A value of 0.1 led to the particles </w:t>
            </w:r>
            <w:r w:rsidR="00F00CA0">
              <w:rPr>
                <w:rFonts w:asciiTheme="majorHAnsi" w:hAnsiTheme="majorHAnsi"/>
              </w:rPr>
              <w:t>reaching a low local maximum too quickly</w:t>
            </w:r>
            <w:r w:rsidR="00710505">
              <w:rPr>
                <w:rFonts w:asciiTheme="majorHAnsi" w:hAnsiTheme="majorHAnsi"/>
              </w:rPr>
              <w:t xml:space="preserve"> </w:t>
            </w:r>
            <w:r w:rsidR="00F00CA0">
              <w:rPr>
                <w:rFonts w:asciiTheme="majorHAnsi" w:hAnsiTheme="majorHAnsi"/>
              </w:rPr>
              <w:t>with a smaller chance of better values being discovered. A value of 0.95 performed badly as well, because the particles progressed too slowly.</w:t>
            </w:r>
          </w:p>
          <w:p w14:paraId="31145A62" w14:textId="2F83E023" w:rsidR="007F566E" w:rsidRDefault="007F566E" w:rsidP="007F566E">
            <w:pPr>
              <w:rPr>
                <w:rFonts w:asciiTheme="majorHAnsi" w:hAnsiTheme="majorHAnsi"/>
              </w:rPr>
            </w:pPr>
          </w:p>
        </w:tc>
      </w:tr>
      <w:tr w:rsidR="007F1D75" w14:paraId="5A6033FC" w14:textId="77777777" w:rsidTr="003849A8">
        <w:trPr>
          <w:trHeight w:val="351"/>
        </w:trPr>
        <w:tc>
          <w:tcPr>
            <w:tcW w:w="2531" w:type="dxa"/>
          </w:tcPr>
          <w:p w14:paraId="3D82AB03" w14:textId="69F6765B" w:rsidR="007F1D75" w:rsidRDefault="00710505" w:rsidP="007105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Personal weight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8060" w:type="dxa"/>
          </w:tcPr>
          <w:p w14:paraId="58E75EBE" w14:textId="243CE9F0" w:rsidR="007F1D75" w:rsidRDefault="00F00CA0" w:rsidP="007105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="00710505">
              <w:rPr>
                <w:rFonts w:asciiTheme="majorHAnsi" w:hAnsiTheme="majorHAnsi"/>
              </w:rPr>
              <w:t>he highe</w:t>
            </w:r>
            <w:r>
              <w:rPr>
                <w:rFonts w:asciiTheme="majorHAnsi" w:hAnsiTheme="majorHAnsi"/>
              </w:rPr>
              <w:t>r the value, the less affected a particle</w:t>
            </w:r>
            <w:r w:rsidR="00710505">
              <w:rPr>
                <w:rFonts w:asciiTheme="majorHAnsi" w:hAnsiTheme="majorHAnsi"/>
              </w:rPr>
              <w:t xml:space="preserve"> is by the global best position</w:t>
            </w:r>
            <w:r>
              <w:rPr>
                <w:rFonts w:asciiTheme="majorHAnsi" w:hAnsiTheme="majorHAnsi"/>
              </w:rPr>
              <w:t>.</w:t>
            </w:r>
          </w:p>
          <w:p w14:paraId="3F2A71E5" w14:textId="77777777" w:rsidR="007F1D75" w:rsidRDefault="007F1D75" w:rsidP="00710505">
            <w:pPr>
              <w:rPr>
                <w:rFonts w:asciiTheme="majorHAnsi" w:hAnsiTheme="majorHAnsi"/>
              </w:rPr>
            </w:pPr>
          </w:p>
        </w:tc>
      </w:tr>
      <w:tr w:rsidR="007F1D75" w14:paraId="7E7FD74D" w14:textId="77777777" w:rsidTr="003849A8">
        <w:trPr>
          <w:trHeight w:val="381"/>
        </w:trPr>
        <w:tc>
          <w:tcPr>
            <w:tcW w:w="2531" w:type="dxa"/>
          </w:tcPr>
          <w:p w14:paraId="37B72390" w14:textId="1B663F1E" w:rsidR="007F1D75" w:rsidRDefault="00710505" w:rsidP="007105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Global weight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8060" w:type="dxa"/>
          </w:tcPr>
          <w:p w14:paraId="502DF25E" w14:textId="77777777" w:rsidR="007F1D75" w:rsidRDefault="00F00CA0" w:rsidP="00F0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higher the value, the more a particle would tend to the global best position. It was found that having equal 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asciiTheme="majorHAnsi" w:hAnsiTheme="majorHAnsi"/>
              </w:rPr>
              <w:t xml:space="preserve"> = 1.4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Theme="majorHAnsi" w:hAnsiTheme="majorHAnsi"/>
              </w:rPr>
              <w:t xml:space="preserve"> = 1.4 was best.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asciiTheme="majorHAnsi" w:hAnsiTheme="majorHAnsi"/>
              </w:rPr>
              <w:t xml:space="preserve"> was too large, particles stagnated at their local best position. Conversely,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rPr>
                <w:rFonts w:asciiTheme="majorHAnsi" w:hAnsiTheme="majorHAnsi"/>
              </w:rPr>
              <w:t xml:space="preserve"> were too large, the particles would get stuck around the current best particle’s local maximum.</w:t>
            </w:r>
          </w:p>
          <w:p w14:paraId="2253A8CF" w14:textId="65F5B265" w:rsidR="00D51F95" w:rsidRDefault="00D51F95" w:rsidP="00F00CA0">
            <w:pPr>
              <w:rPr>
                <w:rFonts w:asciiTheme="majorHAnsi" w:hAnsiTheme="majorHAnsi"/>
              </w:rPr>
            </w:pPr>
          </w:p>
        </w:tc>
      </w:tr>
    </w:tbl>
    <w:p w14:paraId="549C7561" w14:textId="6FC21186" w:rsidR="007F1D75" w:rsidRPr="00F00CA0" w:rsidRDefault="00F00CA0">
      <w:pPr>
        <w:rPr>
          <w:rFonts w:asciiTheme="majorHAnsi" w:hAnsiTheme="majorHAnsi"/>
          <w:b/>
        </w:rPr>
      </w:pPr>
      <w:r w:rsidRPr="00F00CA0">
        <w:rPr>
          <w:rFonts w:asciiTheme="majorHAnsi" w:hAnsiTheme="majorHAnsi"/>
          <w:b/>
        </w:rPr>
        <w:lastRenderedPageBreak/>
        <w:t>Tetris Premier League</w:t>
      </w:r>
    </w:p>
    <w:p w14:paraId="6C255887" w14:textId="77777777" w:rsidR="00F00CA0" w:rsidRDefault="00F00CA0">
      <w:pPr>
        <w:rPr>
          <w:rFonts w:asciiTheme="majorHAnsi" w:hAnsiTheme="majorHAnsi"/>
        </w:rPr>
      </w:pPr>
    </w:p>
    <w:p w14:paraId="1D6E3739" w14:textId="01983ACD" w:rsidR="00C545F5" w:rsidRDefault="00D14C65" w:rsidP="00032EDD">
      <w:pPr>
        <w:rPr>
          <w:rFonts w:asciiTheme="majorHAnsi" w:hAnsiTheme="majorHAnsi"/>
        </w:rPr>
      </w:pPr>
      <w:r>
        <w:rPr>
          <w:rFonts w:asciiTheme="majorHAnsi" w:hAnsiTheme="majorHAnsi"/>
        </w:rPr>
        <w:t>A method we thought of to improve performance was to combine the particle swarm optimizer and the genetic algorithm, to mutate particles in a bid to further help the particles escape local maximums.</w:t>
      </w:r>
    </w:p>
    <w:p w14:paraId="28493597" w14:textId="5413552D" w:rsidR="00C545F5" w:rsidRDefault="00C545F5" w:rsidP="00032EDD">
      <w:pPr>
        <w:rPr>
          <w:rFonts w:asciiTheme="majorHAnsi" w:hAnsiTheme="majorHAnsi"/>
        </w:rPr>
      </w:pPr>
      <w:r>
        <w:rPr>
          <w:rFonts w:asciiTheme="majorHAnsi" w:hAnsiTheme="majorHAnsi"/>
        </w:rPr>
        <w:t>In our Tetris league, each team consists of a set of players; and each player’s value is mapped to a weight of a feature of our utility function. Teams play in a season consisting of n iterations; at the end of the season, the worst performing teams are eliminated. In our league, the next season progresses with new teams being created by merging existing teams</w:t>
      </w:r>
      <w:r w:rsidR="002B7ACC">
        <w:rPr>
          <w:rFonts w:asciiTheme="majorHAnsi" w:hAnsiTheme="majorHAnsi"/>
        </w:rPr>
        <w:t>; these new teams would replace the eliminated teams</w:t>
      </w:r>
      <w:r>
        <w:rPr>
          <w:rFonts w:asciiTheme="majorHAnsi" w:hAnsiTheme="majorHAnsi"/>
        </w:rPr>
        <w:t>. Players are not stagnant, so some mutation of t</w:t>
      </w:r>
      <w:r w:rsidR="00AF3A5E">
        <w:rPr>
          <w:rFonts w:asciiTheme="majorHAnsi" w:hAnsiTheme="majorHAnsi"/>
        </w:rPr>
        <w:t>heir values takes place as well with the use</w:t>
      </w:r>
      <w:r w:rsidR="00DD50D0">
        <w:rPr>
          <w:rFonts w:asciiTheme="majorHAnsi" w:hAnsiTheme="majorHAnsi"/>
        </w:rPr>
        <w:t xml:space="preserve"> of</w:t>
      </w:r>
      <w:r w:rsidR="00AF3A5E">
        <w:rPr>
          <w:rFonts w:asciiTheme="majorHAnsi" w:hAnsiTheme="majorHAnsi"/>
        </w:rPr>
        <w:t xml:space="preserve"> PSO velocity.</w:t>
      </w:r>
    </w:p>
    <w:p w14:paraId="43D4E539" w14:textId="392D8BAE" w:rsidR="00C545F5" w:rsidRDefault="00032EDD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mutation in PSO is directional</w:t>
      </w:r>
      <w:r w:rsidR="00665975">
        <w:rPr>
          <w:rFonts w:asciiTheme="majorHAnsi" w:hAnsiTheme="majorHAnsi"/>
        </w:rPr>
        <w:t xml:space="preserve"> with</w:t>
      </w:r>
      <w:r w:rsidR="00DB3C18">
        <w:rPr>
          <w:rFonts w:asciiTheme="majorHAnsi" w:hAnsiTheme="majorHAnsi"/>
        </w:rPr>
        <w:t xml:space="preserve"> PSO</w:t>
      </w:r>
      <w:r w:rsidR="00665975">
        <w:rPr>
          <w:rFonts w:asciiTheme="majorHAnsi" w:hAnsiTheme="majorHAnsi"/>
        </w:rPr>
        <w:t xml:space="preserve"> velocity</w:t>
      </w:r>
      <w:r>
        <w:rPr>
          <w:rFonts w:asciiTheme="majorHAnsi" w:hAnsiTheme="majorHAnsi"/>
        </w:rPr>
        <w:t xml:space="preserve"> unlike the random mutation</w:t>
      </w:r>
      <w:r w:rsidR="004D04ED">
        <w:rPr>
          <w:rFonts w:asciiTheme="majorHAnsi" w:hAnsiTheme="majorHAnsi"/>
        </w:rPr>
        <w:t xml:space="preserve"> in GA</w:t>
      </w:r>
      <w:r w:rsidR="00867731">
        <w:rPr>
          <w:rFonts w:asciiTheme="majorHAnsi" w:hAnsiTheme="majorHAnsi"/>
        </w:rPr>
        <w:t>, it is safer to eliminate only 10% of the particles because there is a large chance of getting trap</w:t>
      </w:r>
      <w:r w:rsidR="00A2109B">
        <w:rPr>
          <w:rFonts w:asciiTheme="majorHAnsi" w:hAnsiTheme="majorHAnsi"/>
        </w:rPr>
        <w:t>ped</w:t>
      </w:r>
      <w:r w:rsidR="00867731">
        <w:rPr>
          <w:rFonts w:asciiTheme="majorHAnsi" w:hAnsiTheme="majorHAnsi"/>
        </w:rPr>
        <w:t xml:space="preserve"> in the local maximum if more particles are crossover</w:t>
      </w:r>
      <w:bookmarkStart w:id="0" w:name="_GoBack"/>
      <w:bookmarkEnd w:id="0"/>
      <w:r w:rsidR="00867731">
        <w:rPr>
          <w:rFonts w:asciiTheme="majorHAnsi" w:hAnsiTheme="majorHAnsi"/>
        </w:rPr>
        <w:t xml:space="preserve"> with almost the same parameters as the </w:t>
      </w:r>
      <w:r w:rsidR="00591BED">
        <w:rPr>
          <w:rFonts w:asciiTheme="majorHAnsi" w:hAnsiTheme="majorHAnsi"/>
        </w:rPr>
        <w:t>global</w:t>
      </w:r>
      <w:r w:rsidR="00867731">
        <w:rPr>
          <w:rFonts w:asciiTheme="majorHAnsi" w:hAnsiTheme="majorHAnsi"/>
        </w:rPr>
        <w:t xml:space="preserve"> best</w:t>
      </w:r>
      <w:r w:rsidR="00D37F08">
        <w:rPr>
          <w:rFonts w:asciiTheme="majorHAnsi" w:hAnsiTheme="majorHAnsi"/>
        </w:rPr>
        <w:t xml:space="preserve"> parameter</w:t>
      </w:r>
      <w:r w:rsidR="00867731">
        <w:rPr>
          <w:rFonts w:asciiTheme="majorHAnsi" w:hAnsiTheme="majorHAnsi"/>
        </w:rPr>
        <w:t>.</w:t>
      </w:r>
    </w:p>
    <w:p w14:paraId="16CA9962" w14:textId="5B44D5A4" w:rsidR="00C545F5" w:rsidRDefault="00C545F5" w:rsidP="00016FC1">
      <w:pPr>
        <w:rPr>
          <w:rFonts w:asciiTheme="majorHAnsi" w:hAnsiTheme="majorHAnsi"/>
        </w:rPr>
      </w:pPr>
      <w:r>
        <w:rPr>
          <w:rFonts w:asciiTheme="majorHAnsi" w:hAnsiTheme="majorHAnsi"/>
        </w:rPr>
        <w:t>It was found that a season of length n = 3 iterations was ideal, and merging the parameters</w:t>
      </w:r>
      <w:r w:rsidR="0086773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we had learnt in the previous two algorithms, it was found that the league algorithm improved performance.</w:t>
      </w:r>
    </w:p>
    <w:p w14:paraId="552FA7D9" w14:textId="77777777" w:rsidR="00DE3CE8" w:rsidRDefault="00DE3CE8" w:rsidP="00DE3CE8">
      <w:pPr>
        <w:rPr>
          <w:rFonts w:asciiTheme="majorHAnsi" w:hAnsiTheme="majorHAnsi"/>
        </w:rPr>
      </w:pPr>
    </w:p>
    <w:p w14:paraId="3928FBD7" w14:textId="7660BA00" w:rsidR="00F11408" w:rsidRDefault="00016FC1" w:rsidP="00016FC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n-SG" w:eastAsia="en-SG"/>
        </w:rPr>
        <w:drawing>
          <wp:inline distT="0" distB="0" distL="0" distR="0" wp14:anchorId="3C2A5AA5" wp14:editId="28ED20F6">
            <wp:extent cx="2492079" cy="1224951"/>
            <wp:effectExtent l="0" t="0" r="3810" b="0"/>
            <wp:docPr id="3" name="Picture 3" descr="Macintosh HD:Users:johnwong:Desktop:NUS:CS3243 Introduction to Artificial Intelligence:tpl_vs_pso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nwong:Desktop:NUS:CS3243 Introduction to Artificial Intelligence:tpl_vs_pso_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67" cy="122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50E6" w14:textId="77777777" w:rsidR="00016FC1" w:rsidRDefault="00016FC1" w:rsidP="00016FC1">
      <w:pPr>
        <w:jc w:val="center"/>
        <w:rPr>
          <w:rFonts w:asciiTheme="majorHAnsi" w:hAnsiTheme="majorHAnsi"/>
        </w:rPr>
      </w:pPr>
    </w:p>
    <w:p w14:paraId="6A0468CF" w14:textId="1F63D9FD" w:rsidR="00016FC1" w:rsidRPr="00016FC1" w:rsidRDefault="00016FC1" w:rsidP="00016FC1">
      <w:pPr>
        <w:rPr>
          <w:rFonts w:asciiTheme="majorHAnsi" w:hAnsiTheme="majorHAnsi"/>
          <w:b/>
        </w:rPr>
      </w:pPr>
      <w:r w:rsidRPr="00016FC1">
        <w:rPr>
          <w:rFonts w:asciiTheme="majorHAnsi" w:hAnsiTheme="majorHAnsi"/>
          <w:b/>
        </w:rPr>
        <w:t xml:space="preserve">Looking-ahead </w:t>
      </w:r>
    </w:p>
    <w:p w14:paraId="54AE7036" w14:textId="77777777" w:rsidR="00016FC1" w:rsidRDefault="00016FC1" w:rsidP="00016FC1">
      <w:pPr>
        <w:rPr>
          <w:rFonts w:asciiTheme="majorHAnsi" w:hAnsiTheme="majorHAnsi"/>
        </w:rPr>
      </w:pPr>
    </w:p>
    <w:p w14:paraId="4D6F9E70" w14:textId="434D7AEC" w:rsidR="00016FC1" w:rsidRDefault="00016FC1" w:rsidP="00016FC1">
      <w:pPr>
        <w:rPr>
          <w:rFonts w:asciiTheme="majorHAnsi" w:hAnsiTheme="majorHAnsi"/>
        </w:rPr>
      </w:pPr>
      <w:r>
        <w:rPr>
          <w:rFonts w:asciiTheme="majorHAnsi" w:hAnsiTheme="majorHAnsi"/>
        </w:rPr>
        <w:t>Trying new algorithms and testing different parameters is difficult, but we still wanted to extract more performance. As such, we explored including a single move look-ahead function into our algorithm.</w:t>
      </w:r>
    </w:p>
    <w:p w14:paraId="6AC69CF7" w14:textId="77777777" w:rsidR="00B5420F" w:rsidRDefault="00016FC1" w:rsidP="00016FC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full exploration of all possible moves for the second stage would be computationally intensive, thus we utilized two techniques to speed up the decision-making. </w:t>
      </w:r>
    </w:p>
    <w:p w14:paraId="0E717F3D" w14:textId="6080B254" w:rsidR="00016FC1" w:rsidRDefault="00506D3C" w:rsidP="00016FC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Firstly, we found that we could </w:t>
      </w:r>
      <w:r w:rsidR="00E550F8">
        <w:rPr>
          <w:rFonts w:asciiTheme="majorHAnsi" w:hAnsiTheme="majorHAnsi"/>
        </w:rPr>
        <w:t>explore the second state of only the 3 best moves, and performance was still better than without looking-ahead. Secondly, when exploring the second state of the 3 best moves, we cached the best move for the subsequent state, so that this would not have to be evaluated again for the next move.</w:t>
      </w:r>
    </w:p>
    <w:p w14:paraId="286810B6" w14:textId="46D2CD99" w:rsidR="00B5420F" w:rsidRDefault="00B5420F" w:rsidP="00016FC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Looking-ahead produced better </w:t>
      </w:r>
      <w:r w:rsidR="00F30C8D">
        <w:rPr>
          <w:rFonts w:asciiTheme="majorHAnsi" w:hAnsiTheme="majorHAnsi"/>
        </w:rPr>
        <w:t>performance,</w:t>
      </w:r>
      <w:r>
        <w:rPr>
          <w:rFonts w:asciiTheme="majorHAnsi" w:hAnsiTheme="majorHAnsi"/>
        </w:rPr>
        <w:t xml:space="preserve"> as the agent was able to consider a more comprehensive set of options.</w:t>
      </w:r>
      <w:r w:rsidR="00F30C8D">
        <w:rPr>
          <w:rFonts w:asciiTheme="majorHAnsi" w:hAnsiTheme="majorHAnsi"/>
        </w:rPr>
        <w:t xml:space="preserve"> The recorded performance was more stable as well, because when the agent did not look-ahead, it sometimes performed quite poorly.</w:t>
      </w:r>
    </w:p>
    <w:p w14:paraId="0027E0BB" w14:textId="77777777" w:rsidR="00E550F8" w:rsidRDefault="00E550F8" w:rsidP="00016FC1">
      <w:pPr>
        <w:rPr>
          <w:rFonts w:asciiTheme="majorHAnsi" w:hAnsiTheme="majorHAnsi"/>
        </w:rPr>
      </w:pPr>
    </w:p>
    <w:p w14:paraId="21671EC9" w14:textId="00A2EAF6" w:rsidR="00B5420F" w:rsidRDefault="00B5420F" w:rsidP="00B5420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SG" w:eastAsia="en-SG"/>
        </w:rPr>
        <w:drawing>
          <wp:inline distT="0" distB="0" distL="0" distR="0" wp14:anchorId="798A52D1" wp14:editId="2ECC63ED">
            <wp:extent cx="2623113" cy="1471380"/>
            <wp:effectExtent l="0" t="0" r="0" b="1905"/>
            <wp:docPr id="6" name="Picture 6" descr="Macintosh HD:Users:johnwong:Desktop:NUS:CS3243 Introduction to Artificial Intelligence:1ply_vs_2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hnwong:Desktop:NUS:CS3243 Introduction to Artificial Intelligence:1ply_vs_2p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13" cy="14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057B" w14:textId="0C6332A9" w:rsidR="00E550F8" w:rsidRDefault="002960D3" w:rsidP="00016FC1">
      <w:pPr>
        <w:rPr>
          <w:rFonts w:ascii="Calibri" w:eastAsia="Times New Roman" w:hAnsi="Calibri" w:cs="Times New Roman"/>
          <w:b/>
        </w:rPr>
      </w:pPr>
      <w:r w:rsidRPr="002960D3">
        <w:rPr>
          <w:rFonts w:ascii="Calibri" w:eastAsia="Times New Roman" w:hAnsi="Calibri" w:cs="Times New Roman"/>
          <w:b/>
        </w:rPr>
        <w:t>Conclusion</w:t>
      </w:r>
    </w:p>
    <w:p w14:paraId="549B36F0" w14:textId="77777777" w:rsidR="002960D3" w:rsidRDefault="002960D3" w:rsidP="00016FC1">
      <w:pPr>
        <w:rPr>
          <w:rFonts w:ascii="Calibri" w:eastAsia="Times New Roman" w:hAnsi="Calibri" w:cs="Times New Roman"/>
          <w:b/>
        </w:rPr>
      </w:pPr>
    </w:p>
    <w:p w14:paraId="34FA3118" w14:textId="77777777" w:rsidR="00C244C0" w:rsidRDefault="002960D3" w:rsidP="00016FC1">
      <w:pPr>
        <w:rPr>
          <w:rFonts w:ascii="Calibri" w:eastAsia="Times New Roman" w:hAnsi="Calibri" w:cs="Times New Roman"/>
        </w:rPr>
      </w:pPr>
      <w:r w:rsidRPr="002960D3">
        <w:rPr>
          <w:rFonts w:ascii="Calibri" w:eastAsia="Times New Roman" w:hAnsi="Calibri" w:cs="Times New Roman"/>
        </w:rPr>
        <w:t xml:space="preserve">The </w:t>
      </w:r>
      <w:r>
        <w:rPr>
          <w:rFonts w:ascii="Calibri" w:eastAsia="Times New Roman" w:hAnsi="Calibri" w:cs="Times New Roman"/>
        </w:rPr>
        <w:t>final weights learned from the league algorithm are as in the Java program. Given more time we would want to run the league algorithm togethe</w:t>
      </w:r>
      <w:r w:rsidR="00366678">
        <w:rPr>
          <w:rFonts w:ascii="Calibri" w:eastAsia="Times New Roman" w:hAnsi="Calibri" w:cs="Times New Roman"/>
        </w:rPr>
        <w:t xml:space="preserve">r with the look-ahead function to see whether it can create even better weights. </w:t>
      </w:r>
      <w:r w:rsidR="005C6D2E">
        <w:rPr>
          <w:rFonts w:ascii="Calibri" w:eastAsia="Times New Roman" w:hAnsi="Calibri" w:cs="Times New Roman"/>
        </w:rPr>
        <w:t>We would also want to take the average of more games to increase accuracy.</w:t>
      </w:r>
      <w:r w:rsidR="00C244C0">
        <w:rPr>
          <w:rFonts w:ascii="Calibri" w:eastAsia="Times New Roman" w:hAnsi="Calibri" w:cs="Times New Roman"/>
        </w:rPr>
        <w:t xml:space="preserve"> </w:t>
      </w:r>
    </w:p>
    <w:p w14:paraId="61978235" w14:textId="3F70CCC0" w:rsidR="002960D3" w:rsidRPr="002960D3" w:rsidRDefault="00C244C0" w:rsidP="00016FC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Through this project we gained a deeper understanding of the implementation of learning algorithms. We also learned about the difficulties in finding optimal parameters for the algorithm. Lastly, w</w:t>
      </w:r>
      <w:r w:rsidR="00C477E7">
        <w:rPr>
          <w:rFonts w:ascii="Calibri" w:eastAsia="Times New Roman" w:hAnsi="Calibri" w:cs="Times New Roman"/>
        </w:rPr>
        <w:t>e also came up with methods to reduce</w:t>
      </w:r>
      <w:r w:rsidR="005C6D2E">
        <w:rPr>
          <w:rFonts w:ascii="Calibri" w:eastAsia="Times New Roman" w:hAnsi="Calibri" w:cs="Times New Roman"/>
        </w:rPr>
        <w:t xml:space="preserve"> </w:t>
      </w:r>
      <w:r w:rsidR="00C477E7">
        <w:rPr>
          <w:rFonts w:ascii="Calibri" w:eastAsia="Times New Roman" w:hAnsi="Calibri" w:cs="Times New Roman"/>
        </w:rPr>
        <w:t>the computationally expensive task of looking-ahead.</w:t>
      </w:r>
    </w:p>
    <w:sectPr w:rsidR="002960D3" w:rsidRPr="002960D3" w:rsidSect="00F1140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0C2F8" w14:textId="77777777" w:rsidR="00764A7F" w:rsidRDefault="00764A7F" w:rsidP="000B629B">
      <w:r>
        <w:separator/>
      </w:r>
    </w:p>
  </w:endnote>
  <w:endnote w:type="continuationSeparator" w:id="0">
    <w:p w14:paraId="263870F2" w14:textId="77777777" w:rsidR="00764A7F" w:rsidRDefault="00764A7F" w:rsidP="000B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AAD81" w14:textId="77777777" w:rsidR="00764A7F" w:rsidRDefault="00764A7F" w:rsidP="000B629B">
      <w:r>
        <w:separator/>
      </w:r>
    </w:p>
  </w:footnote>
  <w:footnote w:type="continuationSeparator" w:id="0">
    <w:p w14:paraId="731CA9FA" w14:textId="77777777" w:rsidR="00764A7F" w:rsidRDefault="00764A7F" w:rsidP="000B629B">
      <w:r>
        <w:continuationSeparator/>
      </w:r>
    </w:p>
  </w:footnote>
  <w:footnote w:id="1">
    <w:p w14:paraId="25AEA1BD" w14:textId="70E89EE0" w:rsidR="00C244C0" w:rsidRDefault="00C244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1408">
        <w:rPr>
          <w:rFonts w:asciiTheme="majorHAnsi" w:hAnsiTheme="majorHAnsi"/>
        </w:rPr>
        <w:t>Feature functions were referenced from El-Ashi  (Dec 2012). El-Tetris – An Improvement on Pierre Dellacherie’s Algorithm.  Retrieved from: http://ielashi.com/el-tetris-an-improvement-on-pierre-dellacheries-algorithm/</w:t>
      </w:r>
    </w:p>
  </w:footnote>
  <w:footnote w:id="2">
    <w:p w14:paraId="6D440278" w14:textId="5607E645" w:rsidR="00C244C0" w:rsidRDefault="00C244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675F">
        <w:rPr>
          <w:rFonts w:ascii="Calibri" w:hAnsi="Calibri"/>
        </w:rPr>
        <w:t xml:space="preserve">In this report we only detail the main </w:t>
      </w:r>
      <w:r>
        <w:rPr>
          <w:rFonts w:ascii="Calibri" w:hAnsi="Calibri"/>
        </w:rPr>
        <w:t xml:space="preserve">parameters of the algorithm, the full explanation and formula is referenced from Angeline, Peter J., Carlise, and Anthony J., et al. (Jan 2006). PSO Tutorial. Retrieved from </w:t>
      </w:r>
      <w:r w:rsidRPr="0097675F">
        <w:rPr>
          <w:rFonts w:ascii="Calibri" w:hAnsi="Calibri"/>
        </w:rPr>
        <w:t>http://www.swarmintelligence.org/tutorials.php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8A"/>
    <w:rsid w:val="000079BD"/>
    <w:rsid w:val="00016FC1"/>
    <w:rsid w:val="000244F7"/>
    <w:rsid w:val="00026FE7"/>
    <w:rsid w:val="00032EDD"/>
    <w:rsid w:val="0006272E"/>
    <w:rsid w:val="000822BF"/>
    <w:rsid w:val="000B629B"/>
    <w:rsid w:val="0012700C"/>
    <w:rsid w:val="001271F8"/>
    <w:rsid w:val="001714A6"/>
    <w:rsid w:val="001B78BA"/>
    <w:rsid w:val="00241892"/>
    <w:rsid w:val="0024648E"/>
    <w:rsid w:val="002960D3"/>
    <w:rsid w:val="002B7ACC"/>
    <w:rsid w:val="002C1C4C"/>
    <w:rsid w:val="002E1558"/>
    <w:rsid w:val="00366678"/>
    <w:rsid w:val="003849A8"/>
    <w:rsid w:val="003E0E38"/>
    <w:rsid w:val="003E527A"/>
    <w:rsid w:val="00445D61"/>
    <w:rsid w:val="004D04ED"/>
    <w:rsid w:val="004E48EB"/>
    <w:rsid w:val="00506D3C"/>
    <w:rsid w:val="00522456"/>
    <w:rsid w:val="00553446"/>
    <w:rsid w:val="00591BED"/>
    <w:rsid w:val="005C6D2E"/>
    <w:rsid w:val="006107B7"/>
    <w:rsid w:val="00630B53"/>
    <w:rsid w:val="006607BA"/>
    <w:rsid w:val="00665975"/>
    <w:rsid w:val="006C6334"/>
    <w:rsid w:val="00710505"/>
    <w:rsid w:val="007109A0"/>
    <w:rsid w:val="00715A51"/>
    <w:rsid w:val="00717FF2"/>
    <w:rsid w:val="0074118A"/>
    <w:rsid w:val="00764A7F"/>
    <w:rsid w:val="007F1D75"/>
    <w:rsid w:val="007F566E"/>
    <w:rsid w:val="00830B15"/>
    <w:rsid w:val="00832C9E"/>
    <w:rsid w:val="00867731"/>
    <w:rsid w:val="008F550B"/>
    <w:rsid w:val="008F5F54"/>
    <w:rsid w:val="0094556A"/>
    <w:rsid w:val="00946757"/>
    <w:rsid w:val="0095713E"/>
    <w:rsid w:val="0097675F"/>
    <w:rsid w:val="009A08AA"/>
    <w:rsid w:val="009A257C"/>
    <w:rsid w:val="009B0EA1"/>
    <w:rsid w:val="00A2109B"/>
    <w:rsid w:val="00A33715"/>
    <w:rsid w:val="00A36EC2"/>
    <w:rsid w:val="00A92655"/>
    <w:rsid w:val="00AF3A5E"/>
    <w:rsid w:val="00B01604"/>
    <w:rsid w:val="00B2650A"/>
    <w:rsid w:val="00B5420F"/>
    <w:rsid w:val="00C1082B"/>
    <w:rsid w:val="00C163A4"/>
    <w:rsid w:val="00C244C0"/>
    <w:rsid w:val="00C477E7"/>
    <w:rsid w:val="00C52893"/>
    <w:rsid w:val="00C545F5"/>
    <w:rsid w:val="00C545FD"/>
    <w:rsid w:val="00CE5942"/>
    <w:rsid w:val="00D00781"/>
    <w:rsid w:val="00D14C65"/>
    <w:rsid w:val="00D37F08"/>
    <w:rsid w:val="00D51F95"/>
    <w:rsid w:val="00DB3C18"/>
    <w:rsid w:val="00DD50D0"/>
    <w:rsid w:val="00DE3CE8"/>
    <w:rsid w:val="00DF0376"/>
    <w:rsid w:val="00E42532"/>
    <w:rsid w:val="00E550F8"/>
    <w:rsid w:val="00E862BA"/>
    <w:rsid w:val="00E965B0"/>
    <w:rsid w:val="00EA716D"/>
    <w:rsid w:val="00EB7509"/>
    <w:rsid w:val="00F00CA0"/>
    <w:rsid w:val="00F11408"/>
    <w:rsid w:val="00F30C8D"/>
    <w:rsid w:val="00F707C5"/>
    <w:rsid w:val="00F73F66"/>
    <w:rsid w:val="00F81A31"/>
    <w:rsid w:val="00F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3A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0B629B"/>
  </w:style>
  <w:style w:type="character" w:customStyle="1" w:styleId="EndnoteTextChar">
    <w:name w:val="Endnote Text Char"/>
    <w:basedOn w:val="DefaultParagraphFont"/>
    <w:link w:val="EndnoteText"/>
    <w:uiPriority w:val="99"/>
    <w:rsid w:val="000B629B"/>
  </w:style>
  <w:style w:type="character" w:styleId="EndnoteReference">
    <w:name w:val="endnote reference"/>
    <w:basedOn w:val="DefaultParagraphFont"/>
    <w:uiPriority w:val="99"/>
    <w:unhideWhenUsed/>
    <w:rsid w:val="000B62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B629B"/>
  </w:style>
  <w:style w:type="character" w:customStyle="1" w:styleId="FootnoteTextChar">
    <w:name w:val="Footnote Text Char"/>
    <w:basedOn w:val="DefaultParagraphFont"/>
    <w:link w:val="FootnoteText"/>
    <w:uiPriority w:val="99"/>
    <w:rsid w:val="000B629B"/>
  </w:style>
  <w:style w:type="character" w:styleId="FootnoteReference">
    <w:name w:val="footnote reference"/>
    <w:basedOn w:val="DefaultParagraphFont"/>
    <w:uiPriority w:val="99"/>
    <w:unhideWhenUsed/>
    <w:rsid w:val="000B62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A0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0B629B"/>
  </w:style>
  <w:style w:type="character" w:customStyle="1" w:styleId="EndnoteTextChar">
    <w:name w:val="Endnote Text Char"/>
    <w:basedOn w:val="DefaultParagraphFont"/>
    <w:link w:val="EndnoteText"/>
    <w:uiPriority w:val="99"/>
    <w:rsid w:val="000B629B"/>
  </w:style>
  <w:style w:type="character" w:styleId="EndnoteReference">
    <w:name w:val="endnote reference"/>
    <w:basedOn w:val="DefaultParagraphFont"/>
    <w:uiPriority w:val="99"/>
    <w:unhideWhenUsed/>
    <w:rsid w:val="000B62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B629B"/>
  </w:style>
  <w:style w:type="character" w:customStyle="1" w:styleId="FootnoteTextChar">
    <w:name w:val="Footnote Text Char"/>
    <w:basedOn w:val="DefaultParagraphFont"/>
    <w:link w:val="FootnoteText"/>
    <w:uiPriority w:val="99"/>
    <w:rsid w:val="000B629B"/>
  </w:style>
  <w:style w:type="character" w:styleId="FootnoteReference">
    <w:name w:val="footnote reference"/>
    <w:basedOn w:val="DefaultParagraphFont"/>
    <w:uiPriority w:val="99"/>
    <w:unhideWhenUsed/>
    <w:rsid w:val="000B62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A0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Wong</dc:creator>
  <cp:lastModifiedBy>Law Wen Yong</cp:lastModifiedBy>
  <cp:revision>19</cp:revision>
  <dcterms:created xsi:type="dcterms:W3CDTF">2014-04-21T09:03:00Z</dcterms:created>
  <dcterms:modified xsi:type="dcterms:W3CDTF">2014-04-21T14:41:00Z</dcterms:modified>
</cp:coreProperties>
</file>