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media/image1.png" ContentType="image/png"/>
  <Override PartName="/word/media/image2.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Arial" w:hAnsi="Arial" w:eastAsia="Arial" w:cs="Arial"/>
          <w:b/>
          <w:bCs/>
          <w:sz w:val="20"/>
          <w:szCs w:val="20"/>
        </w:rPr>
      </w:pPr>
      <w:r>
        <w:rPr>
          <w:rFonts w:eastAsia="Arial" w:cs="Arial"/>
          <w:b/>
          <w:bCs/>
          <w:sz w:val="20"/>
          <w:szCs w:val="20"/>
        </w:rPr>
      </w:r>
    </w:p>
    <w:p>
      <w:pPr>
        <w:pStyle w:val="normal1"/>
        <w:jc w:val="center"/>
        <w:rPr>
          <w:sz w:val="20"/>
          <w:szCs w:val="20"/>
        </w:rPr>
      </w:pPr>
      <w:r>
        <w:rPr>
          <w:rFonts w:eastAsia="Arial" w:cs="Arial"/>
          <w:b/>
          <w:bCs/>
          <w:sz w:val="20"/>
          <w:szCs w:val="20"/>
        </w:rPr>
        <w:t>APPENDIX - III</w:t>
      </w:r>
    </w:p>
    <w:p>
      <w:pPr>
        <w:pStyle w:val="normal1"/>
        <w:jc w:val="center"/>
        <w:rPr>
          <w:sz w:val="20"/>
          <w:szCs w:val="20"/>
        </w:rPr>
      </w:pPr>
      <w:r>
        <w:rPr>
          <w:rFonts w:eastAsia="Arial" w:cs="Arial"/>
          <w:b/>
          <w:bCs/>
          <w:sz w:val="20"/>
          <w:szCs w:val="20"/>
        </w:rPr>
        <w:t>DRAWBACK / DEEC DECLARATION</w:t>
      </w:r>
    </w:p>
    <w:p>
      <w:pPr>
        <w:pStyle w:val="normal1"/>
        <w:jc w:val="center"/>
        <w:rPr>
          <w:sz w:val="20"/>
          <w:szCs w:val="20"/>
        </w:rPr>
      </w:pPr>
      <w:r>
        <w:rPr>
          <w:rFonts w:eastAsia="Arial" w:cs="Arial"/>
          <w:sz w:val="20"/>
          <w:szCs w:val="20"/>
        </w:rPr>
        <w:t xml:space="preserve">          </w:t>
      </w:r>
      <w:r>
        <w:rPr>
          <w:rFonts w:eastAsia="Arial" w:cs="Arial"/>
          <w:sz w:val="20"/>
          <w:szCs w:val="20"/>
        </w:rPr>
        <w:t>(To be filed for export goods under claim for Drawback)</w:t>
        <w:br/>
      </w:r>
    </w:p>
    <w:p>
      <w:pPr>
        <w:pStyle w:val="normal1"/>
        <w:jc w:val="both"/>
        <w:rPr>
          <w:sz w:val="20"/>
          <w:szCs w:val="20"/>
        </w:rPr>
      </w:pPr>
      <w:r>
        <w:rPr>
          <w:rFonts w:eastAsia="Arial" w:cs="Arial"/>
          <w:sz w:val="20"/>
          <w:szCs w:val="20"/>
        </w:rPr>
        <w:t>I/we Horizon Enterprise, (Name of the Exporter) do hereby further declare as follows: -</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      That the quality and specification of the goods as stated in this Shipping Bill are in accordance with the terms of the exports contract entered into with the buyer/consignee in  pursuance of the goods which are being exported.</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2.  That we are not claiming benefit under “Engineering Products Export (Replenishment of Iron and steel Intermediates) Scheme” notified vide Ministry of Commerce Notification No.53 RE/92-97 dated 1.3.95.</w:t>
      </w:r>
    </w:p>
    <w:p>
      <w:pPr>
        <w:pStyle w:val="normal1"/>
        <w:jc w:val="both"/>
        <w:rPr>
          <w:rFonts w:ascii="Arial" w:hAnsi="Arial" w:eastAsia="Arial" w:cs="Arial"/>
          <w:sz w:val="20"/>
          <w:szCs w:val="20"/>
        </w:rPr>
      </w:pPr>
      <w:r>
        <w:rPr>
          <w:rFonts w:eastAsia="Arial" w:cs="Arial"/>
          <w:sz w:val="20"/>
          <w:szCs w:val="20"/>
        </w:rPr>
      </w:r>
    </w:p>
    <w:p>
      <w:pPr>
        <w:pStyle w:val="normal1"/>
        <w:keepNext w:val="false"/>
        <w:keepLines w:val="false"/>
        <w:pageBreakBefore w:val="false"/>
        <w:widowControl/>
        <w:shd w:val="clear" w:fill="auto"/>
        <w:spacing w:lineRule="auto" w:line="240" w:before="0" w:after="0"/>
        <w:ind w:hanging="0" w:left="0" w:right="0"/>
        <w:jc w:val="both"/>
        <w:rPr>
          <w:sz w:val="20"/>
          <w:szCs w:val="20"/>
        </w:rPr>
      </w:pPr>
      <w:r>
        <w:rPr>
          <w:rFonts w:eastAsia="Arial" w:cs="Arial"/>
          <w:b w:val="false"/>
          <w:bCs w:val="false"/>
          <w:i w:val="false"/>
          <w:iCs w:val="false"/>
          <w:caps w:val="false"/>
          <w:smallCaps w:val="false"/>
          <w:strike w:val="false"/>
          <w:dstrike w:val="false"/>
          <w:position w:val="0"/>
          <w:sz w:val="20"/>
          <w:sz w:val="20"/>
          <w:szCs w:val="20"/>
          <w:u w:val="none"/>
          <w:shd w:fill="auto" w:val="clear"/>
          <w:vertAlign w:val="baseline"/>
        </w:rPr>
        <w:t>3.</w:t>
        <w:tab/>
        <w:t>I/We are claiming Drawback under Customs and Central Excise Duty Drawback Rules 1995. The Duties of Customs and Central Excise have been paid in respect of the containers, packing material and material used in the manufacture of Export goods on which Drawback is being claimed and that in respect of such containers or material no separate claim for rebate of duty under Central Excise Rules 2002 has been or will be made to the Central Excise Authorities.</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4.      That there is no change in the manufacturing formula and in the quantum per unit of the imported material or components, utilised in the manufacture of the export goods and that the materials or components which have been stated in the application under Rule 6 or Rule 7 of the DBK Rules, 1995 to have been imported, continue to be so imported and are not been obtained from indigenous sources.</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 xml:space="preserve">5.     </w:t>
        <w:tab/>
        <w:t>*(A)   That the export have not been manufactured by availing the procedure under Rule 18 / Rule 19 of Central Excise Rules 2002.</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 xml:space="preserve"> </w:t>
      </w:r>
      <w:r>
        <w:rPr>
          <w:rFonts w:eastAsia="Arial" w:cs="Arial"/>
          <w:sz w:val="20"/>
          <w:szCs w:val="20"/>
        </w:rPr>
        <w:t>OR</w:t>
      </w:r>
    </w:p>
    <w:p>
      <w:pPr>
        <w:pStyle w:val="normal1"/>
        <w:jc w:val="both"/>
        <w:rPr>
          <w:sz w:val="20"/>
          <w:szCs w:val="20"/>
        </w:rPr>
      </w:pPr>
      <w:r>
        <w:rPr>
          <w:rFonts w:eastAsia="Arial" w:cs="Arial"/>
          <w:sz w:val="20"/>
          <w:szCs w:val="20"/>
        </w:rPr>
        <w:tab/>
        <w:t xml:space="preserve"> *(B) That the export goods have been manufactured by availing the procedure under rule 18 / Rule 19 of Central Excise Rules 2002, but we are/shall be claiming DBK on the basis of special brand rate in terms of Rule 6 of the DBK Rules, 1995.</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 xml:space="preserve"> </w:t>
      </w:r>
      <w:r>
        <w:rPr>
          <w:rFonts w:eastAsia="Arial" w:cs="Arial"/>
          <w:sz w:val="20"/>
          <w:szCs w:val="20"/>
        </w:rPr>
        <w:t>6.      *(A)   That the goods are not manufactured and/or exported in discharge of export obligation against an Advance License issued under the Duty Exemption Scheme(DEEC) of the relevant Import and Export Policy in force.</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 xml:space="preserve"> </w:t>
      </w:r>
      <w:r>
        <w:rPr>
          <w:rFonts w:eastAsia="Arial" w:cs="Arial"/>
          <w:sz w:val="20"/>
          <w:szCs w:val="20"/>
        </w:rPr>
        <w:t>OR</w:t>
      </w:r>
    </w:p>
    <w:p>
      <w:pPr>
        <w:pStyle w:val="normal1"/>
        <w:jc w:val="both"/>
        <w:rPr>
          <w:sz w:val="20"/>
          <w:szCs w:val="20"/>
        </w:rPr>
      </w:pPr>
      <w:r>
        <w:rPr>
          <w:rFonts w:eastAsia="Arial" w:cs="Arial"/>
          <w:sz w:val="20"/>
          <w:szCs w:val="20"/>
        </w:rPr>
        <w:tab/>
        <w:t xml:space="preserve">   *(B)  That goods are manufactured and are being exported in discharge of export obligation under the Duty Exemption Scheme (DEEC), in terms of Notification No.79/95-Cus or 80/95 both dated 31.3.95 or 31/97 dated 1.4.97 as amended or against DFRC license issued in terms of Notfn No. 48/2000 – CUS dated 24/04/2000 or  Notfn No. 46/2002 – CUS dated  50/04/2002 but I/We are claiming Drawback of only the Central Excise portion of the duties on inputs  specified in the Drawback Schedule.</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OR</w:t>
        <w:tab/>
      </w:r>
    </w:p>
    <w:p>
      <w:pPr>
        <w:pStyle w:val="normal1"/>
        <w:jc w:val="both"/>
        <w:rPr>
          <w:sz w:val="20"/>
          <w:szCs w:val="20"/>
        </w:rPr>
      </w:pPr>
      <w:r>
        <w:rPr>
          <w:rFonts w:eastAsia="Arial" w:cs="Arial"/>
          <w:sz w:val="20"/>
          <w:szCs w:val="20"/>
        </w:rPr>
        <w:t xml:space="preserve">         </w:t>
      </w:r>
    </w:p>
    <w:p>
      <w:pPr>
        <w:pStyle w:val="normal1"/>
        <w:jc w:val="both"/>
        <w:rPr>
          <w:sz w:val="20"/>
          <w:szCs w:val="20"/>
        </w:rPr>
      </w:pPr>
      <w:r>
        <w:rPr>
          <w:rFonts w:eastAsia="Arial" w:cs="Arial"/>
          <w:sz w:val="20"/>
          <w:szCs w:val="20"/>
        </w:rPr>
        <w:t>*(C) That the goods are manufactured and are being exported in discharge of export  obligation under the duty exemption scheme (DEEC), but I/We are claiming Brand rate of drawback fixed under Rule 6 or 7 of the DBK Rules.</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 xml:space="preserve">7.      That the goods are not manufactured and/or exported after availing of the facility under the Passbook Scheme as contained in Para 7.24 of the Export and Import Policy (April, 1997-31 March, 2002) and Para 4.3 of Exim Policy 2002-2007 </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8.      That the goods are not manufactured and / or exported  by a unit licensed as 100% Export Oriented Unit in terms of Import and Export Policy in force.</w:t>
      </w:r>
    </w:p>
    <w:p>
      <w:pPr>
        <w:pStyle w:val="normal1"/>
        <w:jc w:val="both"/>
        <w:rPr>
          <w:rFonts w:ascii="Arial" w:hAnsi="Arial" w:eastAsia="Arial" w:cs="Arial"/>
          <w:sz w:val="20"/>
          <w:szCs w:val="20"/>
        </w:rPr>
      </w:pPr>
      <w:r>
        <w:rPr>
          <w:rFonts w:eastAsia="Arial" w:cs="Arial"/>
          <w:sz w:val="20"/>
          <w:szCs w:val="20"/>
        </w:rPr>
      </w:r>
    </w:p>
    <w:p>
      <w:pPr>
        <w:pStyle w:val="normal1"/>
        <w:keepNext w:val="false"/>
        <w:keepLines w:val="false"/>
        <w:pageBreakBefore w:val="false"/>
        <w:widowControl/>
        <w:shd w:val="clear" w:fill="auto"/>
        <w:spacing w:lineRule="auto" w:line="240" w:before="0" w:after="0"/>
        <w:ind w:hanging="0" w:left="0" w:right="0"/>
        <w:jc w:val="left"/>
        <w:rPr>
          <w:sz w:val="20"/>
          <w:szCs w:val="20"/>
        </w:rPr>
      </w:pPr>
      <w:r>
        <w:rPr>
          <w:rFonts w:eastAsia="Arial" w:cs="Arial"/>
          <w:b w:val="false"/>
          <w:bCs w:val="false"/>
          <w:i w:val="false"/>
          <w:iCs w:val="false"/>
          <w:caps w:val="false"/>
          <w:smallCaps w:val="false"/>
          <w:strike w:val="false"/>
          <w:dstrike w:val="false"/>
          <w:position w:val="0"/>
          <w:sz w:val="20"/>
          <w:sz w:val="20"/>
          <w:szCs w:val="20"/>
          <w:u w:val="none"/>
          <w:shd w:fill="auto" w:val="clear"/>
          <w:vertAlign w:val="baseline"/>
        </w:rPr>
        <w:t>9.      That the goods are not manufactured and/or exported by a unit situated in any Free Trade Zone/Export Processing Zone / Special Economic Zone or any other Zone as per the provisions of EXIM policy in force.</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10.      That the goods are not manufactured partly or wholly in a warehouse under Section 65 of the Customs Act 1962.</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11. That the present market value of the goods is as follow:-</w:t>
      </w:r>
    </w:p>
    <w:p>
      <w:pPr>
        <w:pStyle w:val="normal1"/>
        <w:jc w:val="both"/>
        <w:rPr>
          <w:rFonts w:ascii="Arial" w:hAnsi="Arial" w:eastAsia="Arial" w:cs="Arial"/>
          <w:sz w:val="20"/>
          <w:szCs w:val="20"/>
        </w:rPr>
      </w:pPr>
      <w:r>
        <w:rPr>
          <w:rFonts w:eastAsia="Arial" w:cs="Arial"/>
          <w:sz w:val="20"/>
          <w:szCs w:val="20"/>
        </w:rPr>
      </w:r>
    </w:p>
    <w:tbl>
      <w:tblPr>
        <w:tblW w:w="5000" w:type="pct"/>
        <w:jc w:val="left"/>
        <w:tblInd w:w="-5" w:type="dxa"/>
        <w:tblLayout w:type="fixed"/>
        <w:tblCellMar>
          <w:top w:w="55" w:type="dxa"/>
          <w:left w:w="55" w:type="dxa"/>
          <w:bottom w:w="55" w:type="dxa"/>
          <w:right w:w="55" w:type="dxa"/>
        </w:tblCellMar>
      </w:tblPr>
      <w:tblGrid>
        <w:gridCol w:w="3292"/>
        <w:gridCol w:w="3292"/>
        <w:gridCol w:w="3293"/>
      </w:tblGrid>
      <w:tr>
        <w:trPr/>
        <w:tc>
          <w:tcPr>
            <w:tcW w:w="3292" w:type="dxa"/>
            <w:tcBorders>
              <w:top w:val="single" w:sz="4" w:space="0" w:color="000000"/>
              <w:left w:val="single" w:sz="4" w:space="0" w:color="000000"/>
              <w:bottom w:val="single" w:sz="4" w:space="0" w:color="000000"/>
            </w:tcBorders>
          </w:tcPr>
          <w:p>
            <w:pPr>
              <w:pStyle w:val="normal1"/>
              <w:jc w:val="both"/>
              <w:rPr>
                <w:sz w:val="20"/>
                <w:szCs w:val="20"/>
              </w:rPr>
            </w:pPr>
            <w:r>
              <w:rPr>
                <w:rFonts w:eastAsia="Arial" w:cs="Arial"/>
                <w:sz w:val="20"/>
                <w:szCs w:val="20"/>
              </w:rPr>
              <w:t>SR.No.</w:t>
            </w:r>
          </w:p>
        </w:tc>
        <w:tc>
          <w:tcPr>
            <w:tcW w:w="3292" w:type="dxa"/>
            <w:tcBorders>
              <w:top w:val="single" w:sz="4" w:space="0" w:color="000000"/>
              <w:left w:val="single" w:sz="4" w:space="0" w:color="000000"/>
              <w:bottom w:val="single" w:sz="4" w:space="0" w:color="000000"/>
            </w:tcBorders>
          </w:tcPr>
          <w:p>
            <w:pPr>
              <w:pStyle w:val="normal1"/>
              <w:rPr>
                <w:sz w:val="20"/>
                <w:szCs w:val="20"/>
              </w:rPr>
            </w:pPr>
            <w:r>
              <w:rPr>
                <w:rFonts w:eastAsia="Arial" w:cs="Arial"/>
                <w:sz w:val="20"/>
                <w:szCs w:val="20"/>
              </w:rPr>
              <w:t>Item No. in Invoice</w:t>
            </w:r>
          </w:p>
        </w:tc>
        <w:tc>
          <w:tcPr>
            <w:tcW w:w="3293" w:type="dxa"/>
            <w:tcBorders>
              <w:top w:val="single" w:sz="4" w:space="0" w:color="000000"/>
              <w:left w:val="single" w:sz="4" w:space="0" w:color="000000"/>
              <w:bottom w:val="single" w:sz="4" w:space="0" w:color="000000"/>
              <w:right w:val="single" w:sz="4" w:space="0" w:color="000000"/>
            </w:tcBorders>
          </w:tcPr>
          <w:p>
            <w:pPr>
              <w:pStyle w:val="normal1"/>
              <w:jc w:val="both"/>
              <w:rPr>
                <w:sz w:val="20"/>
                <w:szCs w:val="20"/>
              </w:rPr>
            </w:pPr>
            <w:r>
              <w:rPr>
                <w:rFonts w:eastAsia="Arial" w:cs="Arial"/>
                <w:sz w:val="20"/>
                <w:szCs w:val="20"/>
              </w:rPr>
              <w:t>Market Value</w:t>
            </w:r>
          </w:p>
        </w:tc>
      </w:tr>
      <w:tr>
        <w:trPr/>
        <w:tc>
          <w:tcPr>
            <w:tcW w:w="3292" w:type="dxa"/>
            <w:tcBorders>
              <w:left w:val="single" w:sz="4" w:space="0" w:color="000000"/>
              <w:bottom w:val="single" w:sz="4" w:space="0" w:color="000000"/>
            </w:tcBorders>
          </w:tcPr>
          <w:p>
            <w:pPr>
              <w:pStyle w:val="TableContents"/>
              <w:rPr>
                <w:sz w:val="20"/>
                <w:szCs w:val="20"/>
              </w:rPr>
            </w:pPr>
            <w:r>
              <w:rPr>
                <w:sz w:val="20"/>
                <w:szCs w:val="20"/>
              </w:rPr>
            </w:r>
          </w:p>
        </w:tc>
        <w:tc>
          <w:tcPr>
            <w:tcW w:w="3292" w:type="dxa"/>
            <w:tcBorders>
              <w:left w:val="single" w:sz="4" w:space="0" w:color="000000"/>
              <w:bottom w:val="single" w:sz="4" w:space="0" w:color="000000"/>
            </w:tcBorders>
          </w:tcPr>
          <w:p>
            <w:pPr>
              <w:pStyle w:val="TableContents"/>
              <w:rPr>
                <w:sz w:val="20"/>
                <w:szCs w:val="20"/>
              </w:rPr>
            </w:pPr>
            <w:r>
              <w:rPr>
                <w:sz w:val="20"/>
                <w:szCs w:val="20"/>
              </w:rPr>
            </w:r>
          </w:p>
        </w:tc>
        <w:tc>
          <w:tcPr>
            <w:tcW w:w="3293" w:type="dxa"/>
            <w:tcBorders>
              <w:left w:val="single" w:sz="4" w:space="0" w:color="000000"/>
              <w:bottom w:val="single" w:sz="4" w:space="0" w:color="000000"/>
              <w:right w:val="single" w:sz="4" w:space="0" w:color="000000"/>
            </w:tcBorders>
          </w:tcPr>
          <w:p>
            <w:pPr>
              <w:pStyle w:val="TableContents"/>
              <w:rPr>
                <w:sz w:val="20"/>
                <w:szCs w:val="20"/>
              </w:rPr>
            </w:pPr>
            <w:r>
              <w:rPr>
                <w:sz w:val="20"/>
                <w:szCs w:val="20"/>
              </w:rPr>
            </w:r>
          </w:p>
        </w:tc>
      </w:tr>
    </w:tbl>
    <w:p>
      <w:pPr>
        <w:pStyle w:val="normal1"/>
        <w:jc w:val="both"/>
        <w:rPr>
          <w:rFonts w:ascii="Arial" w:hAnsi="Arial" w:eastAsia="Arial" w:cs="Arial"/>
          <w:sz w:val="20"/>
          <w:szCs w:val="20"/>
        </w:rPr>
      </w:pPr>
      <w:r>
        <w:rPr>
          <w:rFonts w:eastAsia="Arial" w:cs="Arial"/>
          <w:sz w:val="20"/>
          <w:szCs w:val="20"/>
        </w:rPr>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12. That the export value of the goods covered by this Shipping Bill is not less than the total value of all imported materials used in manufacture of such goods.</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13. That the market price of the goods being exported is not less than the drawback amount being claimed.</w:t>
      </w:r>
    </w:p>
    <w:p>
      <w:pPr>
        <w:pStyle w:val="normal1"/>
        <w:jc w:val="both"/>
        <w:rPr>
          <w:rFonts w:ascii="Arial" w:hAnsi="Arial" w:eastAsia="Arial" w:cs="Arial"/>
          <w:sz w:val="20"/>
          <w:szCs w:val="20"/>
        </w:rPr>
      </w:pPr>
      <w:r>
        <w:rPr>
          <w:rFonts w:eastAsia="Arial" w:cs="Arial"/>
          <w:sz w:val="20"/>
          <w:szCs w:val="20"/>
        </w:rPr>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14. That the drawback amount claimed is more that 1% of the FOB value of the export product, or the drawback amount claimed is less than 1% of the FOB value but more than Rs.500.00 against the Shipping Bill.</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15. I/We undertake to repatriate export proceeds within 6 months from date of export and submit B.R.C.  to Asstt. Commissioner (Drawback).  In case, the export proceeds are not realized within 6 months / 12 months, from the date of export, as allowed under the Foreign Exchange Management Act,1999.  I/We will either furnish extension of time form R.B.I. and submit B.R.C. within such extended period or will pay back the drawback received against this Shipping Bill.</w:t>
      </w:r>
    </w:p>
    <w:p>
      <w:pPr>
        <w:pStyle w:val="normal1"/>
        <w:jc w:val="both"/>
        <w:rPr>
          <w:rFonts w:ascii="Arial" w:hAnsi="Arial" w:eastAsia="Arial" w:cs="Arial"/>
          <w:sz w:val="20"/>
          <w:szCs w:val="20"/>
        </w:rPr>
      </w:pPr>
      <w:r>
        <w:rPr>
          <w:rFonts w:eastAsia="Arial" w:cs="Arial"/>
          <w:sz w:val="20"/>
          <w:szCs w:val="20"/>
        </w:rPr>
      </w:r>
    </w:p>
    <w:p>
      <w:pPr>
        <w:pStyle w:val="normal1"/>
        <w:jc w:val="both"/>
        <w:rPr>
          <w:sz w:val="20"/>
          <w:szCs w:val="20"/>
        </w:rPr>
      </w:pPr>
      <w:r>
        <w:rPr>
          <w:rFonts w:eastAsia="Arial" w:cs="Arial"/>
          <w:sz w:val="20"/>
          <w:szCs w:val="20"/>
        </w:rPr>
        <w:t>(*Strike out whichever is inapplicable)</w:t>
      </w:r>
    </w:p>
    <w:p>
      <w:pPr>
        <w:pStyle w:val="normal1"/>
        <w:jc w:val="both"/>
        <w:rPr>
          <w:sz w:val="20"/>
          <w:szCs w:val="20"/>
        </w:rPr>
      </w:pPr>
      <w:r>
        <w:rPr>
          <w:rFonts w:eastAsia="Arial" w:cs="Arial"/>
          <w:sz w:val="20"/>
          <w:szCs w:val="20"/>
        </w:rPr>
        <w:t>Name of Exporter: Horizon Enterprise</w:t>
      </w:r>
    </w:p>
    <w:p>
      <w:pPr>
        <w:pStyle w:val="normal1"/>
        <w:jc w:val="both"/>
        <w:rPr>
          <w:sz w:val="20"/>
          <w:szCs w:val="20"/>
        </w:rPr>
      </w:pPr>
      <w:r>
        <w:rPr>
          <w:rFonts w:eastAsia="Arial" w:cs="Arial"/>
          <w:sz w:val="20"/>
          <w:szCs w:val="20"/>
        </w:rPr>
        <w:t>Address:  E 802, Safal Parisar 1, South Bopal, Ahmedabad 380058</w:t>
      </w:r>
    </w:p>
    <w:p>
      <w:pPr>
        <w:pStyle w:val="normal1"/>
        <w:ind w:firstLine="720"/>
        <w:jc w:val="both"/>
        <w:rPr>
          <w:sz w:val="20"/>
          <w:szCs w:val="20"/>
        </w:rPr>
      </w:pPr>
      <w:r>
        <w:rPr>
          <w:rFonts w:eastAsia="Arial" w:cs="Arial"/>
          <w:sz w:val="20"/>
          <w:szCs w:val="20"/>
        </w:rPr>
        <w:t xml:space="preserve">                      </w:t>
      </w:r>
      <w:r>
        <w:rPr>
          <w:rFonts w:eastAsia="Arial" w:cs="Arial"/>
          <w:sz w:val="20"/>
          <w:szCs w:val="20"/>
        </w:rPr>
        <w:tab/>
        <w:tab/>
        <w:tab/>
        <w:tab/>
        <w:tab/>
        <w:t xml:space="preserve"> </w:t>
      </w:r>
    </w:p>
    <w:p>
      <w:pPr>
        <w:pStyle w:val="normal1"/>
        <w:keepNext w:val="false"/>
        <w:keepLines w:val="false"/>
        <w:pageBreakBefore w:val="false"/>
        <w:widowControl/>
        <w:shd w:val="clear" w:fill="auto"/>
        <w:spacing w:lineRule="auto" w:line="240" w:before="0" w:after="0"/>
        <w:ind w:hanging="0" w:left="0" w:right="0"/>
        <w:jc w:val="both"/>
        <w:rPr>
          <w:sz w:val="20"/>
          <w:szCs w:val="20"/>
        </w:rPr>
      </w:pPr>
      <w:r>
        <w:rPr>
          <w:rFonts w:eastAsia="Arial" w:cs="Arial"/>
          <w:b/>
          <w:bCs/>
          <w:i w:val="false"/>
          <w:iCs w:val="false"/>
          <w:caps w:val="false"/>
          <w:smallCaps w:val="false"/>
          <w:strike w:val="false"/>
          <w:dstrike w:val="false"/>
          <w:position w:val="0"/>
          <w:sz w:val="20"/>
          <w:sz w:val="20"/>
          <w:szCs w:val="20"/>
          <w:u w:val="none"/>
          <w:shd w:fill="auto" w:val="clear"/>
          <w:vertAlign w:val="baseline"/>
        </w:rPr>
        <w:t>FOR Horizon Enterprise</w:t>
      </w:r>
    </w:p>
    <w:p>
      <w:pPr>
        <w:pStyle w:val="Normal"/>
        <w:keepNext w:val="false"/>
        <w:keepLines w:val="false"/>
        <w:pageBreakBefore w:val="false"/>
        <w:widowControl/>
        <w:shd w:val="clear" w:fill="auto"/>
        <w:spacing w:lineRule="auto" w:line="240" w:before="0" w:after="0"/>
        <w:ind w:hanging="0" w:left="0" w:right="0"/>
        <w:jc w:val="both"/>
        <w:rPr>
          <w:sz w:val="20"/>
          <w:szCs w:val="20"/>
        </w:rPr>
      </w:pPr>
      <w:bookmarkStart w:id="0" w:name="docs-internal-guid-e4b37490-7fff-d53f-cb"/>
      <w:bookmarkEnd w:id="0"/>
      <w:r>
        <w:rPr>
          <w:sz w:val="20"/>
          <w:szCs w:val="20"/>
        </w:rPr>
        <w:drawing>
          <wp:inline distT="0" distB="0" distL="0" distR="0">
            <wp:extent cx="2047875" cy="952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47875" cy="952500"/>
                    </a:xfrm>
                    <a:prstGeom prst="rect">
                      <a:avLst/>
                    </a:prstGeom>
                  </pic:spPr>
                </pic:pic>
              </a:graphicData>
            </a:graphic>
          </wp:inline>
        </w:drawing>
      </w:r>
    </w:p>
    <w:p>
      <w:pPr>
        <w:pStyle w:val="normal1"/>
        <w:widowControl/>
        <w:shd w:val="clear" w:fill="auto"/>
        <w:spacing w:lineRule="auto" w:line="240" w:before="0" w:after="0"/>
        <w:ind w:hanging="0" w:left="0" w:right="0"/>
        <w:jc w:val="both"/>
        <w:rPr>
          <w:sz w:val="20"/>
          <w:szCs w:val="20"/>
        </w:rPr>
      </w:pPr>
      <w:r>
        <w:rPr>
          <w:rFonts w:eastAsia="Arial" w:cs="Arial"/>
          <w:b/>
          <w:bCs/>
          <w:i w:val="false"/>
          <w:iCs w:val="false"/>
          <w:caps w:val="false"/>
          <w:smallCaps w:val="false"/>
          <w:strike w:val="false"/>
          <w:dstrike w:val="false"/>
          <w:position w:val="0"/>
          <w:sz w:val="20"/>
          <w:sz w:val="20"/>
          <w:szCs w:val="20"/>
          <w:u w:val="none"/>
          <w:shd w:fill="auto" w:val="clear"/>
          <w:vertAlign w:val="baseline"/>
        </w:rPr>
        <w:t>Authorized signatory</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50" w:right="679" w:gutter="0" w:header="708" w:top="765" w:footer="78" w:bottom="109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rebuchet MS">
    <w:charset w:val="01"/>
    <w:family w:val="roman"/>
    <w:pitch w:val="variable"/>
  </w:font>
  <w:font w:name="Georgia">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113" w:after="0"/>
      <w:ind w:right="26"/>
      <w:jc w:val="center"/>
      <w:rPr>
        <w:color w:val="000000"/>
      </w:rPr>
    </w:pPr>
    <w:r>
      <w:rPr>
        <w:rFonts w:eastAsia="Trebuchet MS" w:cs="Trebuchet MS" w:ascii="Trebuchet MS" w:hAnsi="Trebuchet MS"/>
        <w:color w:val="AE1EA3"/>
        <w:sz w:val="28"/>
        <w:szCs w:val="28"/>
      </w:rPr>
      <w:t>HORIZON ENTERPRISE</w:t>
    </w:r>
  </w:p>
  <w:p>
    <w:pPr>
      <w:pStyle w:val="normal1"/>
      <w:spacing w:lineRule="auto" w:line="240" w:before="42" w:after="0"/>
      <w:ind w:right="-64"/>
      <w:jc w:val="center"/>
      <w:rPr>
        <w:color w:val="000000"/>
      </w:rPr>
    </w:pPr>
    <w:r>
      <w:rPr>
        <w:color w:val="151616"/>
      </w:rPr>
      <w:t>E-802, Safal Parisar-1, Safal Parisar Road, South Bopal, Ahmedabad-380058 </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Email: sales@</w:t>
    </w:r>
    <w:hyperlink r:id="rId1">
      <w:r>
        <w:rPr>
          <w:rStyle w:val="ListLabel1"/>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horizonenterprise.co.in, </w:t>
      </w:r>
    </w:hyperlink>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Website: </w:t>
    </w:r>
    <w:hyperlink r:id="rId2">
      <w:r>
        <w:rPr>
          <w:rStyle w:val="ListLabel1"/>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www.horizonenterprise.co.in</w:t>
      </w:r>
    </w:hyperlink>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113" w:after="0"/>
      <w:ind w:right="26"/>
      <w:jc w:val="center"/>
      <w:rPr>
        <w:color w:val="000000"/>
      </w:rPr>
    </w:pPr>
    <w:r>
      <w:rPr>
        <w:rFonts w:eastAsia="Trebuchet MS" w:cs="Trebuchet MS" w:ascii="Trebuchet MS" w:hAnsi="Trebuchet MS"/>
        <w:color w:val="AE1EA3"/>
        <w:sz w:val="28"/>
        <w:szCs w:val="28"/>
      </w:rPr>
      <w:t>HORIZON ENTERPRISE</w:t>
    </w:r>
  </w:p>
  <w:p>
    <w:pPr>
      <w:pStyle w:val="normal1"/>
      <w:spacing w:lineRule="auto" w:line="240" w:before="42" w:after="0"/>
      <w:ind w:right="-64"/>
      <w:jc w:val="center"/>
      <w:rPr>
        <w:color w:val="000000"/>
      </w:rPr>
    </w:pPr>
    <w:r>
      <w:rPr>
        <w:color w:val="151616"/>
      </w:rPr>
      <w:t>E-802, Safal Parisar-1, Safal Parisar Road, South Bopal, Ahmedabad-380058 </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Email: sales@</w:t>
    </w:r>
    <w:hyperlink r:id="rId1">
      <w:r>
        <w:rPr>
          <w:rStyle w:val="ListLabel1"/>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horizonenterprise.co.in, </w:t>
      </w:r>
    </w:hyperlink>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Website: </w:t>
    </w:r>
    <w:hyperlink r:id="rId2">
      <w:r>
        <w:rPr>
          <w:rStyle w:val="ListLabel1"/>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www.horizonenterprise.co.in</w:t>
      </w:r>
    </w:hyperlink>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3073400" cy="863600"/>
          <wp:effectExtent l="0" t="0" r="0" b="0"/>
          <wp:docPr id="2" name="image1.jpg" descr="A purpl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A purple text on a white background&#10;&#10;AI-generated content may be incorrect."/>
                  <pic:cNvPicPr>
                    <a:picLocks noChangeAspect="1" noChangeArrowheads="1"/>
                  </pic:cNvPicPr>
                </pic:nvPicPr>
                <pic:blipFill>
                  <a:blip r:embed="rId1"/>
                  <a:stretch>
                    <a:fillRect/>
                  </a:stretch>
                </pic:blipFill>
                <pic:spPr bwMode="auto">
                  <a:xfrm>
                    <a:off x="0" y="0"/>
                    <a:ext cx="3073400" cy="86360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3073400" cy="863600"/>
          <wp:effectExtent l="0" t="0" r="0" b="0"/>
          <wp:docPr id="3" name="image1.jpg" descr="A purpl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A purple text on a white background&#10;&#10;AI-generated content may be incorrect."/>
                  <pic:cNvPicPr>
                    <a:picLocks noChangeAspect="1" noChangeArrowheads="1"/>
                  </pic:cNvPicPr>
                </pic:nvPicPr>
                <pic:blipFill>
                  <a:blip r:embed="rId1"/>
                  <a:stretch>
                    <a:fillRect/>
                  </a:stretch>
                </pic:blipFill>
                <pic:spPr bwMode="auto">
                  <a:xfrm>
                    <a:off x="0" y="0"/>
                    <a:ext cx="3073400" cy="863600"/>
                  </a:xfrm>
                  <a:prstGeom prst="rect">
                    <a:avLst/>
                  </a:prstGeom>
                </pic:spPr>
              </pic:pic>
            </a:graphicData>
          </a:graphic>
        </wp:inline>
      </w:drawing>
    </w:r>
  </w:p>
</w:hdr>
</file>

<file path=word/settings.xml><?xml version="1.0" encoding="utf-8"?>
<w:settings xmlns:w="http://schemas.openxmlformats.org/wordprocessingml/2006/main">
  <w:zoom w:percent="214"/>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erif CJK SC" w:cs="Noto Sans Devanagari"/>
      <w:color w:val="auto"/>
      <w:kern w:val="0"/>
      <w:sz w:val="24"/>
      <w:szCs w:val="24"/>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spacing w:lineRule="auto" w:line="240" w:before="240" w:after="60"/>
    </w:pPr>
    <w:rPr>
      <w:b/>
      <w:bCs/>
      <w:i/>
      <w:iCs/>
      <w:sz w:val="26"/>
      <w:szCs w:val="26"/>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Arial" w:hAnsi="Arial" w:eastAsia="Noto Serif CJK SC" w:cs="Noto Sans Devanagari"/>
      <w:color w:val="auto"/>
      <w:kern w:val="0"/>
      <w:sz w:val="24"/>
      <w:szCs w:val="24"/>
      <w:lang w:val="en-IN" w:eastAsia="zh-CN" w:bidi="hi-IN"/>
    </w:rPr>
  </w:style>
  <w:style w:type="paragraph" w:styleId="Title">
    <w:name w:val="Title"/>
    <w:basedOn w:val="normal1"/>
    <w:next w:val="normal1"/>
    <w:qFormat/>
    <w:pPr>
      <w:widowControl w:val="false"/>
      <w:spacing w:lineRule="auto" w:line="240" w:before="113" w:after="0"/>
      <w:ind w:left="2832" w:right="3838"/>
      <w:jc w:val="center"/>
    </w:pPr>
    <w:rPr>
      <w:rFonts w:ascii="Trebuchet MS" w:hAnsi="Trebuchet MS" w:eastAsia="Trebuchet MS" w:cs="Trebuchet MS"/>
      <w:sz w:val="28"/>
      <w:szCs w:val="28"/>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footer2.xml.rels><?xml version="1.0" encoding="UTF-8"?>
<Relationships xmlns="http://schemas.openxmlformats.org/package/2006/relationships"><Relationship Id="rId1" Type="http://schemas.openxmlformats.org/officeDocument/2006/relationships/hyperlink" Target="about:blank" TargetMode="External"/><Relationship Id="rId2" Type="http://schemas.openxmlformats.org/officeDocument/2006/relationships/hyperlink" Target="http://www.horizonenterprise.co.in/" TargetMode="External"/>
</Relationships>
</file>

<file path=word/_rels/footer3.xml.rels><?xml version="1.0" encoding="UTF-8"?>
<Relationships xmlns="http://schemas.openxmlformats.org/package/2006/relationships"><Relationship Id="rId1" Type="http://schemas.openxmlformats.org/officeDocument/2006/relationships/hyperlink" Target="about:blank" TargetMode="External"/><Relationship Id="rId2" Type="http://schemas.openxmlformats.org/officeDocument/2006/relationships/hyperlink" Target="http://www.horizonenterprise.co.in/" TargetMode="Externa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aeGNvhoi+S6gOoNcnlIEvdPfBw==">CgMxLjA4AHIhMUE3V1lBMFVicEhPZ21nd3d5R09oUjJDWDBjREE0eVVy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2</Pages>
  <Words>835</Words>
  <Characters>4220</Characters>
  <CharactersWithSpaces>5135</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2026-08-15T08:32:54Z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