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2233A"/>
          <w:sz w:val="32"/>
          <w:szCs w:val="32"/>
        </w:rPr>
        <w:t xml:space="preserve">ACTA DE CONSTANCIA DE AUTORÍA</w:t>
      </w:r>
    </w:p>
    <w:p>
      <w:pPr>
        <w:pBdr>
          <w:bottom w:val="single" w:color="8A1F3D" w:sz="12" w:space="8"/>
        </w:pBdr>
        <w:spacing w:after="40"/>
        <w:jc w:val="center"/>
      </w:pPr>
      <w:r>
        <w:rPr>
          <w:sz w:val="8"/>
          <w:szCs w:val="8"/>
        </w:rPr>
        <w:t xml:space="preserve"> </w:t>
      </w:r>
    </w:p>
    <w:p>
      <w:pPr>
        <w:spacing w:after="220" w:before="120"/>
        <w:jc w:val="center"/>
      </w:pPr>
      <w:r>
        <w:rPr>
          <w:rFonts w:ascii="Calibri" w:cs="Calibri" w:eastAsia="Calibri" w:hAnsi="Calibri"/>
          <w:i/>
          <w:iCs/>
          <w:color w:val="555555"/>
          <w:sz w:val="20"/>
          <w:szCs w:val="20"/>
        </w:rPr>
        <w:t xml:space="preserve">Registro de integridad y anterioridad mediante funciones criptográficas de resumen (hash)</w:t>
      </w:r>
    </w:p>
    <w:p>
      <w:pPr>
        <w:spacing w:after="100" w:before="240"/>
      </w:pPr>
      <w:r>
        <w:rPr>
          <w:rFonts w:ascii="Calibri" w:cs="Calibri" w:eastAsia="Calibri" w:hAnsi="Calibri"/>
          <w:b/>
          <w:bCs/>
          <w:color w:val="8A1F3D"/>
          <w:sz w:val="24"/>
          <w:szCs w:val="24"/>
        </w:rPr>
        <w:t xml:space="preserve">1. Identificación del autor y titular</w:t>
      </w:r>
    </w:p>
    <w:p>
      <w:pPr>
        <w:spacing w:after="120" w:line="276"/>
        <w:jc w:val="both"/>
      </w:pPr>
      <w:r>
        <w:rPr>
          <w:rFonts w:ascii="Calibri" w:cs="Calibri" w:eastAsia="Calibri" w:hAnsi="Calibri"/>
          <w:sz w:val="22"/>
          <w:szCs w:val="22"/>
        </w:rPr>
        <w:t xml:space="preserve">Quien suscribe, Darien Gómez, mayor de edad, de nacionalidad dominicana, portador de la Cédula de Identidad y Electoral núm. ________________, domiciliado en ______________________________, República Dominicana, declara ser el autor y titular exclusivo de los derechos morales y patrimoniales sobre las obras de software descritas en la presente acta.</w:t>
      </w:r>
    </w:p>
    <w:p>
      <w:pPr>
        <w:spacing w:after="100" w:before="240"/>
      </w:pPr>
      <w:r>
        <w:rPr>
          <w:rFonts w:ascii="Calibri" w:cs="Calibri" w:eastAsia="Calibri" w:hAnsi="Calibri"/>
          <w:b/>
          <w:bCs/>
          <w:color w:val="8A1F3D"/>
          <w:sz w:val="24"/>
          <w:szCs w:val="24"/>
        </w:rPr>
        <w:t xml:space="preserve">2. Objeto</w:t>
      </w:r>
    </w:p>
    <w:p>
      <w:pPr>
        <w:spacing w:after="120" w:line="276"/>
        <w:jc w:val="both"/>
      </w:pPr>
      <w:r>
        <w:rPr>
          <w:rFonts w:ascii="Calibri" w:cs="Calibri" w:eastAsia="Calibri" w:hAnsi="Calibri"/>
          <w:sz w:val="22"/>
          <w:szCs w:val="22"/>
        </w:rPr>
        <w:t xml:space="preserve">La presente acta tiene por objeto dejar constancia de la existencia, el contenido exacto y la fecha cierta de las obras de software identificadas más adelante, mediante el cálculo de sus funciones criptográficas de resumen (hash SHA-256 y SHA-512), a los fines de acreditar su anterioridad y detectar cualquier alteración posterior.</w:t>
      </w:r>
    </w:p>
    <w:p>
      <w:pPr>
        <w:spacing w:after="100" w:before="240"/>
      </w:pPr>
      <w:r>
        <w:rPr>
          <w:rFonts w:ascii="Calibri" w:cs="Calibri" w:eastAsia="Calibri" w:hAnsi="Calibri"/>
          <w:b/>
          <w:bCs/>
          <w:color w:val="8A1F3D"/>
          <w:sz w:val="24"/>
          <w:szCs w:val="24"/>
        </w:rPr>
        <w:t xml:space="preserve">3. Obras registradas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500"/>
        <w:gridCol w:w="1100"/>
        <w:gridCol w:w="2360"/>
      </w:tblGrid>
      <w:tr>
        <w:trPr>
          <w:tblHeader/>
        </w:trPr>
        <w:tc>
          <w:tcPr>
            <w:tcW w:type="dxa" w:w="3400"/>
            <w:tcBorders>
              <w:top w:val="single" w:color="BFBFBF" w:sz="4"/>
              <w:left w:val="single" w:color="BFBFBF" w:sz="4"/>
              <w:bottom w:val="single" w:color="BFBFBF" w:sz="4"/>
              <w:right w:val="single" w:color="BFBFBF" w:sz="4"/>
            </w:tcBorders>
            <w:shd w:fill="12233A" w:val="clear"/>
            <w:tcMar>
              <w:top w:type="dxa" w:w="60"/>
              <w:left w:type="dxa" w:w="90"/>
              <w:bottom w:type="dxa" w:w="60"/>
              <w:right w:type="dxa" w:w="90"/>
            </w:tcMar>
          </w:tcPr>
          <w:p>
            <w:r>
              <w:rPr>
                <w:rFonts w:ascii="Calibri" w:cs="Calibri" w:eastAsia="Calibri" w:hAnsi="Calibri"/>
                <w:b/>
                <w:bCs/>
                <w:color w:val="FFFFFF"/>
                <w:sz w:val="18"/>
                <w:szCs w:val="18"/>
              </w:rPr>
              <w:t xml:space="preserve">Obra</w:t>
            </w:r>
          </w:p>
        </w:tc>
        <w:tc>
          <w:tcPr>
            <w:tcW w:type="dxa" w:w="2500"/>
            <w:tcBorders>
              <w:top w:val="single" w:color="BFBFBF" w:sz="4"/>
              <w:left w:val="single" w:color="BFBFBF" w:sz="4"/>
              <w:bottom w:val="single" w:color="BFBFBF" w:sz="4"/>
              <w:right w:val="single" w:color="BFBFBF" w:sz="4"/>
            </w:tcBorders>
            <w:shd w:fill="12233A" w:val="clear"/>
            <w:tcMar>
              <w:top w:type="dxa" w:w="60"/>
              <w:left w:type="dxa" w:w="90"/>
              <w:bottom w:type="dxa" w:w="60"/>
              <w:right w:type="dxa" w:w="90"/>
            </w:tcMar>
          </w:tcPr>
          <w:p>
            <w:r>
              <w:rPr>
                <w:rFonts w:ascii="Calibri" w:cs="Calibri" w:eastAsia="Calibri" w:hAnsi="Calibri"/>
                <w:b/>
                <w:bCs/>
                <w:color w:val="FFFFFF"/>
                <w:sz w:val="18"/>
                <w:szCs w:val="18"/>
              </w:rPr>
              <w:t xml:space="preserve">Archivo</w:t>
            </w:r>
          </w:p>
        </w:tc>
        <w:tc>
          <w:tcPr>
            <w:tcW w:type="dxa" w:w="1100"/>
            <w:tcBorders>
              <w:top w:val="single" w:color="BFBFBF" w:sz="4"/>
              <w:left w:val="single" w:color="BFBFBF" w:sz="4"/>
              <w:bottom w:val="single" w:color="BFBFBF" w:sz="4"/>
              <w:right w:val="single" w:color="BFBFBF" w:sz="4"/>
            </w:tcBorders>
            <w:shd w:fill="12233A" w:val="clear"/>
            <w:tcMar>
              <w:top w:type="dxa" w:w="60"/>
              <w:left w:type="dxa" w:w="90"/>
              <w:bottom w:type="dxa" w:w="60"/>
              <w:right w:type="dxa" w:w="90"/>
            </w:tcMar>
          </w:tcPr>
          <w:p>
            <w:r>
              <w:rPr>
                <w:rFonts w:ascii="Calibri" w:cs="Calibri" w:eastAsia="Calibri" w:hAnsi="Calibri"/>
                <w:b/>
                <w:bCs/>
                <w:color w:val="FFFFFF"/>
                <w:sz w:val="18"/>
                <w:szCs w:val="18"/>
              </w:rPr>
              <w:t xml:space="preserve">Tamaño</w:t>
            </w:r>
          </w:p>
        </w:tc>
        <w:tc>
          <w:tcPr>
            <w:tcW w:type="dxa" w:w="2360"/>
            <w:tcBorders>
              <w:top w:val="single" w:color="BFBFBF" w:sz="4"/>
              <w:left w:val="single" w:color="BFBFBF" w:sz="4"/>
              <w:bottom w:val="single" w:color="BFBFBF" w:sz="4"/>
              <w:right w:val="single" w:color="BFBFBF" w:sz="4"/>
            </w:tcBorders>
            <w:shd w:fill="12233A" w:val="clear"/>
            <w:tcMar>
              <w:top w:type="dxa" w:w="60"/>
              <w:left w:type="dxa" w:w="90"/>
              <w:bottom w:type="dxa" w:w="60"/>
              <w:right w:type="dxa" w:w="90"/>
            </w:tcMar>
          </w:tcPr>
          <w:p>
            <w:r>
              <w:rPr>
                <w:rFonts w:ascii="Calibri" w:cs="Calibri" w:eastAsia="Calibri" w:hAnsi="Calibri"/>
                <w:b/>
                <w:bCs/>
                <w:color w:val="FFFFFF"/>
                <w:sz w:val="18"/>
                <w:szCs w:val="18"/>
              </w:rPr>
              <w:t xml:space="preserve">SHA-256</w:t>
            </w:r>
          </w:p>
        </w:tc>
      </w:tr>
      <w:tr>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Levantamiento de Insumos — Necesidades y nevera de vacunas</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onsolas" w:cs="Consolas" w:eastAsia="Consolas" w:hAnsi="Consolas"/>
                <w:sz w:val="16"/>
                <w:szCs w:val="16"/>
              </w:rPr>
              <w:t xml:space="preserve">levantamiento-insumos.html</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6"/>
                <w:szCs w:val="16"/>
              </w:rPr>
              <w:t xml:space="preserve">51,945 bytes</w:t>
            </w:r>
          </w:p>
        </w:tc>
        <w:tc>
          <w:tcPr>
            <w:tcW w:type="dxa" w:w="2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onsolas" w:cs="Consolas" w:eastAsia="Consolas" w:hAnsi="Consolas"/>
                <w:sz w:val="14"/>
                <w:szCs w:val="14"/>
              </w:rPr>
              <w:t xml:space="preserve">85ae017aa9489a54416d012ff76c7dde…</w:t>
            </w:r>
          </w:p>
        </w:tc>
      </w:tr>
      <w:tr>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Levantamiento del Personal de Salud — AIPEO</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onsolas" w:cs="Consolas" w:eastAsia="Consolas" w:hAnsi="Consolas"/>
                <w:sz w:val="16"/>
                <w:szCs w:val="16"/>
              </w:rPr>
              <w:t xml:space="preserve">levantamiento-personal-aipeo.html</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6"/>
                <w:szCs w:val="16"/>
              </w:rPr>
              <w:t xml:space="preserve">44,220 bytes</w:t>
            </w:r>
          </w:p>
        </w:tc>
        <w:tc>
          <w:tcPr>
            <w:tcW w:type="dxa" w:w="2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onsolas" w:cs="Consolas" w:eastAsia="Consolas" w:hAnsi="Consolas"/>
                <w:sz w:val="14"/>
                <w:szCs w:val="14"/>
              </w:rPr>
              <w:t xml:space="preserve">1a58e67667a458333d0d2f7825e38163…</w:t>
            </w:r>
          </w:p>
        </w:tc>
      </w:tr>
      <w:tr>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Levantamiento SIP+ — Equipamiento, red y personal</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onsolas" w:cs="Consolas" w:eastAsia="Consolas" w:hAnsi="Consolas"/>
                <w:sz w:val="16"/>
                <w:szCs w:val="16"/>
              </w:rPr>
              <w:t xml:space="preserve">levantamiento-sip.html</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6"/>
                <w:szCs w:val="16"/>
              </w:rPr>
              <w:t xml:space="preserve">61,224 bytes</w:t>
            </w:r>
          </w:p>
        </w:tc>
        <w:tc>
          <w:tcPr>
            <w:tcW w:type="dxa" w:w="2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onsolas" w:cs="Consolas" w:eastAsia="Consolas" w:hAnsi="Consolas"/>
                <w:sz w:val="14"/>
                <w:szCs w:val="14"/>
              </w:rPr>
              <w:t xml:space="preserve">08b5f4db30e50d54ede9eb15cadd9333…</w:t>
            </w:r>
          </w:p>
        </w:tc>
      </w:tr>
    </w:tbl>
    <w:p>
      <w:pPr>
        <w:spacing w:after="80" w:before="120"/>
      </w:pPr>
      <w:r>
        <w:rPr>
          <w:rFonts w:ascii="Calibri" w:cs="Calibri" w:eastAsia="Calibri" w:hAnsi="Calibri"/>
          <w:b/>
          <w:bCs/>
          <w:sz w:val="20"/>
          <w:szCs w:val="20"/>
        </w:rPr>
        <w:t xml:space="preserve">Fecha y hora de cálculo: </w:t>
      </w:r>
      <w:r>
        <w:rPr>
          <w:rFonts w:ascii="Consolas" w:cs="Consolas" w:eastAsia="Consolas" w:hAnsi="Consolas"/>
          <w:color w:val="1F6F78"/>
          <w:sz w:val="20"/>
          <w:szCs w:val="20"/>
        </w:rPr>
        <w:t xml:space="preserve">2026-07-23 18:10:43 UTC</w:t>
      </w:r>
    </w:p>
    <w:p>
      <w:pPr>
        <w:spacing w:after="120"/>
      </w:pPr>
      <w:r>
        <w:rPr>
          <w:rFonts w:ascii="Calibri" w:cs="Calibri" w:eastAsia="Calibri" w:hAnsi="Calibri"/>
          <w:b/>
          <w:bCs/>
          <w:sz w:val="18"/>
          <w:szCs w:val="18"/>
        </w:rPr>
        <w:t xml:space="preserve">Hash maestro del conjunto (SHA-256): </w:t>
      </w:r>
      <w:r>
        <w:rPr>
          <w:rFonts w:ascii="Consolas" w:cs="Consolas" w:eastAsia="Consolas" w:hAnsi="Consolas"/>
          <w:sz w:val="15"/>
          <w:szCs w:val="15"/>
        </w:rPr>
        <w:t xml:space="preserve">c14b82fcdf35e872d9c0ed5292ea2952a552ef2fcbbbac81d2a15fff5ebc94d2</w:t>
      </w:r>
    </w:p>
    <w:p>
      <w:pPr>
        <w:spacing w:after="100" w:before="240"/>
      </w:pPr>
      <w:r>
        <w:rPr>
          <w:rFonts w:ascii="Calibri" w:cs="Calibri" w:eastAsia="Calibri" w:hAnsi="Calibri"/>
          <w:b/>
          <w:bCs/>
          <w:color w:val="8A1F3D"/>
          <w:sz w:val="24"/>
          <w:szCs w:val="24"/>
        </w:rPr>
        <w:t xml:space="preserve">4. Naturaleza y descripción de las obras</w:t>
      </w:r>
    </w:p>
    <w:p>
      <w:pPr>
        <w:spacing w:after="120" w:line="276"/>
        <w:jc w:val="both"/>
      </w:pPr>
      <w:r>
        <w:rPr>
          <w:rFonts w:ascii="Calibri" w:cs="Calibri" w:eastAsia="Calibri" w:hAnsi="Calibri"/>
          <w:sz w:val="22"/>
          <w:szCs w:val="22"/>
        </w:rPr>
        <w:t xml:space="preserve">Las obras consisten en tres aplicaciones informáticas de captura de datos en campo, desarrolladas íntegramente por el autor, destinadas al levantamiento de información en establecimientos de salud. Cada aplicación comprende código fuente propio en HTML, CSS y JavaScript, diseño de interfaz, arquitectura de datos, esquema de cifrado y control de acceso, así como los módulos de exportación a formatos de hoja de cálculo y documento portátil.</w:t>
      </w:r>
    </w:p>
    <w:p>
      <w:pPr>
        <w:spacing w:after="120" w:line="276"/>
        <w:jc w:val="both"/>
      </w:pPr>
      <w:r>
        <w:rPr>
          <w:rFonts w:ascii="Calibri" w:cs="Calibri" w:eastAsia="Calibri" w:hAnsi="Calibri"/>
          <w:sz w:val="22"/>
          <w:szCs w:val="22"/>
        </w:rPr>
        <w:t xml:space="preserve">Las obras fueron concebidas y desarrolladas como herramientas propias del autor para el ejercicio de su actividad profesional, y no constituyen producto entregable de contrato alguno, sin perjuicio de las licencias de uso que el titular pueda otorgar a terceros.</w:t>
      </w:r>
    </w:p>
    <w:p>
      <w:pPr>
        <w:spacing w:after="100" w:before="240"/>
      </w:pPr>
      <w:r>
        <w:rPr>
          <w:rFonts w:ascii="Calibri" w:cs="Calibri" w:eastAsia="Calibri" w:hAnsi="Calibri"/>
          <w:b/>
          <w:bCs/>
          <w:color w:val="8A1F3D"/>
          <w:sz w:val="24"/>
          <w:szCs w:val="24"/>
        </w:rPr>
        <w:t xml:space="preserve">5. Valores de resumen criptográfico</w:t>
      </w:r>
    </w:p>
    <w:p>
      <w:pPr>
        <w:spacing w:after="120" w:line="276"/>
        <w:jc w:val="both"/>
      </w:pPr>
      <w:r>
        <w:rPr>
          <w:rFonts w:ascii="Calibri" w:cs="Calibri" w:eastAsia="Calibri" w:hAnsi="Calibri"/>
          <w:i/>
          <w:iCs/>
          <w:color w:val="555555"/>
          <w:sz w:val="22"/>
          <w:szCs w:val="22"/>
        </w:rPr>
        <w:t xml:space="preserve">Se hace constar que cualquier modificación, por mínima que sea, del contenido de los archivos identificados producirá valores de resumen distintos a los consignados, lo que permite verificar la integridad de las obras en cualquier momento posterior.</w:t>
      </w:r>
    </w:p>
    <w:p>
      <w:pPr>
        <w:spacing w:after="40" w:before="140"/>
      </w:pPr>
      <w:r>
        <w:rPr>
          <w:rFonts w:ascii="Calibri" w:cs="Calibri" w:eastAsia="Calibri" w:hAnsi="Calibri"/>
          <w:b/>
          <w:bCs/>
          <w:color w:val="1F6F78"/>
          <w:sz w:val="20"/>
          <w:szCs w:val="20"/>
        </w:rPr>
        <w:t xml:space="preserve">levantamiento-insumos.html</w:t>
      </w:r>
    </w:p>
    <w:p>
      <w:pPr>
        <w:spacing w:after="20"/>
      </w:pPr>
      <w:r>
        <w:rPr>
          <w:rFonts w:ascii="Calibri" w:cs="Calibri" w:eastAsia="Calibri" w:hAnsi="Calibri"/>
          <w:b/>
          <w:bCs/>
          <w:sz w:val="16"/>
          <w:szCs w:val="16"/>
        </w:rPr>
        <w:t xml:space="preserve">SHA-256: </w:t>
      </w:r>
      <w:r>
        <w:rPr>
          <w:rFonts w:ascii="Consolas" w:cs="Consolas" w:eastAsia="Consolas" w:hAnsi="Consolas"/>
          <w:sz w:val="15"/>
          <w:szCs w:val="15"/>
        </w:rPr>
        <w:t xml:space="preserve">85ae017aa9489a54416d012ff76c7dde11315d30746cfa28719a41f2893f46a1</w:t>
      </w:r>
    </w:p>
    <w:p>
      <w:pPr>
        <w:spacing w:after="80"/>
      </w:pPr>
      <w:r>
        <w:rPr>
          <w:rFonts w:ascii="Calibri" w:cs="Calibri" w:eastAsia="Calibri" w:hAnsi="Calibri"/>
          <w:b/>
          <w:bCs/>
          <w:sz w:val="16"/>
          <w:szCs w:val="16"/>
        </w:rPr>
        <w:t xml:space="preserve">SHA-512: </w:t>
      </w:r>
      <w:r>
        <w:rPr>
          <w:rFonts w:ascii="Consolas" w:cs="Consolas" w:eastAsia="Consolas" w:hAnsi="Consolas"/>
          <w:sz w:val="13"/>
          <w:szCs w:val="13"/>
        </w:rPr>
        <w:t xml:space="preserve">3ce19b8035e654f60f8d0cb1ae9018a0730f22a014671e5cbcf2b77c19e9c1b6954b9faaac69d7e61b1a6aa47f37f9d4bc2da3995f5ed6169ac718e1f2477367</w:t>
      </w:r>
    </w:p>
    <w:p>
      <w:pPr>
        <w:spacing w:after="40" w:before="140"/>
      </w:pPr>
      <w:r>
        <w:rPr>
          <w:rFonts w:ascii="Calibri" w:cs="Calibri" w:eastAsia="Calibri" w:hAnsi="Calibri"/>
          <w:b/>
          <w:bCs/>
          <w:color w:val="1F6F78"/>
          <w:sz w:val="20"/>
          <w:szCs w:val="20"/>
        </w:rPr>
        <w:t xml:space="preserve">levantamiento-personal-aipeo.html</w:t>
      </w:r>
    </w:p>
    <w:p>
      <w:pPr>
        <w:spacing w:after="20"/>
      </w:pPr>
      <w:r>
        <w:rPr>
          <w:rFonts w:ascii="Calibri" w:cs="Calibri" w:eastAsia="Calibri" w:hAnsi="Calibri"/>
          <w:b/>
          <w:bCs/>
          <w:sz w:val="16"/>
          <w:szCs w:val="16"/>
        </w:rPr>
        <w:t xml:space="preserve">SHA-256: </w:t>
      </w:r>
      <w:r>
        <w:rPr>
          <w:rFonts w:ascii="Consolas" w:cs="Consolas" w:eastAsia="Consolas" w:hAnsi="Consolas"/>
          <w:sz w:val="15"/>
          <w:szCs w:val="15"/>
        </w:rPr>
        <w:t xml:space="preserve">1a58e67667a458333d0d2f7825e381639247fa3246e157e294eecf0b43845417</w:t>
      </w:r>
    </w:p>
    <w:p>
      <w:pPr>
        <w:spacing w:after="80"/>
      </w:pPr>
      <w:r>
        <w:rPr>
          <w:rFonts w:ascii="Calibri" w:cs="Calibri" w:eastAsia="Calibri" w:hAnsi="Calibri"/>
          <w:b/>
          <w:bCs/>
          <w:sz w:val="16"/>
          <w:szCs w:val="16"/>
        </w:rPr>
        <w:t xml:space="preserve">SHA-512: </w:t>
      </w:r>
      <w:r>
        <w:rPr>
          <w:rFonts w:ascii="Consolas" w:cs="Consolas" w:eastAsia="Consolas" w:hAnsi="Consolas"/>
          <w:sz w:val="13"/>
          <w:szCs w:val="13"/>
        </w:rPr>
        <w:t xml:space="preserve">acacf8c8af813a6573c809438f20a170259529368df92ccbedd20ccb0fa8c801d64ab8169266fbc006bad63b677c2c34c069a291c1067d3fe433cb27420c93ea</w:t>
      </w:r>
    </w:p>
    <w:p>
      <w:pPr>
        <w:spacing w:after="40" w:before="140"/>
      </w:pPr>
      <w:r>
        <w:rPr>
          <w:rFonts w:ascii="Calibri" w:cs="Calibri" w:eastAsia="Calibri" w:hAnsi="Calibri"/>
          <w:b/>
          <w:bCs/>
          <w:color w:val="1F6F78"/>
          <w:sz w:val="20"/>
          <w:szCs w:val="20"/>
        </w:rPr>
        <w:t xml:space="preserve">levantamiento-sip.html</w:t>
      </w:r>
    </w:p>
    <w:p>
      <w:pPr>
        <w:spacing w:after="20"/>
      </w:pPr>
      <w:r>
        <w:rPr>
          <w:rFonts w:ascii="Calibri" w:cs="Calibri" w:eastAsia="Calibri" w:hAnsi="Calibri"/>
          <w:b/>
          <w:bCs/>
          <w:sz w:val="16"/>
          <w:szCs w:val="16"/>
        </w:rPr>
        <w:t xml:space="preserve">SHA-256: </w:t>
      </w:r>
      <w:r>
        <w:rPr>
          <w:rFonts w:ascii="Consolas" w:cs="Consolas" w:eastAsia="Consolas" w:hAnsi="Consolas"/>
          <w:sz w:val="15"/>
          <w:szCs w:val="15"/>
        </w:rPr>
        <w:t xml:space="preserve">08b5f4db30e50d54ede9eb15cadd9333b59768254ac9d4e955e1a09305fd1525</w:t>
      </w:r>
    </w:p>
    <w:p>
      <w:pPr>
        <w:spacing w:after="80"/>
      </w:pPr>
      <w:r>
        <w:rPr>
          <w:rFonts w:ascii="Calibri" w:cs="Calibri" w:eastAsia="Calibri" w:hAnsi="Calibri"/>
          <w:b/>
          <w:bCs/>
          <w:sz w:val="16"/>
          <w:szCs w:val="16"/>
        </w:rPr>
        <w:t xml:space="preserve">SHA-512: </w:t>
      </w:r>
      <w:r>
        <w:rPr>
          <w:rFonts w:ascii="Consolas" w:cs="Consolas" w:eastAsia="Consolas" w:hAnsi="Consolas"/>
          <w:sz w:val="13"/>
          <w:szCs w:val="13"/>
        </w:rPr>
        <w:t xml:space="preserve">ee8cb399674d437a14efa32fbcb444a57aee4efb3b950ce36fe23086d1ee2bc37b272313b2354f5861ccfc024c300e1b620c2e1e4c3604ac69d87426d27d069b</w:t>
      </w:r>
    </w:p>
    <w:p>
      <w:pPr>
        <w:spacing w:after="100" w:before="240"/>
      </w:pPr>
      <w:r>
        <w:rPr>
          <w:rFonts w:ascii="Calibri" w:cs="Calibri" w:eastAsia="Calibri" w:hAnsi="Calibri"/>
          <w:b/>
          <w:bCs/>
          <w:color w:val="8A1F3D"/>
          <w:sz w:val="24"/>
          <w:szCs w:val="24"/>
        </w:rPr>
        <w:t xml:space="preserve">6. Verificación</w:t>
      </w:r>
    </w:p>
    <w:p>
      <w:pPr>
        <w:spacing w:after="120" w:line="276"/>
        <w:jc w:val="both"/>
      </w:pPr>
      <w:r>
        <w:rPr>
          <w:rFonts w:ascii="Calibri" w:cs="Calibri" w:eastAsia="Calibri" w:hAnsi="Calibri"/>
          <w:sz w:val="22"/>
          <w:szCs w:val="22"/>
        </w:rPr>
        <w:t xml:space="preserve">Los valores consignados pueden ser verificados por cualquier persona ejecutando, sobre los archivos originales, los siguientes comandos de uso estándar:</w:t>
      </w:r>
    </w:p>
    <w:p>
      <w:pPr>
        <w:shd w:fill="F2F2F2" w:val="clear"/>
        <w:spacing w:after="60" w:before="80"/>
      </w:pPr>
      <w:r>
        <w:rPr>
          <w:rFonts w:ascii="Consolas" w:cs="Consolas" w:eastAsia="Consolas" w:hAnsi="Consolas"/>
          <w:sz w:val="17"/>
          <w:szCs w:val="17"/>
        </w:rPr>
        <w:t xml:space="preserve">  Windows:  certutil -hashfile &lt;archivo&gt; SHA256</w:t>
      </w:r>
    </w:p>
    <w:p>
      <w:pPr>
        <w:shd w:fill="F2F2F2" w:val="clear"/>
        <w:spacing w:after="60"/>
      </w:pPr>
      <w:r>
        <w:rPr>
          <w:rFonts w:ascii="Consolas" w:cs="Consolas" w:eastAsia="Consolas" w:hAnsi="Consolas"/>
          <w:sz w:val="17"/>
          <w:szCs w:val="17"/>
        </w:rPr>
        <w:t xml:space="preserve">  Linux:    sha256sum &lt;archivo&gt;</w:t>
      </w:r>
    </w:p>
    <w:p>
      <w:pPr>
        <w:shd w:fill="F2F2F2" w:val="clear"/>
        <w:spacing w:after="140"/>
      </w:pPr>
      <w:r>
        <w:rPr>
          <w:rFonts w:ascii="Consolas" w:cs="Consolas" w:eastAsia="Consolas" w:hAnsi="Consolas"/>
          <w:sz w:val="17"/>
          <w:szCs w:val="17"/>
        </w:rPr>
        <w:t xml:space="preserve">  macOS:    shasum -a 256 &lt;archivo&gt;</w:t>
      </w:r>
    </w:p>
    <w:p>
      <w:pPr>
        <w:spacing w:after="100" w:before="240"/>
      </w:pPr>
      <w:r>
        <w:rPr>
          <w:rFonts w:ascii="Calibri" w:cs="Calibri" w:eastAsia="Calibri" w:hAnsi="Calibri"/>
          <w:b/>
          <w:bCs/>
          <w:color w:val="8A1F3D"/>
          <w:sz w:val="24"/>
          <w:szCs w:val="24"/>
        </w:rPr>
        <w:t xml:space="preserve">7. Reserva de derechos</w:t>
      </w:r>
    </w:p>
    <w:p>
      <w:pPr>
        <w:spacing w:after="120" w:line="276"/>
        <w:jc w:val="both"/>
      </w:pPr>
      <w:r>
        <w:rPr>
          <w:rFonts w:ascii="Calibri" w:cs="Calibri" w:eastAsia="Calibri" w:hAnsi="Calibri"/>
          <w:sz w:val="22"/>
          <w:szCs w:val="22"/>
        </w:rPr>
        <w:t xml:space="preserve">Las obras se encuentran protegidas por la Ley núm. 65-00 sobre Derecho de Autor de la República Dominicana y por los tratados internacionales aplicables, en particular el Convenio de Berna para la Protección de las Obras Literarias y Artísticas y el Acuerdo sobre los ADPIC. La protección del derecho de autor nace con la creación de la obra, sin necesidad de registro ni formalidad alguna.</w:t>
      </w:r>
    </w:p>
    <w:p>
      <w:pPr>
        <w:spacing w:after="120" w:line="276"/>
        <w:jc w:val="both"/>
      </w:pPr>
      <w:r>
        <w:rPr>
          <w:rFonts w:ascii="Calibri" w:cs="Calibri" w:eastAsia="Calibri" w:hAnsi="Calibri"/>
          <w:sz w:val="22"/>
          <w:szCs w:val="22"/>
        </w:rPr>
        <w:t xml:space="preserve">El titular se reserva todos los derechos. Queda prohibida la reproducción total o parcial, la distribución, la comunicación pública, la transformación, la descompilación, la ingeniería inversa y la creación de obras derivadas, por cualquier medio o procedimiento, sin autorización previa, expresa y por escrito del titular.</w:t>
      </w:r>
    </w:p>
    <w:p>
      <w:pPr>
        <w:spacing w:after="120" w:line="276"/>
        <w:jc w:val="both"/>
      </w:pPr>
      <w:r>
        <w:rPr>
          <w:rFonts w:ascii="Calibri" w:cs="Calibri" w:eastAsia="Calibri" w:hAnsi="Calibri"/>
          <w:sz w:val="22"/>
          <w:szCs w:val="22"/>
        </w:rPr>
        <w:t xml:space="preserve">La entrega a terceros de informes, reportes o productos generados mediante estas aplicaciones no implica cesión, transferencia ni licencia de derecho alguno sobre el software, su código fuente o su arquitectura.</w:t>
      </w:r>
    </w:p>
    <w:p>
      <w:pPr>
        <w:spacing w:after="100" w:before="240"/>
      </w:pPr>
      <w:r>
        <w:rPr>
          <w:rFonts w:ascii="Calibri" w:cs="Calibri" w:eastAsia="Calibri" w:hAnsi="Calibri"/>
          <w:b/>
          <w:bCs/>
          <w:color w:val="8A1F3D"/>
          <w:sz w:val="24"/>
          <w:szCs w:val="24"/>
        </w:rPr>
        <w:t xml:space="preserve">8. Declaración</w:t>
      </w:r>
    </w:p>
    <w:p>
      <w:pPr>
        <w:spacing w:after="120" w:line="276"/>
        <w:jc w:val="both"/>
      </w:pPr>
      <w:r>
        <w:rPr>
          <w:rFonts w:ascii="Calibri" w:cs="Calibri" w:eastAsia="Calibri" w:hAnsi="Calibri"/>
          <w:sz w:val="22"/>
          <w:szCs w:val="22"/>
        </w:rPr>
        <w:t xml:space="preserve">El suscrito declara bajo su responsabilidad que las obras descritas son de su autoría original, que no infringen derechos de terceros y que los datos consignados en la presente acta son veraces.</w:t>
      </w:r>
    </w:p>
    <w:p>
      <w:pPr>
        <w:spacing w:after="60" w:before="400"/>
      </w:pPr>
      <w:r>
        <w:rPr>
          <w:rFonts w:ascii="Calibri" w:cs="Calibri" w:eastAsia="Calibri" w:hAnsi="Calibri"/>
          <w:sz w:val="22"/>
          <w:szCs w:val="22"/>
        </w:rPr>
        <w:t xml:space="preserve">Hecho en ______________________, República Dominicana, a los 23 de julio de 2026.</w:t>
      </w:r>
    </w:p>
    <w:p>
      <w:pPr>
        <w:pBdr>
          <w:top w:val="single" w:color="000000" w:sz="6" w:space="4"/>
        </w:pBdr>
        <w:spacing w:after="0" w:before="700"/>
      </w:pPr>
      <w:r>
        <w:rPr>
          <w:sz w:val="8"/>
          <w:szCs w:val="8"/>
        </w:rPr>
        <w:t xml:space="preserve"/>
      </w:r>
    </w:p>
    <w:p>
      <w:r>
        <w:rPr>
          <w:rFonts w:ascii="Calibri" w:cs="Calibri" w:eastAsia="Calibri" w:hAnsi="Calibri"/>
          <w:b/>
          <w:bCs/>
          <w:sz w:val="22"/>
          <w:szCs w:val="22"/>
        </w:rPr>
        <w:t xml:space="preserve">Darien Gómez</w:t>
      </w:r>
    </w:p>
    <w:p>
      <w:r>
        <w:rPr>
          <w:rFonts w:ascii="Calibri" w:cs="Calibri" w:eastAsia="Calibri" w:hAnsi="Calibri"/>
          <w:color w:val="555555"/>
          <w:sz w:val="19"/>
          <w:szCs w:val="19"/>
        </w:rPr>
        <w:t xml:space="preserve">Autor y titular de los derechos</w:t>
      </w:r>
    </w:p>
    <w:p>
      <w:pPr>
        <w:spacing w:before="60"/>
      </w:pPr>
      <w:r>
        <w:rPr>
          <w:rFonts w:ascii="Calibri" w:cs="Calibri" w:eastAsia="Calibri" w:hAnsi="Calibri"/>
          <w:color w:val="555555"/>
          <w:sz w:val="19"/>
          <w:szCs w:val="19"/>
        </w:rPr>
        <w:t xml:space="preserve">Cédula núm.: ______________________________</w:t>
      </w:r>
    </w:p>
    <w:p>
      <w:pPr>
        <w:spacing w:after="60" w:before="340"/>
      </w:pPr>
      <w:r>
        <w:rPr>
          <w:rFonts w:ascii="Calibri" w:cs="Calibri" w:eastAsia="Calibri" w:hAnsi="Calibri"/>
          <w:b/>
          <w:bCs/>
          <w:color w:val="8A1F3D"/>
          <w:sz w:val="19"/>
          <w:szCs w:val="19"/>
        </w:rPr>
        <w:t xml:space="preserve">Nota sobre el uso de esta acta</w:t>
      </w:r>
    </w:p>
    <w:p>
      <w:pPr>
        <w:spacing w:after="120" w:line="276"/>
        <w:jc w:val="both"/>
      </w:pPr>
      <w:r>
        <w:rPr>
          <w:rFonts w:ascii="Calibri" w:cs="Calibri" w:eastAsia="Calibri" w:hAnsi="Calibri"/>
          <w:color w:val="555555"/>
          <w:sz w:val="19"/>
          <w:szCs w:val="19"/>
        </w:rPr>
        <w:t xml:space="preserve">Este documento constituye un medio de prueba privado de fecha cierta y de integridad. Para reforzar su valor probatorio se recomienda: (i) legalizar las firmas ante Notario Público; (ii) inscribir las obras en la Oficina Nacional de Derecho de Autor (ONDA); y (iii) conservar copia de los archivos originales junto con esta acta en un medio verificable.</w:t>
      </w:r>
    </w:p>
    <w:sectPr>
      <w:pgSz w:w="12240" w:h="15840" w:orient="portrait"/>
      <w:pgMar w:top="1100" w:right="1300" w:bottom="11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2026-07-23T18:11:39.596Z</dcterms:created>
  <dcterms:modified xsi:type="dcterms:W3CDTF">2026-07-23T18:11:39.596Z</dcterms:modified>
</cp:coreProperties>
</file>

<file path=docProps/custom.xml><?xml version="1.0" encoding="utf-8"?>
<Properties xmlns="http://schemas.openxmlformats.org/officeDocument/2006/custom-properties" xmlns:vt="http://schemas.openxmlformats.org/officeDocument/2006/docPropsVTypes"/>
</file>