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УДК 551.513</w:t>
      </w:r>
    </w:p>
    <w:p>
      <w:pPr>
        <w:pStyle w:val="BodyText"/>
      </w:pPr>
      <w:r>
        <w:rPr>
          <w:rFonts w:ascii="Times New Roman" w:hAnsi="Times New Roman"/>
          <w:b/>
          <w:bCs/>
          <w:sz w:val="24"/>
        </w:rPr>
        <w:t xml:space="preserve">Сопряженность иерархических уровней атмосферной циркуляции как региональный инвариант</w:t>
      </w:r>
    </w:p>
    <w:p>
      <w:pPr>
        <w:pStyle w:val="BodyText"/>
      </w:pPr>
      <w:r>
        <w:rPr>
          <w:rFonts w:ascii="Times New Roman" w:hAnsi="Times New Roman"/>
          <w:b/>
          <w:bCs/>
          <w:sz w:val="24"/>
        </w:rPr>
        <w:t xml:space="preserve">Н. С. Сотириади</w:t>
      </w:r>
      <w:r>
        <w:rPr>
          <w:rFonts w:ascii="Times New Roman" w:hAnsi="Times New Roman"/>
          <w:b/>
          <w:bCs/>
          <w:sz w:val="24"/>
          <w:vertAlign w:val="superscript"/>
        </w:rPr>
        <w:t xml:space="preserve">*</w:t>
      </w:r>
    </w:p>
    <w:p>
      <w:pPr>
        <w:pStyle w:val="BodyText"/>
      </w:pPr>
      <w:r>
        <w:rPr>
          <w:rFonts w:ascii="Times New Roman" w:hAnsi="Times New Roman"/>
          <w:sz w:val="24"/>
        </w:rPr>
        <w:t xml:space="preserve">Независимый исследователь, Москва, Россия</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Аннотация.</w:t>
      </w:r>
      <w:r>
        <w:rPr>
          <w:rFonts w:ascii="Times New Roman" w:hAnsi="Times New Roman"/>
          <w:sz w:val="24"/>
        </w:rPr>
        <w:t xml:space="preserve"> </w:t>
      </w:r>
      <w:r>
        <w:rPr>
          <w:rFonts w:ascii="Times New Roman" w:hAnsi="Times New Roman"/>
          <w:sz w:val="24"/>
        </w:rPr>
        <w:t xml:space="preserve">Спектральный и фрактальный анализ географических полей отвечает на вопрос, на каких масштабах располагаются уровни организации геосистемы. Следующий вопрос касается отношения между уровнями: размещается ли мезомасштабная изменчивость там же, где активен соседний крупный уровень, или независимо от него. По полю относительного вихря на поверхности 850 гПа (реанализ ERA5, 2017–2024 гг.; 12 основных и 27 контрольных областей) построена мера такого отношения – профиль сопряженности соседних октавных полос масштаба: пространственная ранговая корреляция карт активности двух соседних полос, дополненная превышением над фазовыми суррогатами поля. Проверена гипотеза о том, что профиль является региональным инвариантом в операциональном смысле: различает циркуляционные режимы и воспроизводится между сезонными окнами разных лет и фаз Эль-Ниньо – Южного колебания. Региональная группировка профилей подтверждена на отложенных окнах и при перестановках внутри страт сезона, года и периода; на долю региона приходится 0.6–0.7 дисперсии профиля. Группировка сохраняется на ступенях, разрешенных реанализом, при равновеликой нарезке территории, во втором реанализе и в свободном модельном расчете без усвоения атмосферных наблюдений. Более высокие значения свойственны тропическому теплому бассейну Тихого океана, бассейну Конго и внетропическим штормовым путям, более низкие – континентальным областям и Амазонии; бассейны Конго и Амазонии при сходных стандартных характеристиках режима различаются сопряженностью крупных полос. Величина дополняет аппарат районирования характеристикой устройства межуровневых связей; границы ее применимости указаны явно.</w:t>
      </w:r>
    </w:p>
    <w:p>
      <w:pPr>
        <w:pStyle w:val="BodyText"/>
      </w:pPr>
      <w:r>
        <w:rPr>
          <w:rFonts w:ascii="Times New Roman" w:hAnsi="Times New Roman"/>
          <w:b/>
          <w:bCs/>
          <w:sz w:val="24"/>
        </w:rPr>
        <w:t xml:space="preserve">Ключевые слова:</w:t>
      </w:r>
      <w:r>
        <w:rPr>
          <w:rFonts w:ascii="Times New Roman" w:hAnsi="Times New Roman"/>
          <w:sz w:val="24"/>
        </w:rPr>
        <w:t xml:space="preserve"> </w:t>
      </w:r>
      <w:r>
        <w:rPr>
          <w:rFonts w:ascii="Times New Roman" w:hAnsi="Times New Roman"/>
          <w:sz w:val="24"/>
        </w:rPr>
        <w:t xml:space="preserve">иерархическая организация геосистем, инварианты динамической геосистемы, масштаб, мезомасштабная изменчивость, штормовые пути, глубокая конвекция, реанализ, районирование, фальсификационная схема.</w:t>
      </w:r>
    </w:p>
    <w:bookmarkStart w:id="10" w:name="постановка-проблемы"/>
    <w:p>
      <w:pPr>
        <w:pStyle w:val="Heading1"/>
      </w:pPr>
      <w:r>
        <w:rPr>
          <w:rFonts w:ascii="Times New Roman" w:hAnsi="Times New Roman"/>
          <w:sz w:val="24"/>
        </w:rPr>
        <w:t xml:space="preserve">ПОСТАНОВКА ПРОБЛЕМЫ</w:t>
      </w:r>
    </w:p>
    <w:p>
      <w:pPr>
        <w:pStyle w:val="FirstParagraph"/>
      </w:pPr>
      <w:r>
        <w:rPr>
          <w:rFonts w:ascii="Times New Roman" w:hAnsi="Times New Roman"/>
          <w:sz w:val="24"/>
        </w:rPr>
        <w:t xml:space="preserve">Представление о геосистеме как об открытой, динамической и иерархически организованной целостности, в которой различаются топологический, региональный и планетарный порядки размерности, составляет основание учения о геосистемах В. Б. Сочавы (Сочава, 1978). Близкая рамка сложилась в западноевропейской физической географии: Ж. Бертран связал ландшафтные единицы с пространственно-временным масштабом и предложил их вложенную классификацию от природной зоны до геотопа (Bertrand, 1968). Общесистемное основание такой архитектуры дано Г. Саймоном: сложные системы, как правило, иерархичны и</w:t>
      </w:r>
      <w:r>
        <w:rPr>
          <w:rFonts w:ascii="Times New Roman" w:hAnsi="Times New Roman"/>
          <w:sz w:val="24"/>
        </w:rPr>
        <w:t xml:space="preserve"> </w:t>
      </w:r>
      <w:r>
        <w:rPr>
          <w:rFonts w:ascii="Times New Roman" w:hAnsi="Times New Roman"/>
          <w:sz w:val="24"/>
        </w:rPr>
        <w:t xml:space="preserve">“почти разложимы”</w:t>
      </w:r>
      <w:r>
        <w:rPr>
          <w:rFonts w:ascii="Times New Roman" w:hAnsi="Times New Roman"/>
          <w:sz w:val="24"/>
        </w:rPr>
        <w:t xml:space="preserve"> </w:t>
      </w:r>
      <w:r>
        <w:rPr>
          <w:rFonts w:ascii="Times New Roman" w:hAnsi="Times New Roman"/>
          <w:sz w:val="24"/>
        </w:rPr>
        <w:t xml:space="preserve">– быстрые процессы внутри подсистем относительно автономны, тогда как более медленные межуровневые связи действуют агрегированно (Simon, 1962). Отсюда методологическая трудность, наиболее ясно сформулированная в экологии: у наблюдаемого пространственного рисунка нет единственного</w:t>
      </w:r>
      <w:r>
        <w:rPr>
          <w:rFonts w:ascii="Times New Roman" w:hAnsi="Times New Roman"/>
          <w:sz w:val="24"/>
        </w:rPr>
        <w:t xml:space="preserve"> </w:t>
      </w:r>
      <w:r>
        <w:rPr>
          <w:rFonts w:ascii="Times New Roman" w:hAnsi="Times New Roman"/>
          <w:sz w:val="24"/>
        </w:rPr>
        <w:t xml:space="preserve">“естественного”</w:t>
      </w:r>
      <w:r>
        <w:rPr>
          <w:rFonts w:ascii="Times New Roman" w:hAnsi="Times New Roman"/>
          <w:sz w:val="24"/>
        </w:rPr>
        <w:t xml:space="preserve"> </w:t>
      </w:r>
      <w:r>
        <w:rPr>
          <w:rFonts w:ascii="Times New Roman" w:hAnsi="Times New Roman"/>
          <w:sz w:val="24"/>
        </w:rPr>
        <w:t xml:space="preserve">масштаба описания, а механизмы и порождаемые ими паттерны могут относиться к разным масштабам, поэтому предметом исследования должна становиться сама перестройка организации поля при смене масштаба (Levin, 1992); для пространственно неоднородной среды эта постановка развита в концепции иерархической динамики мозаик (Wu, Loucks, 1995).</w:t>
      </w:r>
    </w:p>
    <w:p>
      <w:pPr>
        <w:pStyle w:val="BodyText"/>
      </w:pPr>
      <w:r>
        <w:rPr>
          <w:rFonts w:ascii="Times New Roman" w:hAnsi="Times New Roman"/>
          <w:sz w:val="24"/>
        </w:rPr>
        <w:t xml:space="preserve">В отечественной географии эта постановка получила операциональное развитие. В работах Ю. Г. Пузаченко пространственно-временная иерархия геосистем рассмотрена с позиций теории колебаний (Пузаченко, 1986), сформирован аппарат выделения уровней организации по спектральным и фрактальным свойствам географических полей (Пузаченко, 2004), а поиск</w:t>
      </w:r>
      <w:r>
        <w:rPr>
          <w:rFonts w:ascii="Times New Roman" w:hAnsi="Times New Roman"/>
          <w:sz w:val="24"/>
        </w:rPr>
        <w:t xml:space="preserve"> </w:t>
      </w:r>
      <w:r>
        <w:rPr>
          <w:rFonts w:ascii="Times New Roman" w:hAnsi="Times New Roman"/>
          <w:i/>
          <w:iCs/>
          <w:sz w:val="24"/>
        </w:rPr>
        <w:t xml:space="preserve">инвариантов динамики геосистем</w:t>
      </w:r>
      <w:r>
        <w:rPr>
          <w:rFonts w:ascii="Times New Roman" w:hAnsi="Times New Roman"/>
          <w:sz w:val="24"/>
        </w:rPr>
        <w:t xml:space="preserve"> </w:t>
      </w:r>
      <w:r>
        <w:rPr>
          <w:rFonts w:ascii="Times New Roman" w:hAnsi="Times New Roman"/>
          <w:sz w:val="24"/>
        </w:rPr>
        <w:t xml:space="preserve">– устойчивых во времени числовых характеристик организации, различающих территории, – поставлен как самостоятельная программа (Пузаченко, 2010). Непосредственным развитием линии стала работа А. Н. Кренке с соавторами (Кренке и др., 2019), где иерархические уровни организации регионального мезоклимата выделялись по двумерным спектрам главных компонент климатических полей. Тем самым получен ответ на вопрос,</w:t>
      </w:r>
      <w:r>
        <w:rPr>
          <w:rFonts w:ascii="Times New Roman" w:hAnsi="Times New Roman"/>
          <w:sz w:val="24"/>
        </w:rPr>
        <w:t xml:space="preserve"> </w:t>
      </w:r>
      <w:r>
        <w:rPr>
          <w:rFonts w:ascii="Times New Roman" w:hAnsi="Times New Roman"/>
          <w:i/>
          <w:iCs/>
          <w:sz w:val="24"/>
        </w:rPr>
        <w:t xml:space="preserve">где</w:t>
      </w:r>
      <w:r>
        <w:rPr>
          <w:rFonts w:ascii="Times New Roman" w:hAnsi="Times New Roman"/>
          <w:sz w:val="24"/>
        </w:rPr>
        <w:t xml:space="preserve"> </w:t>
      </w:r>
      <w:r>
        <w:rPr>
          <w:rFonts w:ascii="Times New Roman" w:hAnsi="Times New Roman"/>
          <w:sz w:val="24"/>
        </w:rPr>
        <w:t xml:space="preserve">расположены уровни организации.</w:t>
      </w:r>
    </w:p>
    <w:p>
      <w:pPr>
        <w:pStyle w:val="BodyText"/>
      </w:pPr>
      <w:r>
        <w:rPr>
          <w:rFonts w:ascii="Times New Roman" w:hAnsi="Times New Roman"/>
          <w:sz w:val="24"/>
        </w:rPr>
        <w:t xml:space="preserve">Выделение уровней – операция классификационная; следующий по логике вопрос касается</w:t>
      </w:r>
      <w:r>
        <w:rPr>
          <w:rFonts w:ascii="Times New Roman" w:hAnsi="Times New Roman"/>
          <w:sz w:val="24"/>
        </w:rPr>
        <w:t xml:space="preserve"> </w:t>
      </w:r>
      <w:r>
        <w:rPr>
          <w:rFonts w:ascii="Times New Roman" w:hAnsi="Times New Roman"/>
          <w:i/>
          <w:iCs/>
          <w:sz w:val="24"/>
        </w:rPr>
        <w:t xml:space="preserve">отношения</w:t>
      </w:r>
      <w:r>
        <w:rPr>
          <w:rFonts w:ascii="Times New Roman" w:hAnsi="Times New Roman"/>
          <w:sz w:val="24"/>
        </w:rPr>
        <w:t xml:space="preserve"> </w:t>
      </w:r>
      <w:r>
        <w:rPr>
          <w:rFonts w:ascii="Times New Roman" w:hAnsi="Times New Roman"/>
          <w:sz w:val="24"/>
        </w:rPr>
        <w:t xml:space="preserve">между уровнями. Мезомасштабная изменчивость – вихри и конвективные структуры размером в сотни километров – может размещаться там же, где активен соседний крупный уровень, и тогда карты активности двух уровней пространственно сопряжены. Она может размещаться и независимо от крупного поля. Между этими крайностями лежит континуум, и положение конкретной территории на нем до сих пор не измерялось: величины такого рода не строились как самостоятельные характеристики территории и не проверялись на статус инвариантов. Настоящая работа посвящена этому вопросу применительно к атмосферной циркуляции. Диапазон масштабов работы (50–1600 км) выбран по положению известного перелома в спектре кинетической энергии атмосферы – от крупномасштабной ветви с наклоном, близким к</w:t>
      </w:r>
      <w:r>
        <w:rPr>
          <w:rFonts w:ascii="Times New Roman" w:hAnsi="Times New Roman"/>
          <w:sz w:val="24"/>
        </w:rPr>
        <w:t xml:space="preserve"> </w:t>
      </w:r>
      <m:oMath>
        <m:sSup>
          <m:e>
            <m:r>
              <m:t>k</m:t>
            </m:r>
          </m:e>
          <m:sup>
            <m:r>
              <m:rPr>
                <m:sty m:val="p"/>
              </m:rPr>
              <m:t>−</m:t>
            </m:r>
            <m:r>
              <m:t>3</m:t>
            </m:r>
          </m:sup>
        </m:sSup>
      </m:oMath>
      <w:r>
        <w:rPr>
          <w:rFonts w:ascii="Times New Roman" w:hAnsi="Times New Roman"/>
          <w:sz w:val="24"/>
        </w:rPr>
        <w:t xml:space="preserve">, к мезомасштабной, близкой к</w:t>
      </w:r>
      <w:r>
        <w:rPr>
          <w:rFonts w:ascii="Times New Roman" w:hAnsi="Times New Roman"/>
          <w:sz w:val="24"/>
        </w:rPr>
        <w:t xml:space="preserve"> </w:t>
      </w:r>
      <m:oMath>
        <m:sSup>
          <m:e>
            <m:r>
              <m:t>k</m:t>
            </m:r>
          </m:e>
          <m:sup>
            <m:r>
              <m:rPr>
                <m:sty m:val="p"/>
              </m:rPr>
              <m:t>−</m:t>
            </m:r>
            <m:r>
              <m:t>5</m:t>
            </m:r>
            <m:r>
              <m:rPr>
                <m:sty m:val="p"/>
              </m:rPr>
              <m:t>/</m:t>
            </m:r>
            <m:r>
              <m:t>3</m:t>
            </m:r>
          </m:sup>
        </m:sSup>
      </m:oMath>
      <w:r>
        <w:rPr>
          <w:rFonts w:ascii="Times New Roman" w:hAnsi="Times New Roman"/>
          <w:sz w:val="24"/>
        </w:rPr>
        <w:t xml:space="preserve"> </w:t>
      </w:r>
      <w:r>
        <w:rPr>
          <w:rFonts w:ascii="Times New Roman" w:hAnsi="Times New Roman"/>
          <w:sz w:val="24"/>
        </w:rPr>
        <w:t xml:space="preserve">(Nastrom, Gage, 1985); спектр самого вихря отличается от спектра энергии множителем</w:t>
      </w:r>
      <w:r>
        <w:rPr>
          <w:rFonts w:ascii="Times New Roman" w:hAnsi="Times New Roman"/>
          <w:sz w:val="24"/>
        </w:rPr>
        <w:t xml:space="preserve"> </w:t>
      </w:r>
      <m:oMath>
        <m:sSup>
          <m:e>
            <m:r>
              <m:t>k</m:t>
            </m:r>
          </m:e>
          <m:sup>
            <m:r>
              <m:t>2</m:t>
            </m:r>
          </m:sup>
        </m:sSup>
      </m:oMath>
      <w:r>
        <w:rPr>
          <w:rFonts w:ascii="Times New Roman" w:hAnsi="Times New Roman"/>
          <w:sz w:val="24"/>
        </w:rPr>
        <w:t xml:space="preserve">, так что положение перелома сохраняется, а наклоны ветвей – нет.</w:t>
      </w:r>
    </w:p>
    <w:p>
      <w:pPr>
        <w:pStyle w:val="BodyText"/>
      </w:pPr>
      <w:r>
        <w:rPr>
          <w:rFonts w:ascii="Times New Roman" w:hAnsi="Times New Roman"/>
          <w:sz w:val="24"/>
        </w:rPr>
        <w:t xml:space="preserve">Близкие по форме инструменты известны в трех традициях. Каскадные и мультифрактальные описания (Kouhen et al., 2024; Lovejoy, Schertzer, 2011, 2013) характеризуют распределение интенсивности</w:t>
      </w:r>
      <w:r>
        <w:rPr>
          <w:rFonts w:ascii="Times New Roman" w:hAnsi="Times New Roman"/>
          <w:sz w:val="24"/>
        </w:rPr>
        <w:t xml:space="preserve"> </w:t>
      </w:r>
      <w:r>
        <w:rPr>
          <w:rFonts w:ascii="Times New Roman" w:hAnsi="Times New Roman"/>
          <w:i/>
          <w:iCs/>
          <w:sz w:val="24"/>
        </w:rPr>
        <w:t xml:space="preserve">вдоль</w:t>
      </w:r>
      <w:r>
        <w:rPr>
          <w:rFonts w:ascii="Times New Roman" w:hAnsi="Times New Roman"/>
          <w:sz w:val="24"/>
        </w:rPr>
        <w:t xml:space="preserve"> </w:t>
      </w:r>
      <w:r>
        <w:rPr>
          <w:rFonts w:ascii="Times New Roman" w:hAnsi="Times New Roman"/>
          <w:sz w:val="24"/>
        </w:rPr>
        <w:t xml:space="preserve">масштабного континуума, а не согласованность карт</w:t>
      </w:r>
      <w:r>
        <w:rPr>
          <w:rFonts w:ascii="Times New Roman" w:hAnsi="Times New Roman"/>
          <w:sz w:val="24"/>
        </w:rPr>
        <w:t xml:space="preserve"> </w:t>
      </w:r>
      <w:r>
        <w:rPr>
          <w:rFonts w:ascii="Times New Roman" w:hAnsi="Times New Roman"/>
          <w:i/>
          <w:iCs/>
          <w:sz w:val="24"/>
        </w:rPr>
        <w:t xml:space="preserve">между</w:t>
      </w:r>
      <w:r>
        <w:rPr>
          <w:rFonts w:ascii="Times New Roman" w:hAnsi="Times New Roman"/>
          <w:sz w:val="24"/>
        </w:rPr>
        <w:t xml:space="preserve"> </w:t>
      </w:r>
      <w:r>
        <w:rPr>
          <w:rFonts w:ascii="Times New Roman" w:hAnsi="Times New Roman"/>
          <w:sz w:val="24"/>
        </w:rPr>
        <w:t xml:space="preserve">конкретными уровнями. Вейвлет-огибающие и их статистики – коэффициент амплитудной модуляции (Farge, 1992; Mathis et al., 2009) и скаттеринг-ковариации (Bruna, Mallat, 2013; Cheng et al., 2024; Mallat, 2012) – измеряют связь уровней, но применялись как признаки для классификации (Skinner et al., 2025). Литература о предсказуемости атмосферы (Judt, 2020; Lorenz, 1969; Rotunno, Snyder, 2008; Selz, Craig, 2023; Zhang et al., 2007) моделирует силу межмасштабной связи, но не измеряет ее по данным как характеристику территории. Сама форма оценки – корреляция огибающих соседних полос одного поля – введена в нейрофизиологии (Bruns et al., 2000; Canolty et al., 2006) и независимо в физике пристеночной турбулентности (Mathis et al., 2009); открытыми остаются вопросы о ее содержании для конкретного географического поля и о статусе инварианта.</w:t>
      </w:r>
    </w:p>
    <w:p>
      <w:pPr>
        <w:pStyle w:val="BodyText"/>
      </w:pPr>
      <w:r>
        <w:rPr>
          <w:rFonts w:ascii="Times New Roman" w:hAnsi="Times New Roman"/>
          <w:i/>
          <w:iCs/>
          <w:sz w:val="24"/>
        </w:rPr>
        <w:t xml:space="preserve">Гипотеза и границы утверждения.</w:t>
      </w:r>
      <w:r>
        <w:rPr>
          <w:rFonts w:ascii="Times New Roman" w:hAnsi="Times New Roman"/>
          <w:sz w:val="24"/>
        </w:rPr>
        <w:t xml:space="preserve"> </w:t>
      </w:r>
      <w:r>
        <w:rPr>
          <w:rFonts w:ascii="Times New Roman" w:hAnsi="Times New Roman"/>
          <w:sz w:val="24"/>
        </w:rPr>
        <w:t xml:space="preserve">Гипотеза работы состоит в том, что сопряженность соседних масштабных полос циркуляции является устойчивым региональным свойством: она различает циркуляционные режимы и воспроизводится при смене сезона, года и фазы климатической изменчивости. В терминологии программы (Пузаченко, 2010) такое свойство называется региональным инвариантом; слово требует точного определения. Пусть</w:t>
      </w:r>
      <w:r>
        <w:rPr>
          <w:rFonts w:ascii="Times New Roman" w:hAnsi="Times New Roman"/>
          <w:sz w:val="24"/>
        </w:rPr>
        <w:t xml:space="preserve"> </w:t>
      </w:r>
      <m:oMath>
        <m:sSubSup>
          <m:e>
            <m:r>
              <m:t>P</m:t>
            </m:r>
          </m:e>
          <m:sub>
            <m:r>
              <m:t>G</m:t>
            </m:r>
            <m:r>
              <m:rPr>
                <m:sty m:val="p"/>
              </m:rPr>
              <m:t>;</m:t>
            </m:r>
            <m:r>
              <m:t>τ</m:t>
            </m:r>
          </m:sub>
          <m:sup>
            <m:r>
              <m:rPr>
                <m:sty m:val="p"/>
              </m:rPr>
              <m:t>(</m:t>
            </m:r>
            <m:r>
              <m:t>ℓ</m:t>
            </m:r>
            <m:r>
              <m:rPr>
                <m:sty m:val="p"/>
              </m:rPr>
              <m:t>)</m:t>
            </m:r>
          </m:sup>
        </m:sSubSup>
      </m:oMath>
      <w:r>
        <w:rPr>
          <w:rFonts w:ascii="Times New Roman" w:hAnsi="Times New Roman"/>
          <w:sz w:val="24"/>
        </w:rPr>
        <w:t xml:space="preserve"> </w:t>
      </w:r>
      <w:r>
        <w:rPr>
          <w:rFonts w:ascii="Times New Roman" w:hAnsi="Times New Roman"/>
          <w:sz w:val="24"/>
        </w:rPr>
        <w:t xml:space="preserve">– значение профиля сопряженности области</w:t>
      </w:r>
      <w:r>
        <w:rPr>
          <w:rFonts w:ascii="Times New Roman" w:hAnsi="Times New Roman"/>
          <w:sz w:val="24"/>
        </w:rPr>
        <w:t xml:space="preserve"> </w:t>
      </w:r>
      <m:oMath>
        <m:r>
          <m:t>G</m:t>
        </m:r>
      </m:oMath>
      <w:r>
        <w:rPr>
          <w:rFonts w:ascii="Times New Roman" w:hAnsi="Times New Roman"/>
          <w:sz w:val="24"/>
        </w:rPr>
        <w:t xml:space="preserve"> </w:t>
      </w:r>
      <w:r>
        <w:rPr>
          <w:rFonts w:ascii="Times New Roman" w:hAnsi="Times New Roman"/>
          <w:sz w:val="24"/>
        </w:rPr>
        <w:t xml:space="preserve">на масштабной ступени</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при условиях наблюдения</w:t>
      </w:r>
      <w:r>
        <w:rPr>
          <w:rFonts w:ascii="Times New Roman" w:hAnsi="Times New Roman"/>
          <w:sz w:val="24"/>
        </w:rPr>
        <w:t xml:space="preserve"> </w:t>
      </w:r>
      <m:oMath>
        <m:r>
          <m:t>τ</m:t>
        </m:r>
        <m:r>
          <m:rPr>
            <m:sty m:val="p"/>
          </m:rPr>
          <m:t>=</m:t>
        </m:r>
        <m:r>
          <m:rPr>
            <m:sty m:val="p"/>
          </m:rPr>
          <m:t>(</m:t>
        </m:r>
        <m:r>
          <m:t>s</m:t>
        </m:r>
        <m:r>
          <m:rPr>
            <m:sty m:val="p"/>
          </m:rPr>
          <m:t>,</m:t>
        </m:r>
        <m:r>
          <m:t>y</m:t>
        </m:r>
        <m:r>
          <m:rPr>
            <m:sty m:val="p"/>
          </m:rPr>
          <m:t>,</m:t>
        </m:r>
        <m:r>
          <m:t>e</m:t>
        </m:r>
        <m:r>
          <m:rPr>
            <m:sty m:val="p"/>
          </m:rPr>
          <m:t>,</m:t>
        </m:r>
        <m:r>
          <m:t>d</m:t>
        </m:r>
        <m:r>
          <m:rPr>
            <m:sty m:val="p"/>
          </m:rPr>
          <m:t>,</m:t>
        </m:r>
        <m:r>
          <m:t>g</m:t>
        </m:r>
        <m:r>
          <m:rPr>
            <m:sty m:val="p"/>
          </m:rPr>
          <m:t>)</m:t>
        </m:r>
      </m:oMath>
      <w:r>
        <w:rPr>
          <w:rFonts w:ascii="Times New Roman" w:hAnsi="Times New Roman"/>
          <w:sz w:val="24"/>
        </w:rPr>
        <w:t xml:space="preserve">: сезон</w:t>
      </w:r>
      <w:r>
        <w:rPr>
          <w:rFonts w:ascii="Times New Roman" w:hAnsi="Times New Roman"/>
          <w:sz w:val="24"/>
        </w:rPr>
        <w:t xml:space="preserve"> </w:t>
      </w:r>
      <m:oMath>
        <m:r>
          <m:t>s</m:t>
        </m:r>
      </m:oMath>
      <w:r>
        <w:rPr>
          <w:rFonts w:ascii="Times New Roman" w:hAnsi="Times New Roman"/>
          <w:sz w:val="24"/>
        </w:rPr>
        <w:t xml:space="preserve">, год</w:t>
      </w:r>
      <w:r>
        <w:rPr>
          <w:rFonts w:ascii="Times New Roman" w:hAnsi="Times New Roman"/>
          <w:sz w:val="24"/>
        </w:rPr>
        <w:t xml:space="preserve"> </w:t>
      </w:r>
      <m:oMath>
        <m:r>
          <m:t>y</m:t>
        </m:r>
      </m:oMath>
      <w:r>
        <w:rPr>
          <w:rFonts w:ascii="Times New Roman" w:hAnsi="Times New Roman"/>
          <w:sz w:val="24"/>
        </w:rPr>
        <w:t xml:space="preserve">, фаза Эль-Ниньо – Южного колебания (ЭНСО)</w:t>
      </w:r>
      <w:r>
        <w:rPr>
          <w:rFonts w:ascii="Times New Roman" w:hAnsi="Times New Roman"/>
          <w:sz w:val="24"/>
        </w:rPr>
        <w:t xml:space="preserve"> </w:t>
      </w:r>
      <m:oMath>
        <m:r>
          <m:t>e</m:t>
        </m:r>
      </m:oMath>
      <w:r>
        <w:rPr>
          <w:rFonts w:ascii="Times New Roman" w:hAnsi="Times New Roman"/>
          <w:sz w:val="24"/>
        </w:rPr>
        <w:t xml:space="preserve">, источник данных</w:t>
      </w:r>
      <w:r>
        <w:rPr>
          <w:rFonts w:ascii="Times New Roman" w:hAnsi="Times New Roman"/>
          <w:sz w:val="24"/>
        </w:rPr>
        <w:t xml:space="preserve"> </w:t>
      </w:r>
      <m:oMath>
        <m:r>
          <m:t>d</m:t>
        </m:r>
      </m:oMath>
      <w:r>
        <w:rPr>
          <w:rFonts w:ascii="Times New Roman" w:hAnsi="Times New Roman"/>
          <w:sz w:val="24"/>
        </w:rPr>
        <w:t xml:space="preserve">, схема разбиения территории</w:t>
      </w:r>
      <w:r>
        <w:rPr>
          <w:rFonts w:ascii="Times New Roman" w:hAnsi="Times New Roman"/>
          <w:sz w:val="24"/>
        </w:rPr>
        <w:t xml:space="preserve"> </w:t>
      </w:r>
      <m:oMath>
        <m:r>
          <m:t>g</m:t>
        </m:r>
      </m:oMath>
      <w:r>
        <w:rPr>
          <w:rFonts w:ascii="Times New Roman" w:hAnsi="Times New Roman"/>
          <w:sz w:val="24"/>
        </w:rPr>
        <w:t xml:space="preserve">. Проверяемое утверждение – условная инвариантность на заранее заявленном классе преобразований</w:t>
      </w:r>
      <w:r>
        <w:rPr>
          <w:rFonts w:ascii="Times New Roman" w:hAnsi="Times New Roman"/>
          <w:sz w:val="24"/>
        </w:rPr>
        <w:t xml:space="preserve"> </w:t>
      </w:r>
      <m:oMath>
        <m:r>
          <m:rPr>
            <m:scr m:val="script"/>
            <m:sty m:val="p"/>
          </m:rPr>
          <m:t>T</m:t>
        </m:r>
      </m:oMath>
      <w:r>
        <w:rPr>
          <w:rFonts w:ascii="Times New Roman" w:hAnsi="Times New Roman"/>
          <w:sz w:val="24"/>
        </w:rPr>
        <w:t xml:space="preserve">:</w:t>
      </w:r>
    </w:p>
    <w:p>
      <w:pPr>
        <w:pStyle w:val="BodyText"/>
      </w:pPr>
      <m:oMathPara>
        <m:oMathParaPr>
          <m:jc m:val="center"/>
        </m:oMathParaPr>
        <m:oMath>
          <m:sSubSup>
            <m:e>
              <m:r>
                <m:t>P</m:t>
              </m:r>
            </m:e>
            <m:sub>
              <m:r>
                <m:t>G</m:t>
              </m:r>
              <m:r>
                <m:rPr>
                  <m:sty m:val="p"/>
                </m:rPr>
                <m:t>;</m:t>
              </m:r>
              <m:r>
                <m:t>τ</m:t>
              </m:r>
            </m:sub>
            <m:sup>
              <m:r>
                <m:rPr>
                  <m:sty m:val="p"/>
                </m:rPr>
                <m:t>(</m:t>
              </m:r>
              <m:r>
                <m:t>ℓ</m:t>
              </m:r>
              <m:r>
                <m:rPr>
                  <m:sty m:val="p"/>
                </m:rPr>
                <m:t>)</m:t>
              </m:r>
            </m:sup>
          </m:sSubSup>
          <m:r>
            <m:rPr>
              <m:sty m:val="p"/>
            </m:rPr>
            <m:t>≈</m:t>
          </m:r>
          <m:sSubSup>
            <m:e>
              <m:r>
                <m:t>P</m:t>
              </m:r>
            </m:e>
            <m:sub>
              <m:r>
                <m:t>G</m:t>
              </m:r>
              <m:r>
                <m:rPr>
                  <m:sty m:val="p"/>
                </m:rPr>
                <m:t>;</m:t>
              </m:r>
              <m:sSup>
                <m:e>
                  <m:r>
                    <m:t>τ</m:t>
                  </m:r>
                </m:e>
                <m:sup>
                  <m:r>
                    <m:rPr>
                      <m:sty m:val="p"/>
                    </m:rPr>
                    <m:t>′</m:t>
                  </m:r>
                </m:sup>
              </m:sSup>
            </m:sub>
            <m:sup>
              <m:r>
                <m:rPr>
                  <m:sty m:val="p"/>
                </m:rPr>
                <m:t>(</m:t>
              </m:r>
              <m:r>
                <m:t>ℓ</m:t>
              </m:r>
              <m:r>
                <m:rPr>
                  <m:sty m:val="p"/>
                </m:rPr>
                <m:t>)</m:t>
              </m:r>
            </m:sup>
          </m:sSubSup>
          <m:r>
            <m:t> </m:t>
          </m:r>
          <m:r>
            <m:rPr>
              <m:nor/>
              <m:sty m:val="p"/>
            </m:rPr>
            <m:t>для всех </m:t>
          </m:r>
          <m:r>
            <m:t>τ</m:t>
          </m:r>
          <m:r>
            <m:rPr>
              <m:sty m:val="p"/>
            </m:rPr>
            <m:t>,</m:t>
          </m:r>
          <m:sSup>
            <m:e>
              <m:r>
                <m:t>τ</m:t>
              </m:r>
            </m:e>
            <m:sup>
              <m:r>
                <m:rPr>
                  <m:sty m:val="p"/>
                </m:rPr>
                <m:t>′</m:t>
              </m:r>
            </m:sup>
          </m:sSup>
          <m:r>
            <m:rPr>
              <m:sty m:val="p"/>
            </m:rPr>
            <m:t>∈</m:t>
          </m:r>
          <m:r>
            <m:rPr>
              <m:scr m:val="script"/>
              <m:sty m:val="p"/>
            </m:rPr>
            <m:t>T</m:t>
          </m:r>
          <m:r>
            <m:rPr>
              <m:sty m:val="p"/>
            </m:rPr>
            <m:t>,</m:t>
          </m:r>
        </m:oMath>
      </m:oMathPara>
    </w:p>
    <w:p>
      <w:pPr>
        <w:pStyle w:val="FirstParagraph"/>
      </w:pPr>
      <w:r>
        <w:rPr>
          <w:rFonts w:ascii="Times New Roman" w:hAnsi="Times New Roman"/>
          <w:sz w:val="24"/>
        </w:rPr>
        <w:t xml:space="preserve">при том что различия между областями остаются существенно больше различий внутри области. Класс</w:t>
      </w:r>
      <w:r>
        <w:rPr>
          <w:rFonts w:ascii="Times New Roman" w:hAnsi="Times New Roman"/>
          <w:sz w:val="24"/>
        </w:rPr>
        <w:t xml:space="preserve"> </w:t>
      </w:r>
      <m:oMath>
        <m:r>
          <m:rPr>
            <m:scr m:val="script"/>
            <m:sty m:val="p"/>
          </m:rPr>
          <m:t>T</m:t>
        </m:r>
      </m:oMath>
      <w:r>
        <w:rPr>
          <w:rFonts w:ascii="Times New Roman" w:hAnsi="Times New Roman"/>
          <w:sz w:val="24"/>
        </w:rPr>
        <w:t xml:space="preserve"> </w:t>
      </w:r>
      <w:r>
        <w:rPr>
          <w:rFonts w:ascii="Times New Roman" w:hAnsi="Times New Roman"/>
          <w:sz w:val="24"/>
        </w:rPr>
        <w:t xml:space="preserve">зафиксирован протоколами до вычислений и включает смену сезона (январь–март / июль–сентябрь), независимого года, фазы ЭНСО, источника данных (ERA5 / MERRA-2 / свободный модельный расчет) и схемы разбиения территории (градусные / равновеликие области). Столь же явно фиксируются границы: утверждение относится к полю относительного вихря на уровне 850 гПа, к изученным областям и широтам, к парам полос не мельче 50 км и прежде всего к разрешенным реанализом ступеням (обе полосы не мельче 200 км), к окнам 2017–2024 гг. Оно ничего не говорит о направлении влияния между уровнями и о динамике – о переносе энергии между масштабами и направлении каскада; используемые меры (корреляция, взаимная информация) симметричны и фиксируют совместное размещение, а не причину.</w:t>
      </w:r>
    </w:p>
    <w:p>
      <w:pPr>
        <w:pStyle w:val="BodyText"/>
      </w:pPr>
      <w:r>
        <w:rPr>
          <w:rFonts w:ascii="Times New Roman" w:hAnsi="Times New Roman"/>
          <w:sz w:val="24"/>
        </w:rPr>
        <w:t xml:space="preserve">Статья открывает серию из трех работ, выполненных по единой программе и опирающихся на общий открытый репозиторий протоколов, кода и результатов</w:t>
      </w:r>
      <w:r>
        <w:rPr>
          <w:rStyle w:val="FootnoteReference"/>
          <w:rFonts w:ascii="Times New Roman" w:hAnsi="Times New Roman"/>
          <w:sz w:val="24"/>
        </w:rPr>
        <w:footnoteReference w:id="9"/>
      </w:r>
      <w:r>
        <w:rPr>
          <w:rFonts w:ascii="Times New Roman" w:hAnsi="Times New Roman"/>
          <w:sz w:val="24"/>
        </w:rPr>
        <w:t xml:space="preserve">. Первая работа вводит дескриптор межуровневой организации, проверяет его статус регионального инварианта и очерчивает границы применимости. Вторая атрибутирует географию дескриптора внешним ковариатам; третья предлагает интерпретирующую рамку. Ни одно утверждение настоящей статьи не опирается на результаты последующих. Исследование построено по фальсификационной схеме: параметры процедуры, критерии и единственная статистика каждой проверки фиксировались до обращения к данным, а ключевые утверждения подтверждались на выборках, не участвовавших в их получении.</w:t>
      </w:r>
    </w:p>
    <w:bookmarkEnd w:id="10"/>
    <w:bookmarkStart w:id="14" w:name="данные-и-методика-исследования"/>
    <w:p>
      <w:pPr>
        <w:pStyle w:val="Heading1"/>
      </w:pPr>
      <w:r>
        <w:rPr>
          <w:rFonts w:ascii="Times New Roman" w:hAnsi="Times New Roman"/>
          <w:sz w:val="24"/>
        </w:rPr>
        <w:t xml:space="preserve">ДАННЫЕ И МЕТОДИКА ИССЛЕДОВАНИЯ</w:t>
      </w:r>
    </w:p>
    <w:bookmarkStart w:id="11" w:name="материал"/>
    <w:p>
      <w:pPr>
        <w:pStyle w:val="Heading2"/>
      </w:pPr>
      <w:r>
        <w:rPr>
          <w:rFonts w:ascii="Times New Roman" w:hAnsi="Times New Roman"/>
          <w:sz w:val="24"/>
        </w:rPr>
        <w:t xml:space="preserve">Материал</w:t>
      </w:r>
    </w:p>
    <w:p>
      <w:pPr>
        <w:pStyle w:val="FirstParagraph"/>
      </w:pPr>
      <w:r>
        <w:rPr>
          <w:rFonts w:ascii="Times New Roman" w:hAnsi="Times New Roman"/>
          <w:sz w:val="24"/>
        </w:rPr>
        <w:t xml:space="preserve">Исходное поле – относительный вихрь на поверхности 850 гПа, вычисленный по составляющим ветра реанализа ERA5 (Hersbach et al., 2020; Soci et al., 2024) на сетке</w:t>
      </w:r>
      <w:r>
        <w:rPr>
          <w:rFonts w:ascii="Times New Roman" w:hAnsi="Times New Roman"/>
          <w:sz w:val="24"/>
        </w:rPr>
        <w:t xml:space="preserve"> </w:t>
      </w:r>
      <m:oMath>
        <m:sSup>
          <m:e>
            <m:r>
              <m:t>0.25</m:t>
            </m:r>
          </m:e>
          <m:sup>
            <m:r>
              <m:rPr>
                <m:sty m:val="p"/>
              </m:rPr>
              <m:t>∘</m:t>
            </m:r>
          </m:sup>
        </m:sSup>
      </m:oMath>
      <w:r>
        <w:rPr>
          <w:rFonts w:ascii="Times New Roman" w:hAnsi="Times New Roman"/>
          <w:sz w:val="24"/>
        </w:rPr>
        <w:t xml:space="preserve"> </w:t>
      </w:r>
      <w:r>
        <w:rPr>
          <w:rFonts w:ascii="Times New Roman" w:hAnsi="Times New Roman"/>
          <w:sz w:val="24"/>
        </w:rPr>
        <w:t xml:space="preserve">с шагом 6 ч по формуле сферического ротора</w:t>
      </w:r>
    </w:p>
    <w:p>
      <w:pPr>
        <w:pStyle w:val="BodyText"/>
      </w:pPr>
      <m:oMathPara>
        <m:oMathParaPr>
          <m:jc m:val="center"/>
        </m:oMathParaPr>
        <m:oMath>
          <m:r>
            <m:t>ω</m:t>
          </m:r>
          <m:r>
            <m:rPr>
              <m:sty m:val="p"/>
            </m:rPr>
            <m:t>=</m:t>
          </m:r>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r>
            <m:rPr>
              <m:sty m:val="p"/>
            </m:rPr>
            <m:t>+</m:t>
          </m:r>
          <m:f>
            <m:fPr>
              <m:type m:val="bar"/>
            </m:fPr>
            <m:num>
              <m:r>
                <m:t>u</m:t>
              </m:r>
              <m:r>
                <m:rPr>
                  <m:sty m:val="p"/>
                </m:rPr>
                <m:t>tan</m:t>
              </m:r>
              <m:r>
                <m:t>φ</m:t>
              </m:r>
            </m:num>
            <m:den>
              <m:r>
                <m:t>a</m:t>
              </m:r>
            </m:den>
          </m:f>
          <m:r>
            <m:rPr>
              <m:sty m:val="p"/>
            </m:rPr>
            <m:t>,</m:t>
          </m:r>
        </m:oMath>
      </m:oMathPara>
    </w:p>
    <w:p>
      <w:pPr>
        <w:pStyle w:val="FirstParagraph"/>
      </w:pPr>
      <w:r>
        <w:rPr>
          <w:rFonts w:ascii="Times New Roman" w:hAnsi="Times New Roman"/>
          <w:sz w:val="24"/>
        </w:rPr>
        <w:t xml:space="preserve">где</w:t>
      </w:r>
      <w:r>
        <w:rPr>
          <w:rFonts w:ascii="Times New Roman" w:hAnsi="Times New Roman"/>
          <w:sz w:val="24"/>
        </w:rPr>
        <w:t xml:space="preserve"> </w:t>
      </w:r>
      <m:oMath>
        <m:r>
          <m:t>x</m:t>
        </m:r>
      </m:oMath>
      <w:r>
        <w:rPr>
          <w:rFonts w:ascii="Times New Roman" w:hAnsi="Times New Roman"/>
          <w:sz w:val="24"/>
        </w:rPr>
        <w:t xml:space="preserve">,</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 километровые координаты вдоль параллели и меридиана,</w:t>
      </w:r>
      <w:r>
        <w:rPr>
          <w:rFonts w:ascii="Times New Roman" w:hAnsi="Times New Roman"/>
          <w:sz w:val="24"/>
        </w:rPr>
        <w:t xml:space="preserve"> </w:t>
      </w:r>
      <m:oMath>
        <m:r>
          <m:t>φ</m:t>
        </m:r>
      </m:oMath>
      <w:r>
        <w:rPr>
          <w:rFonts w:ascii="Times New Roman" w:hAnsi="Times New Roman"/>
          <w:sz w:val="24"/>
        </w:rPr>
        <w:t xml:space="preserve"> </w:t>
      </w:r>
      <w:r>
        <w:rPr>
          <w:rFonts w:ascii="Times New Roman" w:hAnsi="Times New Roman"/>
          <w:sz w:val="24"/>
        </w:rPr>
        <w:t xml:space="preserve">– широта,</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 радиус Земли; метрическое слагаемое учитывает сокращение параллелей; его относительный вклад растет с масштабом полосы как</w:t>
      </w:r>
      <w:r>
        <w:rPr>
          <w:rFonts w:ascii="Times New Roman" w:hAnsi="Times New Roman"/>
          <w:sz w:val="24"/>
        </w:rPr>
        <w:t xml:space="preserve"> </w:t>
      </w:r>
      <m:oMath>
        <m:r>
          <m:t>ℓ</m:t>
        </m:r>
        <m:r>
          <m:rPr>
            <m:sty m:val="p"/>
          </m:rPr>
          <m:t>tan</m:t>
        </m:r>
        <m:r>
          <m:t>φ</m:t>
        </m:r>
        <m:r>
          <m:rPr>
            <m:sty m:val="p"/>
          </m:rPr>
          <m:t>/</m:t>
        </m:r>
        <m:r>
          <m:rPr>
            <m:sty m:val="p"/>
          </m:rPr>
          <m:t>(</m:t>
        </m:r>
        <m:r>
          <m:t>2</m:t>
        </m:r>
        <m:r>
          <m:t>π</m:t>
        </m:r>
        <m:r>
          <m:t>a</m:t>
        </m:r>
        <m:r>
          <m:rPr>
            <m:sty m:val="p"/>
          </m:rPr>
          <m:t>)</m:t>
        </m:r>
      </m:oMath>
      <w:r>
        <w:rPr>
          <w:rFonts w:ascii="Times New Roman" w:hAnsi="Times New Roman"/>
          <w:sz w:val="24"/>
        </w:rPr>
        <w:t xml:space="preserve"> </w:t>
      </w:r>
      <w:r>
        <w:rPr>
          <w:rFonts w:ascii="Times New Roman" w:hAnsi="Times New Roman"/>
          <w:sz w:val="24"/>
        </w:rPr>
        <w:t xml:space="preserve">и на широте 55</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составляет менее 1.5% в полосах мельче 400 км и около 6% в полосе 800–1600 км; на профиль он влияет не более чем на 0.01. Узлы, в которых поверхность 850 гПа лежит под рельефом (высота поверхности по орографии ERA5 более 1457 м – высота уровня 850 гПа в стандартной атмосфере), исключаются из поля: при сглаживании они не участвуют (нормированная свертка), при вычислении корреляций не используются. Доля таких узлов во внутренней части области равна 29% для Центральной Азии, 7% для бассейна Конго, 5% для Европы и менее 1% для остальных областей. Вихрь подчеркивает вращательную структуру течения, из которой складываются циклоны, фронтальные волны и конвективные ячейки, и подавляет крупномасштабный адвективный фон; уровень 850 гПа представителен для нижнетропосферной циркуляции, взаимодействующей с подстилающей поверхностью, но не является прямой мерой глубокой конвекции.</w:t>
      </w:r>
    </w:p>
    <w:p>
      <w:pPr>
        <w:pStyle w:val="BodyText"/>
      </w:pPr>
      <w:r>
        <w:rPr>
          <w:rFonts w:ascii="Times New Roman" w:hAnsi="Times New Roman"/>
          <w:sz w:val="24"/>
        </w:rPr>
        <w:t xml:space="preserve">Анализ ведется в 39 областях размером</w:t>
      </w:r>
      <w:r>
        <w:rPr>
          <w:rFonts w:ascii="Times New Roman" w:hAnsi="Times New Roman"/>
          <w:sz w:val="24"/>
        </w:rPr>
        <w:t xml:space="preserve"> </w:t>
      </w:r>
      <m:oMath>
        <m:sSup>
          <m:e>
            <m:r>
              <m:t>20</m:t>
            </m:r>
          </m:e>
          <m:sup>
            <m:r>
              <m:rPr>
                <m:sty m:val="p"/>
              </m:rPr>
              <m:t>∘</m:t>
            </m:r>
          </m:sup>
        </m:sSup>
      </m:oMath>
      <w:r>
        <w:rPr>
          <w:rFonts w:ascii="Times New Roman" w:hAnsi="Times New Roman"/>
          <w:sz w:val="24"/>
        </w:rPr>
        <w:t xml:space="preserve"> </w:t>
      </w:r>
      <w:r>
        <w:rPr>
          <w:rFonts w:ascii="Times New Roman" w:hAnsi="Times New Roman"/>
          <w:sz w:val="24"/>
        </w:rPr>
        <w:t xml:space="preserve">широты</w:t>
      </w:r>
      <w:r>
        <w:rPr>
          <w:rFonts w:ascii="Times New Roman" w:hAnsi="Times New Roman"/>
          <w:sz w:val="24"/>
        </w:rPr>
        <w:t xml:space="preserve"> </w:t>
      </w:r>
      <m:oMath>
        <m:r>
          <m:rPr>
            <m:sty m:val="p"/>
          </m:rPr>
          <m:t>×</m:t>
        </m:r>
      </m:oMath>
      <w:r>
        <w:rPr>
          <w:rFonts w:ascii="Times New Roman" w:hAnsi="Times New Roman"/>
          <w:sz w:val="24"/>
        </w:rPr>
        <w:t xml:space="preserve"> </w:t>
      </w:r>
      <m:oMath>
        <m:sSup>
          <m:e>
            <m:r>
              <m:t>40</m:t>
            </m:r>
          </m:e>
          <m:sup>
            <m:r>
              <m:rPr>
                <m:sty m:val="p"/>
              </m:rPr>
              <m:t>∘</m:t>
            </m:r>
          </m:sup>
        </m:sSup>
      </m:oMath>
      <w:r>
        <w:rPr>
          <w:rFonts w:ascii="Times New Roman" w:hAnsi="Times New Roman"/>
          <w:sz w:val="24"/>
        </w:rPr>
        <w:t xml:space="preserve"> </w:t>
      </w:r>
      <w:r>
        <w:rPr>
          <w:rFonts w:ascii="Times New Roman" w:hAnsi="Times New Roman"/>
          <w:sz w:val="24"/>
        </w:rPr>
        <w:t xml:space="preserve">долготы. Двенадцать областей выбраны до начала вычислений так, чтобы охватить шесть контрастных циркуляционных режимов: тропические океаны, внетропические штормовые пути обоих полушарий, очаги глубокой конвекции над сушей, континентальные области умеренного и субтропического поясов (табл. 1). Остальные 27 заданы формальным правилом: регулярная решетка ячеек</w:t>
      </w:r>
      <w:r>
        <w:rPr>
          <w:rFonts w:ascii="Times New Roman" w:hAnsi="Times New Roman"/>
          <w:sz w:val="24"/>
        </w:rPr>
        <w:t xml:space="preserve"> </w:t>
      </w:r>
      <m:oMath>
        <m:sSup>
          <m:e>
            <m:r>
              <m:t>20</m:t>
            </m:r>
          </m:e>
          <m:sup>
            <m:r>
              <m:rPr>
                <m:sty m:val="p"/>
              </m:rPr>
              <m:t>∘</m:t>
            </m:r>
          </m:sup>
        </m:sSup>
        <m:r>
          <m:rPr>
            <m:sty m:val="p"/>
          </m:rPr>
          <m:t>×</m:t>
        </m:r>
        <m:sSup>
          <m:e>
            <m:r>
              <m:t>40</m:t>
            </m:r>
          </m:e>
          <m:sup>
            <m:r>
              <m:rPr>
                <m:sty m:val="p"/>
              </m:rPr>
              <m:t>∘</m:t>
            </m:r>
          </m:sup>
        </m:sSup>
      </m:oMath>
      <w:r>
        <w:rPr>
          <w:rFonts w:ascii="Times New Roman" w:hAnsi="Times New Roman"/>
          <w:sz w:val="24"/>
        </w:rPr>
        <w:t xml:space="preserve"> </w:t>
      </w:r>
      <w:r>
        <w:rPr>
          <w:rFonts w:ascii="Times New Roman" w:hAnsi="Times New Roman"/>
          <w:sz w:val="24"/>
        </w:rPr>
        <w:t xml:space="preserve">от</w:t>
      </w:r>
      <w:r>
        <w:rPr>
          <w:rFonts w:ascii="Times New Roman" w:hAnsi="Times New Roman"/>
          <w:sz w:val="24"/>
        </w:rPr>
        <w:t xml:space="preserve"> </w:t>
      </w:r>
      <m:oMath>
        <m:sSup>
          <m:e>
            <m:r>
              <m:t>55</m:t>
            </m:r>
          </m:e>
          <m:sup>
            <m:r>
              <m:rPr>
                <m:sty m:val="p"/>
              </m:rPr>
              <m:t>∘</m:t>
            </m:r>
          </m:sup>
        </m:sSup>
      </m:oMath>
      <w:r>
        <w:rPr>
          <w:rFonts w:ascii="Times New Roman" w:hAnsi="Times New Roman"/>
          <w:sz w:val="24"/>
        </w:rPr>
        <w:t xml:space="preserve"> </w:t>
      </w:r>
      <w:r>
        <w:rPr>
          <w:rFonts w:ascii="Times New Roman" w:hAnsi="Times New Roman"/>
          <w:sz w:val="24"/>
        </w:rPr>
        <w:t xml:space="preserve">с.ш. до</w:t>
      </w:r>
      <w:r>
        <w:rPr>
          <w:rFonts w:ascii="Times New Roman" w:hAnsi="Times New Roman"/>
          <w:sz w:val="24"/>
        </w:rPr>
        <w:t xml:space="preserve"> </w:t>
      </w:r>
      <m:oMath>
        <m:sSup>
          <m:e>
            <m:r>
              <m:t>45</m:t>
            </m:r>
          </m:e>
          <m:sup>
            <m:r>
              <m:rPr>
                <m:sty m:val="p"/>
              </m:rPr>
              <m:t>∘</m:t>
            </m:r>
          </m:sup>
        </m:sSup>
      </m:oMath>
      <w:r>
        <w:rPr>
          <w:rFonts w:ascii="Times New Roman" w:hAnsi="Times New Roman"/>
          <w:sz w:val="24"/>
        </w:rPr>
        <w:t xml:space="preserve"> </w:t>
      </w:r>
      <w:r>
        <w:rPr>
          <w:rFonts w:ascii="Times New Roman" w:hAnsi="Times New Roman"/>
          <w:sz w:val="24"/>
        </w:rPr>
        <w:t xml:space="preserve">ю.ш. с исключением ячеек, перекрывающихся с основными областями более чем на 20% площади; они используются только для проверки географии на составе выборки, не зависевшем от выбора автора (окна 2024 г.).</w:t>
      </w:r>
    </w:p>
    <w:p>
      <w:pPr>
        <w:pStyle w:val="BodyText"/>
      </w:pPr>
      <w:r>
        <w:rPr>
          <w:rFonts w:ascii="Times New Roman" w:hAnsi="Times New Roman"/>
          <w:sz w:val="24"/>
        </w:rPr>
        <w:t xml:space="preserve">Для двенадцати основных областей привлечены три периода: 2017–2019 гг. (области R1–R4, 16 регион-окон, использованных при постановке метода), 2021–2022 гг. (R5–R12, 32 регион-окна) и 2023–2024 гг. (все 12 областей, 48 регион-окон); каждая область в итоге располагает восемью сезонными окнами января–марта и июля–сентября. Периоды охватывают Ла-Нинью (2021–2022 гг.), Эль-Ниньо (2023–2024 гг.) и преимущественно нейтральные условия (2017–2019 гг.). Дизайн не является полным факторным: группы областей имеют разные ранние периоды, поэтому вклады сезона, года и периода оцениваются отдельно (см.</w:t>
      </w:r>
      <w:r>
        <w:rPr>
          <w:rFonts w:ascii="Times New Roman" w:hAnsi="Times New Roman"/>
          <w:sz w:val="24"/>
        </w:rPr>
        <w:t xml:space="preserve"> </w:t>
      </w:r>
      <w:r>
        <w:rPr>
          <w:rFonts w:ascii="Times New Roman" w:hAnsi="Times New Roman"/>
          <w:sz w:val="24"/>
        </w:rPr>
        <w:t xml:space="preserve">“Схема статистического вывода”</w:t>
      </w:r>
      <w:r>
        <w:rPr>
          <w:rFonts w:ascii="Times New Roman" w:hAnsi="Times New Roman"/>
          <w:sz w:val="24"/>
        </w:rPr>
        <w:t xml:space="preserve">). Окна 2021–2022 гг. служат отложенной выборкой, не участвовавшей в построении дескриптора.</w:t>
      </w:r>
    </w:p>
    <w:bookmarkEnd w:id="11"/>
    <w:bookmarkStart w:id="12" w:name="построение-профиля-сопряженности"/>
    <w:p>
      <w:pPr>
        <w:pStyle w:val="Heading2"/>
      </w:pPr>
      <w:r>
        <w:rPr>
          <w:rFonts w:ascii="Times New Roman" w:hAnsi="Times New Roman"/>
          <w:sz w:val="24"/>
        </w:rPr>
        <w:t xml:space="preserve">Построение профиля сопряженности</w:t>
      </w:r>
    </w:p>
    <w:p>
      <w:pPr>
        <w:pStyle w:val="FirstParagraph"/>
      </w:pPr>
      <w:r>
        <w:rPr>
          <w:rFonts w:ascii="Times New Roman" w:hAnsi="Times New Roman"/>
          <w:sz w:val="24"/>
        </w:rPr>
        <w:t xml:space="preserve">Нужна величина с тремя свойствами: она измеряет совпадение географии активности двух соседних масштабных полос в пределах территории; нечувствительна к общей интенсивности циркуляции, поскольку режимы сильно различаются интенсивностью и любая амплитудная мера измеряла бы эту разницу вместо организации; дополнена оценкой вклада самой процедуры разложения. Построение занимает три шага; первый, наиболее трудоемкий, показан на рис. 1. Словом</w:t>
      </w:r>
      <w:r>
        <w:rPr>
          <w:rFonts w:ascii="Times New Roman" w:hAnsi="Times New Roman"/>
          <w:sz w:val="24"/>
        </w:rPr>
        <w:t xml:space="preserve"> </w:t>
      </w:r>
      <w:r>
        <w:rPr>
          <w:rFonts w:ascii="Times New Roman" w:hAnsi="Times New Roman"/>
          <w:sz w:val="24"/>
        </w:rPr>
        <w:t xml:space="preserve">“уровень”</w:t>
      </w:r>
      <w:r>
        <w:rPr>
          <w:rFonts w:ascii="Times New Roman" w:hAnsi="Times New Roman"/>
          <w:sz w:val="24"/>
        </w:rPr>
        <w:t xml:space="preserve"> </w:t>
      </w:r>
      <w:r>
        <w:rPr>
          <w:rFonts w:ascii="Times New Roman" w:hAnsi="Times New Roman"/>
          <w:sz w:val="24"/>
        </w:rPr>
        <w:t xml:space="preserve">далее обозначаются заранее заданные октавные полосы масштаба, а не эмпирически выделенные уровни организации в смысле работы (Кренке и др., 2019).</w:t>
      </w:r>
    </w:p>
    <w:p>
      <w:pPr>
        <w:pStyle w:val="BodyText"/>
      </w:pPr>
      <w:r>
        <w:rPr>
          <w:rFonts w:ascii="Times New Roman" w:hAnsi="Times New Roman"/>
          <w:i/>
          <w:iCs/>
          <w:sz w:val="24"/>
        </w:rPr>
        <w:t xml:space="preserve">Шаг 1 – локализация активности масштаба (рис. 1).</w:t>
      </w:r>
      <w:r>
        <w:rPr>
          <w:rFonts w:ascii="Times New Roman" w:hAnsi="Times New Roman"/>
          <w:sz w:val="24"/>
        </w:rPr>
        <w:t xml:space="preserve"> </w:t>
      </w:r>
      <w:r>
        <w:rPr>
          <w:rFonts w:ascii="Times New Roman" w:hAnsi="Times New Roman"/>
          <w:sz w:val="24"/>
        </w:rPr>
        <w:t xml:space="preserve">Поле разлагается по лестнице масштабов</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 50, 100, 200, 400, 800 и 1600 км: для каждого</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строится изотропное гауссово сглаживание</w:t>
      </w:r>
      <w:r>
        <w:rPr>
          <w:rFonts w:ascii="Times New Roman" w:hAnsi="Times New Roman"/>
          <w:sz w:val="24"/>
        </w:rPr>
        <w:t xml:space="preserve"> </w:t>
      </w:r>
      <m:oMath>
        <m:sSub>
          <m:e>
            <m:bar>
              <m:barPr>
                <m:pos m:val="top"/>
              </m:barPr>
              <m:e>
                <m:r>
                  <m:t>ω</m:t>
                </m:r>
              </m:e>
            </m:bar>
          </m:e>
          <m:sub>
            <m:r>
              <m:t>ℓ</m:t>
            </m:r>
          </m:sub>
        </m:sSub>
      </m:oMath>
      <w:r>
        <w:rPr>
          <w:rFonts w:ascii="Times New Roman" w:hAnsi="Times New Roman"/>
          <w:sz w:val="24"/>
        </w:rPr>
        <w:t xml:space="preserve"> </w:t>
      </w:r>
      <w:r>
        <w:rPr>
          <w:rFonts w:ascii="Times New Roman" w:hAnsi="Times New Roman"/>
          <w:sz w:val="24"/>
        </w:rPr>
        <w:t xml:space="preserve">с</w:t>
      </w:r>
      <w:r>
        <w:rPr>
          <w:rFonts w:ascii="Times New Roman" w:hAnsi="Times New Roman"/>
          <w:sz w:val="24"/>
        </w:rPr>
        <w:t xml:space="preserve"> </w:t>
      </w:r>
      <m:oMath>
        <m:r>
          <m:t>σ</m:t>
        </m:r>
        <m:r>
          <m:rPr>
            <m:sty m:val="p"/>
          </m:rPr>
          <m:t>=</m:t>
        </m:r>
        <m:r>
          <m:t>ℓ</m:t>
        </m:r>
        <m:r>
          <m:rPr>
            <m:sty m:val="p"/>
          </m:rPr>
          <m:t>/</m:t>
        </m:r>
        <m:rad>
          <m:radPr>
            <m:degHide m:val="on"/>
          </m:radPr>
          <m:deg/>
          <m:e>
            <m:r>
              <m:t>12</m:t>
            </m:r>
          </m:e>
        </m:rad>
      </m:oMath>
      <w:r>
        <w:rPr>
          <w:rFonts w:ascii="Times New Roman" w:hAnsi="Times New Roman"/>
          <w:sz w:val="24"/>
        </w:rPr>
        <w:t xml:space="preserve"> </w:t>
      </w:r>
      <w:r>
        <w:rPr>
          <w:rFonts w:ascii="Times New Roman" w:hAnsi="Times New Roman"/>
          <w:sz w:val="24"/>
        </w:rPr>
        <w:t xml:space="preserve">(дисперсионный эквивалент прямоугольного окна ширины</w:t>
      </w:r>
      <w:r>
        <w:rPr>
          <w:rFonts w:ascii="Times New Roman" w:hAnsi="Times New Roman"/>
          <w:sz w:val="24"/>
        </w:rPr>
        <w:t xml:space="preserve"> </w:t>
      </w:r>
      <m:oMath>
        <m:r>
          <m:t>ℓ</m:t>
        </m:r>
      </m:oMath>
      <w:r>
        <w:rPr>
          <w:rFonts w:ascii="Times New Roman" w:hAnsi="Times New Roman"/>
          <w:sz w:val="24"/>
        </w:rPr>
        <w:t xml:space="preserve">; ширина ядра адаптируется к широтной метрике построчно), и разность соседних сглаживаний выделяет октавную полосу</w:t>
      </w:r>
      <w:r>
        <w:rPr>
          <w:rFonts w:ascii="Times New Roman" w:hAnsi="Times New Roman"/>
          <w:sz w:val="24"/>
        </w:rPr>
        <w:t xml:space="preserve"> </w:t>
      </w:r>
      <m:oMath>
        <m:sSub>
          <m:e>
            <m:r>
              <m:t>D</m:t>
            </m:r>
          </m:e>
          <m:sub>
            <m:r>
              <m:t>i</m:t>
            </m:r>
          </m:sub>
        </m:sSub>
        <m:r>
          <m:rPr>
            <m:sty m:val="p"/>
          </m:rPr>
          <m:t>=</m:t>
        </m:r>
        <m:sSub>
          <m:e>
            <m:bar>
              <m:barPr>
                <m:pos m:val="top"/>
              </m:barPr>
              <m:e>
                <m:r>
                  <m:t>ω</m:t>
                </m:r>
              </m:e>
            </m:bar>
          </m:e>
          <m:sub>
            <m:sSub>
              <m:e>
                <m:r>
                  <m:t>ℓ</m:t>
                </m:r>
              </m:e>
              <m:sub>
                <m:r>
                  <m:t>i</m:t>
                </m:r>
              </m:sub>
            </m:sSub>
          </m:sub>
        </m:sSub>
        <m:r>
          <m:rPr>
            <m:sty m:val="p"/>
          </m:rPr>
          <m:t>−</m:t>
        </m:r>
        <m:sSub>
          <m:e>
            <m:bar>
              <m:barPr>
                <m:pos m:val="top"/>
              </m:barPr>
              <m:e>
                <m:r>
                  <m:t>ω</m:t>
                </m:r>
              </m:e>
            </m:bar>
          </m:e>
          <m:sub>
            <m:sSub>
              <m:e>
                <m:r>
                  <m:t>ℓ</m:t>
                </m:r>
              </m:e>
              <m:sub>
                <m:r>
                  <m:t>i</m:t>
                </m:r>
                <m:r>
                  <m:rPr>
                    <m:sty m:val="p"/>
                  </m:rPr>
                  <m:t>+</m:t>
                </m:r>
                <m:r>
                  <m:t>1</m:t>
                </m:r>
              </m:sub>
            </m:sSub>
          </m:sub>
        </m:sSub>
      </m:oMath>
      <w:r>
        <w:rPr>
          <w:rFonts w:ascii="Times New Roman" w:hAnsi="Times New Roman"/>
          <w:sz w:val="24"/>
        </w:rPr>
        <w:t xml:space="preserve">,</w:t>
      </w:r>
      <w:r>
        <w:rPr>
          <w:rFonts w:ascii="Times New Roman" w:hAnsi="Times New Roman"/>
          <w:sz w:val="24"/>
        </w:rPr>
        <w:t xml:space="preserve"> </w:t>
      </w:r>
      <m:oMath>
        <m:r>
          <m:t>i</m:t>
        </m:r>
        <m:r>
          <m:rPr>
            <m:sty m:val="p"/>
          </m:rPr>
          <m:t>=</m:t>
        </m:r>
        <m:r>
          <m:t>1</m:t>
        </m:r>
        <m:r>
          <m:rPr>
            <m:sty m:val="p"/>
          </m:rPr>
          <m:t>,</m:t>
        </m:r>
        <m:r>
          <m:rPr>
            <m:sty m:val="p"/>
          </m:rPr>
          <m:t>…</m:t>
        </m:r>
        <m:r>
          <m:rPr>
            <m:sty m:val="p"/>
          </m:rPr>
          <m:t>,</m:t>
        </m:r>
        <m:r>
          <m:t>5</m:t>
        </m:r>
      </m:oMath>
      <w:r>
        <w:rPr>
          <w:rFonts w:ascii="Times New Roman" w:hAnsi="Times New Roman"/>
          <w:sz w:val="24"/>
        </w:rPr>
        <w:t xml:space="preserve">; нулевая полоса – остаток мельче 50 км,</w:t>
      </w:r>
      <w:r>
        <w:rPr>
          <w:rFonts w:ascii="Times New Roman" w:hAnsi="Times New Roman"/>
          <w:sz w:val="24"/>
        </w:rPr>
        <w:t xml:space="preserve"> </w:t>
      </w:r>
      <m:oMath>
        <m:sSub>
          <m:e>
            <m:r>
              <m:t>D</m:t>
            </m:r>
          </m:e>
          <m:sub>
            <m:r>
              <m:t>0</m:t>
            </m:r>
          </m:sub>
        </m:sSub>
        <m:r>
          <m:rPr>
            <m:sty m:val="p"/>
          </m:rPr>
          <m:t>=</m:t>
        </m:r>
        <m:r>
          <m:t>ω</m:t>
        </m:r>
        <m:r>
          <m:rPr>
            <m:sty m:val="p"/>
          </m:rPr>
          <m:t>−</m:t>
        </m:r>
        <m:sSub>
          <m:e>
            <m:bar>
              <m:barPr>
                <m:pos m:val="top"/>
              </m:barPr>
              <m:e>
                <m:r>
                  <m:t>ω</m:t>
                </m:r>
              </m:e>
            </m:bar>
          </m:e>
          <m:sub>
            <m:r>
              <m:t>50</m:t>
            </m:r>
          </m:sub>
        </m:sSub>
      </m:oMath>
      <w:r>
        <w:rPr>
          <w:rFonts w:ascii="Times New Roman" w:hAnsi="Times New Roman"/>
          <w:sz w:val="24"/>
        </w:rPr>
        <w:t xml:space="preserve">. Карту активности полосы дает модуль, сглаженный на крупном краю октавы, – огибающая</w:t>
      </w:r>
      <w:r>
        <w:rPr>
          <w:rFonts w:ascii="Times New Roman" w:hAnsi="Times New Roman"/>
          <w:sz w:val="24"/>
        </w:rPr>
        <w:t xml:space="preserve"> </w:t>
      </w:r>
      <m:oMath>
        <m:sSub>
          <m:e>
            <m:r>
              <m:t>E</m:t>
            </m:r>
          </m:e>
          <m:sub>
            <m:r>
              <m:t>i</m:t>
            </m:r>
          </m:sub>
        </m:sSub>
        <m:r>
          <m:rPr>
            <m:sty m:val="p"/>
          </m:rPr>
          <m:t>=</m:t>
        </m:r>
        <m:sSub>
          <m:e>
            <m:bar>
              <m:barPr>
                <m:pos m:val="top"/>
              </m:barPr>
              <m:e>
                <m:r>
                  <m:rPr>
                    <m:sty m:val="p"/>
                  </m:rPr>
                  <m:t>|</m:t>
                </m:r>
                <m:sSub>
                  <m:e>
                    <m:r>
                      <m:t>D</m:t>
                    </m:r>
                  </m:e>
                  <m:sub>
                    <m:r>
                      <m:t>i</m:t>
                    </m:r>
                  </m:sub>
                </m:sSub>
                <m:r>
                  <m:rPr>
                    <m:sty m:val="p"/>
                  </m:rPr>
                  <m:t>|</m:t>
                </m:r>
              </m:e>
            </m:bar>
          </m:e>
          <m:sub>
            <m:sSub>
              <m:e>
                <m:r>
                  <m:t>ℓ</m:t>
                </m:r>
              </m:e>
              <m:sub>
                <m:r>
                  <m:t>i</m:t>
                </m:r>
                <m:r>
                  <m:rPr>
                    <m:sty m:val="p"/>
                  </m:rPr>
                  <m:t>+</m:t>
                </m:r>
                <m:r>
                  <m:t>1</m:t>
                </m:r>
              </m:sub>
            </m:sSub>
          </m:sub>
        </m:sSub>
      </m:oMath>
      <w:r>
        <w:rPr>
          <w:rFonts w:ascii="Times New Roman" w:hAnsi="Times New Roman"/>
          <w:sz w:val="24"/>
        </w:rPr>
        <w:t xml:space="preserve">: интенсивность вихревой активности данного масштаба в каждой точке, подобно тому как огибающая радиосигнала показывает громкость без слежения за каждым колебанием несущей; огибающие как индикаторы локальной активности масштаба давно применяются в вейвлет-анализе турбулентности (Farge, 1992).</w:t>
      </w:r>
    </w:p>
    <w:p>
      <w:pPr>
        <w:pStyle w:val="BodyText"/>
      </w:pPr>
      <w:r>
        <w:rPr>
          <w:rFonts w:ascii="Times New Roman" w:hAnsi="Times New Roman"/>
          <w:i/>
          <w:iCs/>
          <w:sz w:val="24"/>
        </w:rPr>
        <w:t xml:space="preserve">Шаг 2 – совпадение рисунка карт.</w:t>
      </w:r>
      <w:r>
        <w:rPr>
          <w:rFonts w:ascii="Times New Roman" w:hAnsi="Times New Roman"/>
          <w:sz w:val="24"/>
        </w:rPr>
        <w:t xml:space="preserve"> </w:t>
      </w:r>
      <w:r>
        <w:rPr>
          <w:rFonts w:ascii="Times New Roman" w:hAnsi="Times New Roman"/>
          <w:sz w:val="24"/>
        </w:rPr>
        <w:t xml:space="preserve">Для каждого срока</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по узлам внутренней части области (краевая полоса шириной</w:t>
      </w:r>
      <w:r>
        <w:rPr>
          <w:rFonts w:ascii="Times New Roman" w:hAnsi="Times New Roman"/>
          <w:sz w:val="24"/>
        </w:rPr>
        <w:t xml:space="preserve"> </w:t>
      </w:r>
      <m:oMath>
        <m:r>
          <m:rPr>
            <m:sty m:val="p"/>
          </m:rPr>
          <m:t>min</m:t>
        </m:r>
        <m:r>
          <m:rPr>
            <m:sty m:val="p"/>
          </m:rPr>
          <m:t>(</m:t>
        </m:r>
        <m:r>
          <m:t>2</m:t>
        </m:r>
        <m:sSub>
          <m:e>
            <m:r>
              <m:t>ℓ</m:t>
            </m:r>
          </m:e>
          <m:sub>
            <m:r>
              <m:rPr>
                <m:sty m:val="p"/>
              </m:rPr>
              <m:t>max</m:t>
            </m:r>
          </m:sub>
        </m:sSub>
        <m:r>
          <m:rPr>
            <m:sty m:val="p"/>
          </m:rPr>
          <m:t>;</m:t>
        </m:r>
        <m:r>
          <m:t> </m:t>
        </m:r>
        <m:r>
          <m:t>0.25</m:t>
        </m:r>
      </m:oMath>
      <w:r>
        <w:rPr>
          <w:rFonts w:ascii="Times New Roman" w:hAnsi="Times New Roman"/>
          <w:sz w:val="24"/>
        </w:rPr>
        <w:t xml:space="preserve"> </w:t>
      </w:r>
      <w:r>
        <w:rPr>
          <w:rFonts w:ascii="Times New Roman" w:hAnsi="Times New Roman"/>
          <w:sz w:val="24"/>
        </w:rPr>
        <w:t xml:space="preserve">размера области</w:t>
      </w:r>
      <m:oMath>
        <m:r>
          <m:rPr>
            <m:sty m:val="p"/>
          </m:rPr>
          <m:t>)</m:t>
        </m:r>
      </m:oMath>
      <w:r>
        <w:rPr>
          <w:rFonts w:ascii="Times New Roman" w:hAnsi="Times New Roman"/>
          <w:sz w:val="24"/>
        </w:rPr>
        <w:t xml:space="preserve"> </w:t>
      </w:r>
      <w:r>
        <w:rPr>
          <w:rFonts w:ascii="Times New Roman" w:hAnsi="Times New Roman"/>
          <w:sz w:val="24"/>
        </w:rPr>
        <w:t xml:space="preserve">и узлы под рельефом исключены) вычисляется пространственная ранговая корреляция огибающих соседних полос:</w:t>
      </w:r>
    </w:p>
    <w:p>
      <w:pPr>
        <w:pStyle w:val="BodyText"/>
      </w:pPr>
      <m:oMathPara>
        <m:oMathParaPr>
          <m:jc m:val="center"/>
        </m:oMathParaPr>
        <m:oMath>
          <m:sSub>
            <m:e>
              <m:r>
                <m:t>ρ</m:t>
              </m:r>
            </m:e>
            <m:sub>
              <m:r>
                <m:t>i</m:t>
              </m:r>
            </m:sub>
          </m:sSub>
          <m:r>
            <m:rPr>
              <m:sty m:val="p"/>
            </m:rPr>
            <m:t>(</m:t>
          </m:r>
          <m:r>
            <m:t>t</m:t>
          </m:r>
          <m:r>
            <m:rPr>
              <m:sty m:val="p"/>
            </m:rPr>
            <m:t>)</m:t>
          </m:r>
          <m:r>
            <m:rPr>
              <m:sty m:val="p"/>
            </m:rPr>
            <m:t>=</m:t>
          </m:r>
          <m:sSub>
            <m:e>
              <m:r>
                <m:rPr>
                  <m:sty m:val="p"/>
                </m:rPr>
                <m:t>corr</m:t>
              </m:r>
            </m:e>
            <m:sub>
              <m:r>
                <m:rPr>
                  <m:sty m:val="p"/>
                </m:rPr>
                <m:t>r</m:t>
              </m:r>
              <m:r>
                <m:rPr>
                  <m:sty m:val="p"/>
                </m:rPr>
                <m:t>a</m:t>
              </m:r>
              <m:r>
                <m:rPr>
                  <m:sty m:val="p"/>
                </m:rPr>
                <m:t>n</m:t>
              </m:r>
              <m:r>
                <m:rPr>
                  <m:sty m:val="p"/>
                </m:rPr>
                <m:t>k</m:t>
              </m:r>
            </m:sub>
          </m:sSub>
          <m:d>
            <m:dPr>
              <m:begChr m:val="["/>
              <m:sepChr m:val=""/>
              <m:endChr m:val="]"/>
              <m:grow/>
            </m:dPr>
            <m:e>
              <m:sSub>
                <m:e>
                  <m:r>
                    <m:t>E</m:t>
                  </m:r>
                </m:e>
                <m:sub>
                  <m:r>
                    <m:t>i</m:t>
                  </m:r>
                  <m:r>
                    <m:rPr>
                      <m:sty m:val="p"/>
                    </m:rPr>
                    <m:t>−</m:t>
                  </m:r>
                  <m:r>
                    <m:t>1</m:t>
                  </m:r>
                </m:sub>
              </m:sSub>
              <m:r>
                <m:rPr>
                  <m:sty m:val="p"/>
                </m:rPr>
                <m:t>(</m:t>
              </m:r>
              <m:r>
                <m:t>t</m:t>
              </m:r>
              <m:r>
                <m:rPr>
                  <m:sty m:val="p"/>
                </m:rPr>
                <m:t>)</m:t>
              </m:r>
              <m:r>
                <m:rPr>
                  <m:sty m:val="p"/>
                </m:rPr>
                <m:t>,</m:t>
              </m:r>
              <m:r>
                <m:t> </m:t>
              </m:r>
              <m:sSub>
                <m:e>
                  <m:r>
                    <m:t>E</m:t>
                  </m:r>
                </m:e>
                <m:sub>
                  <m:r>
                    <m:t>i</m:t>
                  </m:r>
                </m:sub>
              </m:sSub>
              <m:r>
                <m:rPr>
                  <m:sty m:val="p"/>
                </m:rPr>
                <m:t>(</m:t>
              </m:r>
              <m:r>
                <m:t>t</m:t>
              </m:r>
              <m:r>
                <m:rPr>
                  <m:sty m:val="p"/>
                </m:rPr>
                <m:t>)</m:t>
              </m:r>
            </m:e>
          </m:d>
          <m:r>
            <m:rPr>
              <m:sty m:val="p"/>
            </m:rPr>
            <m:t>,</m:t>
          </m:r>
          <m:r>
            <m:t>  </m:t>
          </m:r>
          <m:r>
            <m:t>i</m:t>
          </m:r>
          <m:r>
            <m:rPr>
              <m:sty m:val="p"/>
            </m:rPr>
            <m:t>=</m:t>
          </m:r>
          <m:r>
            <m:t>1</m:t>
          </m:r>
          <m:r>
            <m:rPr>
              <m:sty m:val="p"/>
            </m:rPr>
            <m:t>,</m:t>
          </m:r>
          <m:r>
            <m:rPr>
              <m:sty m:val="p"/>
            </m:rPr>
            <m:t>…</m:t>
          </m:r>
          <m:r>
            <m:rPr>
              <m:sty m:val="p"/>
            </m:rPr>
            <m:t>,</m:t>
          </m:r>
          <m:r>
            <m:t>5</m:t>
          </m:r>
          <m:r>
            <m:rPr>
              <m:sty m:val="p"/>
            </m:rPr>
            <m:t>.</m:t>
          </m:r>
        </m:oMath>
      </m:oMathPara>
    </w:p>
    <w:p>
      <w:pPr>
        <w:pStyle w:val="FirstParagraph"/>
      </w:pPr>
      <w:r>
        <w:rPr>
          <w:rFonts w:ascii="Times New Roman" w:hAnsi="Times New Roman"/>
          <w:sz w:val="24"/>
        </w:rPr>
        <w:t xml:space="preserve">Ранговая форма нечувствительна к монотонным преобразованиям огибающих и устойчива к выбросам; линейная корреляция логарифмов огибающих воспроизводит результаты с точностью</w:t>
      </w:r>
      <w:r>
        <w:rPr>
          <w:rFonts w:ascii="Times New Roman" w:hAnsi="Times New Roman"/>
          <w:sz w:val="24"/>
        </w:rPr>
        <w:t xml:space="preserve"> </w:t>
      </w:r>
      <m:oMath>
        <m:r>
          <m:t>ρ</m:t>
        </m:r>
        <m:r>
          <m:rPr>
            <m:sty m:val="p"/>
          </m:rPr>
          <m:t>=</m:t>
        </m:r>
        <m:r>
          <m:t>0.99</m:t>
        </m:r>
      </m:oMath>
      <w:r>
        <w:rPr>
          <w:rFonts w:ascii="Times New Roman" w:hAnsi="Times New Roman"/>
          <w:sz w:val="24"/>
        </w:rPr>
        <w:t xml:space="preserve">. Медиана по</w:t>
      </w:r>
      <w:r>
        <w:rPr>
          <w:rFonts w:ascii="Times New Roman" w:hAnsi="Times New Roman"/>
          <w:sz w:val="24"/>
        </w:rPr>
        <w:t xml:space="preserve"> </w:t>
      </w:r>
      <m:oMath>
        <m:r>
          <m:rPr>
            <m:sty m:val="p"/>
          </m:rPr>
          <m:t>≈</m:t>
        </m:r>
      </m:oMath>
      <w:r>
        <w:rPr>
          <w:rFonts w:ascii="Times New Roman" w:hAnsi="Times New Roman"/>
          <w:sz w:val="24"/>
        </w:rPr>
        <w:t xml:space="preserve">360 срокам сезонного окна дает</w:t>
      </w:r>
      <w:r>
        <w:rPr>
          <w:rFonts w:ascii="Times New Roman" w:hAnsi="Times New Roman"/>
          <w:sz w:val="24"/>
        </w:rPr>
        <w:t xml:space="preserve"> </w:t>
      </w:r>
      <w:r>
        <w:rPr>
          <w:rFonts w:ascii="Times New Roman" w:hAnsi="Times New Roman"/>
          <w:i/>
          <w:iCs/>
          <w:sz w:val="24"/>
        </w:rPr>
        <w:t xml:space="preserve">исходный профиль</w:t>
      </w:r>
      <w:r>
        <w:rPr>
          <w:rFonts w:ascii="Times New Roman" w:hAnsi="Times New Roman"/>
          <w:sz w:val="24"/>
        </w:rPr>
        <w:t xml:space="preserve"> </w:t>
      </w:r>
      <w:r>
        <w:rPr>
          <w:rFonts w:ascii="Times New Roman" w:hAnsi="Times New Roman"/>
          <w:sz w:val="24"/>
        </w:rPr>
        <w:t xml:space="preserve">области</w:t>
      </w:r>
      <w:r>
        <w:rPr>
          <w:rFonts w:ascii="Times New Roman" w:hAnsi="Times New Roman"/>
          <w:sz w:val="24"/>
        </w:rPr>
        <w:t xml:space="preserve"> </w:t>
      </w:r>
      <m:oMath>
        <m:r>
          <m:t>P</m:t>
        </m:r>
        <m:r>
          <m:rPr>
            <m:sty m:val="p"/>
          </m:rPr>
          <m:t>=</m:t>
        </m:r>
        <m:r>
          <m:rPr>
            <m:sty m:val="p"/>
          </m:rPr>
          <m:t>(</m:t>
        </m:r>
        <m:sSub>
          <m:e>
            <m:r>
              <m:t>ρ</m:t>
            </m:r>
          </m:e>
          <m:sub>
            <m:r>
              <m:t>1</m:t>
            </m:r>
          </m:sub>
        </m:sSub>
        <m:r>
          <m:rPr>
            <m:sty m:val="p"/>
          </m:rPr>
          <m:t>,</m:t>
        </m:r>
        <m:r>
          <m:rPr>
            <m:sty m:val="p"/>
          </m:rPr>
          <m:t>…</m:t>
        </m:r>
        <m:r>
          <m:rPr>
            <m:sty m:val="p"/>
          </m:rPr>
          <m:t>,</m:t>
        </m:r>
        <m:sSub>
          <m:e>
            <m:r>
              <m:t>ρ</m:t>
            </m:r>
          </m:e>
          <m:sub>
            <m:r>
              <m:t>5</m:t>
            </m:r>
          </m:sub>
        </m:sSub>
        <m:r>
          <m:rPr>
            <m:sty m:val="p"/>
          </m:rPr>
          <m:t>)</m:t>
        </m:r>
      </m:oMath>
      <w:r>
        <w:rPr>
          <w:rFonts w:ascii="Times New Roman" w:hAnsi="Times New Roman"/>
          <w:sz w:val="24"/>
        </w:rPr>
        <w:t xml:space="preserve">. Ступень 1 отвечает паре самых тонких полос (мельче 50; 50–100 км), ступень 5 – паре самых крупных (400–800; 800–1600 км). Ступень 1 в содержательных выводах не используется: пара полос мельче 100 км лежит ниже усечения спектра реанализа, и ее значение несет отпечаток анизотропии градусной сетки (на сетке с равным шагом в километрах связь этой ступени с широтой падает с 0.87 до 0.65, тогда как ступени 2–5 воспроизводятся с согласием 0.97–0.99); она сохранена в приложении как диагностическая. Оценки эффективного разрешения ERA5 расходятся: правило 4–7 шагов сетки (Skamarock, 2004) дает около 125–220 км, прямая спектральная оценка (Bolgiani et al., 2022) – 500–600 км в средних широтах и порядка 1000 км в тропиках.</w:t>
      </w:r>
      <w:r>
        <w:rPr>
          <w:rFonts w:ascii="Times New Roman" w:hAnsi="Times New Roman"/>
          <w:sz w:val="24"/>
        </w:rPr>
        <w:t xml:space="preserve"> </w:t>
      </w:r>
      <w:r>
        <w:rPr>
          <w:rFonts w:ascii="Times New Roman" w:hAnsi="Times New Roman"/>
          <w:i/>
          <w:iCs/>
          <w:sz w:val="24"/>
        </w:rPr>
        <w:t xml:space="preserve">Разрешенными</w:t>
      </w:r>
      <w:r>
        <w:rPr>
          <w:rFonts w:ascii="Times New Roman" w:hAnsi="Times New Roman"/>
          <w:sz w:val="24"/>
        </w:rPr>
        <w:t xml:space="preserve"> </w:t>
      </w:r>
      <w:r>
        <w:rPr>
          <w:rFonts w:ascii="Times New Roman" w:hAnsi="Times New Roman"/>
          <w:sz w:val="24"/>
        </w:rPr>
        <w:t xml:space="preserve">далее называются ступени 4–5, у которых обе полосы не мельче 200 км; основные выводы дублируются на них, а также при более жестком выборе – только ступень 5 для всех областей или ступень 5 для тропических и 4–5 для внетропических областей.</w:t>
      </w:r>
    </w:p>
    <w:p>
      <w:pPr>
        <w:pStyle w:val="BodyText"/>
      </w:pPr>
      <w:r>
        <w:rPr>
          <w:rFonts w:ascii="Times New Roman" w:hAnsi="Times New Roman"/>
          <w:i/>
          <w:iCs/>
          <w:sz w:val="24"/>
        </w:rPr>
        <w:t xml:space="preserve">Шаг 3 – превышение над фазовой нуль-моделью.</w:t>
      </w:r>
      <w:r>
        <w:rPr>
          <w:rFonts w:ascii="Times New Roman" w:hAnsi="Times New Roman"/>
          <w:sz w:val="24"/>
        </w:rPr>
        <w:t xml:space="preserve"> </w:t>
      </w:r>
      <w:r>
        <w:rPr>
          <w:rFonts w:ascii="Times New Roman" w:hAnsi="Times New Roman"/>
          <w:sz w:val="24"/>
        </w:rPr>
        <w:t xml:space="preserve">Соседние гауссовы полосы частично перекрываются, поэтому огибающие соседних полос коррелируют уже в силу построения – и для случайного поля с тем же спектром. Для каждого регион-окна строится ансамбль из 199 фазовых суррогатов исходного поля ветра: спектры</w:t>
      </w:r>
      <w:r>
        <w:rPr>
          <w:rFonts w:ascii="Times New Roman" w:hAnsi="Times New Roman"/>
          <w:sz w:val="24"/>
        </w:rPr>
        <w:t xml:space="preserve"> </w:t>
      </w:r>
      <m:oMath>
        <m:r>
          <m:t>u</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t>v</m:t>
        </m:r>
      </m:oMath>
      <w:r>
        <w:rPr>
          <w:rFonts w:ascii="Times New Roman" w:hAnsi="Times New Roman"/>
          <w:sz w:val="24"/>
        </w:rPr>
        <w:t xml:space="preserve"> </w:t>
      </w:r>
      <w:r>
        <w:rPr>
          <w:rFonts w:ascii="Times New Roman" w:hAnsi="Times New Roman"/>
          <w:sz w:val="24"/>
        </w:rPr>
        <w:t xml:space="preserve">на каждом сроке умножаются на общее случайное фазовое поле, так что амплитудный спектр сохраняется точно, а фазовая структура, в которой заключена негауссова организация поля, разрушается; в силу линейности оператора вихря это тождественно фазовой рандомизации самого поля вихря. Вся цепочка повторяется на суррогатах, и</w:t>
      </w:r>
      <w:r>
        <w:rPr>
          <w:rFonts w:ascii="Times New Roman" w:hAnsi="Times New Roman"/>
          <w:sz w:val="24"/>
        </w:rPr>
        <w:t xml:space="preserve"> </w:t>
      </w:r>
      <w:r>
        <w:rPr>
          <w:rFonts w:ascii="Times New Roman" w:hAnsi="Times New Roman"/>
          <w:i/>
          <w:iCs/>
          <w:sz w:val="24"/>
        </w:rPr>
        <w:t xml:space="preserve">профиль с суррогатной поправкой</w:t>
      </w:r>
      <w:r>
        <w:rPr>
          <w:rFonts w:ascii="Times New Roman" w:hAnsi="Times New Roman"/>
          <w:sz w:val="24"/>
        </w:rPr>
        <w:t xml:space="preserve"> </w:t>
      </w:r>
      <w:r>
        <w:rPr>
          <w:rFonts w:ascii="Times New Roman" w:hAnsi="Times New Roman"/>
          <w:sz w:val="24"/>
        </w:rPr>
        <w:t xml:space="preserve">определяется как превышение над медианой ансамбля:</w:t>
      </w:r>
      <w:r>
        <w:rPr>
          <w:rFonts w:ascii="Times New Roman" w:hAnsi="Times New Roman"/>
          <w:sz w:val="24"/>
        </w:rPr>
        <w:t xml:space="preserve"> </w:t>
      </w:r>
      <m:oMath>
        <m:acc>
          <m:accPr>
            <m:chr m:val="̃"/>
          </m:accPr>
          <m:e>
            <m:r>
              <m:t>P</m:t>
            </m:r>
          </m:e>
        </m:acc>
        <m:r>
          <m:rPr>
            <m:sty m:val="p"/>
          </m:rPr>
          <m:t>=</m:t>
        </m:r>
        <m:r>
          <m:t>P</m:t>
        </m:r>
        <m:r>
          <m:rPr>
            <m:sty m:val="p"/>
          </m:rPr>
          <m:t>−</m:t>
        </m:r>
        <m:sSub>
          <m:e>
            <m:r>
              <m:t>P</m:t>
            </m:r>
          </m:e>
          <m:sub>
            <m:r>
              <m:rPr>
                <m:sty m:val="p"/>
              </m:rPr>
              <m:t>s</m:t>
            </m:r>
            <m:r>
              <m:rPr>
                <m:sty m:val="p"/>
              </m:rPr>
              <m:t>u</m:t>
            </m:r>
            <m:r>
              <m:rPr>
                <m:sty m:val="p"/>
              </m:rPr>
              <m:t>r</m:t>
            </m:r>
            <m:r>
              <m:rPr>
                <m:sty m:val="p"/>
              </m:rPr>
              <m:t>r</m:t>
            </m:r>
          </m:sub>
        </m:sSub>
      </m:oMath>
      <w:r>
        <w:rPr>
          <w:rFonts w:ascii="Times New Roman" w:hAnsi="Times New Roman"/>
          <w:sz w:val="24"/>
        </w:rPr>
        <w:t xml:space="preserve">. Поправка измеряет превышение над конкретной нуль-моделью – гауссовым полем с тем же спектром – и не устраняет всех вкладов, не связанных с организацией поля; она отвечает и на критику родственного коэффициента амплитудной модуляции, отражающего главным образом линейное взаимодействие со средним потоком (Cui, Jacobi, 2025). В тексте и таблицах каждый раз указывается, какой из двух профилей используется. Все параметры процедуры зафиксированы до начала вычислений и едины для всех областей, источников данных и проверок.</w:t>
      </w:r>
    </w:p>
    <w:bookmarkEnd w:id="12"/>
    <w:bookmarkStart w:id="13" w:name="схема-статистического-вывода"/>
    <w:p>
      <w:pPr>
        <w:pStyle w:val="Heading2"/>
      </w:pPr>
      <w:r>
        <w:rPr>
          <w:rFonts w:ascii="Times New Roman" w:hAnsi="Times New Roman"/>
          <w:sz w:val="24"/>
        </w:rPr>
        <w:t xml:space="preserve">Схема статистического вывода</w:t>
      </w:r>
    </w:p>
    <w:p>
      <w:pPr>
        <w:pStyle w:val="FirstParagraph"/>
      </w:pPr>
      <w:r>
        <w:rPr>
          <w:rFonts w:ascii="Times New Roman" w:hAnsi="Times New Roman"/>
          <w:sz w:val="24"/>
        </w:rPr>
        <w:t xml:space="preserve">Единица вывода – регион-окно: медианное агрегирование по срокам сводит каждое сезонное окно области к одному вектору ступеней, так что внутриоконная временная зависимость сроков в статистику не входит. Профили стандартизуются по ступеням; статистика проверки – разность медианных попарных евклидовых расстояний между регионами и внутри регионов,</w:t>
      </w:r>
      <w:r>
        <w:rPr>
          <w:rFonts w:ascii="Times New Roman" w:hAnsi="Times New Roman"/>
          <w:sz w:val="24"/>
        </w:rPr>
        <w:t xml:space="preserve"> </w:t>
      </w:r>
      <m:oMath>
        <m:r>
          <m:rPr>
            <m:sty m:val="p"/>
          </m:rPr>
          <m:t>Δ</m:t>
        </m:r>
        <m:r>
          <m:rPr>
            <m:sty m:val="p"/>
          </m:rPr>
          <m:t>=</m:t>
        </m:r>
        <m:sSub>
          <m:e>
            <m:r>
              <m:rPr>
                <m:sty m:val="p"/>
              </m:rPr>
              <m:t>med</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rPr>
                <m:sty m:val="p"/>
              </m:rPr>
              <m:t>med</m:t>
            </m:r>
          </m:e>
          <m:sub>
            <m:r>
              <m:rPr>
                <m:sty m:val="p"/>
              </m:rPr>
              <m:t>w</m:t>
            </m:r>
            <m:r>
              <m:rPr>
                <m:sty m:val="p"/>
              </m:rPr>
              <m:t>i</m:t>
            </m:r>
            <m:r>
              <m:rPr>
                <m:sty m:val="p"/>
              </m:rPr>
              <m:t>t</m:t>
            </m:r>
            <m:r>
              <m:rPr>
                <m:sty m:val="p"/>
              </m:rPr>
              <m:t>h</m:t>
            </m:r>
            <m:r>
              <m:rPr>
                <m:sty m:val="p"/>
              </m:rPr>
              <m:t>i</m:t>
            </m:r>
            <m:r>
              <m:rPr>
                <m:sty m:val="p"/>
              </m:rPr>
              <m:t>n</m:t>
            </m:r>
          </m:sub>
        </m:sSub>
      </m:oMath>
      <w:r>
        <w:rPr>
          <w:rFonts w:ascii="Times New Roman" w:hAnsi="Times New Roman"/>
          <w:sz w:val="24"/>
        </w:rPr>
        <w:t xml:space="preserve">, в единицах стандартизованного пространства; она приводится рядом с</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как размер эффекта. Нуль-модель – 999 случайных переназначений региональных меток целым регион-окнам; минимально достижимое значение</w:t>
      </w:r>
      <w:r>
        <w:rPr>
          <w:rFonts w:ascii="Times New Roman" w:hAnsi="Times New Roman"/>
          <w:sz w:val="24"/>
        </w:rPr>
        <w:t xml:space="preserve"> </w:t>
      </w:r>
      <m:oMath>
        <m:r>
          <m:t>p</m:t>
        </m:r>
        <m:r>
          <m:rPr>
            <m:sty m:val="p"/>
          </m:rPr>
          <m:t>=</m:t>
        </m:r>
        <m:r>
          <m:t>0.001</m:t>
        </m:r>
      </m:oMath>
      <w:r>
        <w:rPr>
          <w:rFonts w:ascii="Times New Roman" w:hAnsi="Times New Roman"/>
          <w:sz w:val="24"/>
        </w:rPr>
        <w:t xml:space="preserve">. Попарные расстояния строятся из повторяющихся регион-окон и не являются независимыми наблюдениями; перестановочная схема это учитывает, поскольку переставляются метки окон, а не расстояния. Вклады факторов разделяются двумя способами: перестановками меток внутри страт одного фактора (сезона, года или периода), при которых окна сравниваются только с окнами тех же условий, и разложением дисперсии профиля по ступеням на межрегиональную и внутрирегиональную части с коэффициентом внутриклассовой корреляции (ICC). Число регион-окон – верхняя оценка числа независимых единиц, консервативная нижняя – число областей; поэтому ключевые утверждения дублируются проверкой на уровне целых областей. Для карты 39 областей, где соседние ячейки пространственно зависимы, неопределенность оценивается блочным бутстрепом по долготным секторам. Поправка на множественность не вводилась: каждая строка табл. 2 отвечает отдельной, заранее заявленной гипотезе; ключевые утверждения опираются на результаты с</w:t>
      </w:r>
      <w:r>
        <w:rPr>
          <w:rFonts w:ascii="Times New Roman" w:hAnsi="Times New Roman"/>
          <w:sz w:val="24"/>
        </w:rPr>
        <w:t xml:space="preserve"> </w:t>
      </w:r>
      <m:oMath>
        <m:r>
          <m:t>p</m:t>
        </m:r>
        <m:r>
          <m:rPr>
            <m:sty m:val="p"/>
          </m:rPr>
          <m:t>=</m:t>
        </m:r>
        <m:r>
          <m:t>0.001</m:t>
        </m:r>
      </m:oMath>
      <w:r>
        <w:rPr>
          <w:rFonts w:ascii="Times New Roman" w:hAnsi="Times New Roman"/>
          <w:sz w:val="24"/>
        </w:rPr>
        <w:t xml:space="preserve">.</w:t>
      </w:r>
    </w:p>
    <w:bookmarkEnd w:id="13"/>
    <w:bookmarkEnd w:id="14"/>
    <w:bookmarkStart w:id="19" w:name="результаты-исследования"/>
    <w:p>
      <w:pPr>
        <w:pStyle w:val="Heading1"/>
      </w:pPr>
      <w:r>
        <w:rPr>
          <w:rFonts w:ascii="Times New Roman" w:hAnsi="Times New Roman"/>
          <w:sz w:val="24"/>
        </w:rPr>
        <w:t xml:space="preserve">РЕЗУЛЬТАТЫ ИССЛЕДОВАНИЯ</w:t>
      </w:r>
    </w:p>
    <w:bookmarkStart w:id="15" w:name="X7caa1d164a2234a730b5a5333374593c8482e13"/>
    <w:p>
      <w:pPr>
        <w:pStyle w:val="Heading2"/>
      </w:pPr>
      <w:r>
        <w:rPr>
          <w:rFonts w:ascii="Times New Roman" w:hAnsi="Times New Roman"/>
          <w:sz w:val="24"/>
        </w:rPr>
        <w:t xml:space="preserve">Региональная группировка профилей воспроизводится между окнами</w:t>
      </w:r>
    </w:p>
    <w:p>
      <w:pPr>
        <w:pStyle w:val="FirstParagraph"/>
      </w:pPr>
      <w:r>
        <w:rPr>
          <w:rFonts w:ascii="Times New Roman" w:hAnsi="Times New Roman"/>
          <w:sz w:val="24"/>
        </w:rPr>
        <w:t xml:space="preserve">Профиль сопряженности убывает от мелких полос к крупным во всех областях, а скорость убывания и ступень основной потери связи различаются регионально (рис. 2). Региональная группировка подтверждается на 32 отложенных регион-окнах 2021–2022 гг. с большим размером эффекта:</w:t>
      </w:r>
      <w:r>
        <w:rPr>
          <w:rFonts w:ascii="Times New Roman" w:hAnsi="Times New Roman"/>
          <w:sz w:val="24"/>
        </w:rPr>
        <w:t xml:space="preserve"> </w:t>
      </w:r>
      <m:oMath>
        <m:r>
          <m:rPr>
            <m:sty m:val="p"/>
          </m:rPr>
          <m:t>Δ</m:t>
        </m:r>
        <m:r>
          <m:rPr>
            <m:sty m:val="p"/>
          </m:rPr>
          <m:t>=</m:t>
        </m:r>
        <m:r>
          <m:rPr>
            <m:sty m:val="p"/>
          </m:rPr>
          <m:t>+</m:t>
        </m:r>
        <m:r>
          <m:t>0.81</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w:t>
      </w:r>
      <w:r>
        <w:rPr>
          <w:rFonts w:ascii="Times New Roman" w:hAnsi="Times New Roman"/>
          <w:sz w:val="24"/>
        </w:rPr>
        <w:t xml:space="preserve">по ступеням 2–5 исходного профиля (табл. 2, строка 1; по ступеням 1–5</w:t>
      </w:r>
      <w:r>
        <w:rPr>
          <w:rFonts w:ascii="Times New Roman" w:hAnsi="Times New Roman"/>
          <w:sz w:val="24"/>
        </w:rPr>
        <w:t xml:space="preserve"> </w:t>
      </w:r>
      <m:oMath>
        <m:r>
          <m:rPr>
            <m:sty m:val="p"/>
          </m:rPr>
          <m:t>Δ</m:t>
        </m:r>
        <m:r>
          <m:rPr>
            <m:sty m:val="p"/>
          </m:rPr>
          <m:t>=</m:t>
        </m:r>
        <m:r>
          <m:rPr>
            <m:sty m:val="p"/>
          </m:rPr>
          <m:t>+</m:t>
        </m:r>
        <m:r>
          <m:t>1.18</m:t>
        </m:r>
      </m:oMath>
      <w:r>
        <w:rPr>
          <w:rFonts w:ascii="Times New Roman" w:hAnsi="Times New Roman"/>
          <w:sz w:val="24"/>
        </w:rPr>
        <w:t xml:space="preserve">). Окна одной области ближе друг к другу, чем окна разных областей, почти на единицу стандартизованного пространства.</w:t>
      </w:r>
    </w:p>
    <w:p>
      <w:pPr>
        <w:pStyle w:val="BodyText"/>
      </w:pPr>
      <w:r>
        <w:rPr>
          <w:rFonts w:ascii="Times New Roman" w:hAnsi="Times New Roman"/>
          <w:sz w:val="24"/>
        </w:rPr>
        <w:t xml:space="preserve">Группировка не является следствием совпадения сезона или года внутри области. При перестановках меток внутри страт сезона, года и периода на всех 96 регион-окнах</w:t>
      </w:r>
      <w:r>
        <w:rPr>
          <w:rFonts w:ascii="Times New Roman" w:hAnsi="Times New Roman"/>
          <w:sz w:val="24"/>
        </w:rPr>
        <w:t xml:space="preserve"> </w:t>
      </w:r>
      <m:oMath>
        <m:r>
          <m:rPr>
            <m:sty m:val="p"/>
          </m:rPr>
          <m:t>Δ</m:t>
        </m:r>
        <m:r>
          <m:rPr>
            <m:sty m:val="p"/>
          </m:rPr>
          <m:t>=</m:t>
        </m:r>
        <m:r>
          <m:rPr>
            <m:sty m:val="p"/>
          </m:rPr>
          <m:t>+</m:t>
        </m:r>
        <m:r>
          <m:t>1.00</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w:t>
      </w:r>
      <w:r>
        <w:rPr>
          <w:rFonts w:ascii="Times New Roman" w:hAnsi="Times New Roman"/>
          <w:sz w:val="24"/>
        </w:rPr>
        <w:t xml:space="preserve">для каждого из трех факторов (строка 2); если в статистику допускаются только пары окон из разных сезонов,</w:t>
      </w:r>
      <w:r>
        <w:rPr>
          <w:rFonts w:ascii="Times New Roman" w:hAnsi="Times New Roman"/>
          <w:sz w:val="24"/>
        </w:rPr>
        <w:t xml:space="preserve"> </w:t>
      </w:r>
      <m:oMath>
        <m:r>
          <m:rPr>
            <m:sty m:val="p"/>
          </m:rPr>
          <m:t>Δ</m:t>
        </m:r>
        <m:r>
          <m:rPr>
            <m:sty m:val="p"/>
          </m:rPr>
          <m:t>=</m:t>
        </m:r>
        <m:r>
          <m:rPr>
            <m:sty m:val="p"/>
          </m:rPr>
          <m:t>+</m:t>
        </m:r>
        <m:r>
          <m:t>0.37</m:t>
        </m:r>
      </m:oMath>
      <w:r>
        <w:rPr>
          <w:rFonts w:ascii="Times New Roman" w:hAnsi="Times New Roman"/>
          <w:sz w:val="24"/>
        </w:rPr>
        <w:t xml:space="preserve">, из разных лет –</w:t>
      </w:r>
      <w:r>
        <w:rPr>
          <w:rFonts w:ascii="Times New Roman" w:hAnsi="Times New Roman"/>
          <w:sz w:val="24"/>
        </w:rPr>
        <w:t xml:space="preserve"> </w:t>
      </w:r>
      <m:oMath>
        <m:r>
          <m:rPr>
            <m:sty m:val="p"/>
          </m:rPr>
          <m:t>+</m:t>
        </m:r>
        <m:r>
          <m:t>1.04</m:t>
        </m:r>
      </m:oMath>
      <w:r>
        <w:rPr>
          <w:rFonts w:ascii="Times New Roman" w:hAnsi="Times New Roman"/>
          <w:sz w:val="24"/>
        </w:rPr>
        <w:t xml:space="preserve">, из разных периодов –</w:t>
      </w:r>
      <w:r>
        <w:rPr>
          <w:rFonts w:ascii="Times New Roman" w:hAnsi="Times New Roman"/>
          <w:sz w:val="24"/>
        </w:rPr>
        <w:t xml:space="preserve"> </w:t>
      </w:r>
      <m:oMath>
        <m:r>
          <m:rPr>
            <m:sty m:val="p"/>
          </m:rPr>
          <m:t>+</m:t>
        </m:r>
        <m:r>
          <m:t>1.08</m:t>
        </m:r>
      </m:oMath>
      <w:r>
        <w:rPr>
          <w:rFonts w:ascii="Times New Roman" w:hAnsi="Times New Roman"/>
          <w:sz w:val="24"/>
        </w:rPr>
        <w:t xml:space="preserve"> </w:t>
      </w:r>
      <w:r>
        <w:rPr>
          <w:rFonts w:ascii="Times New Roman" w:hAnsi="Times New Roman"/>
          <w:sz w:val="24"/>
        </w:rPr>
        <w:t xml:space="preserve">(все</w:t>
      </w:r>
      <w:r>
        <w:rPr>
          <w:rFonts w:ascii="Times New Roman" w:hAnsi="Times New Roman"/>
          <w:sz w:val="24"/>
        </w:rPr>
        <w:t xml:space="preserve"> </w:t>
      </w:r>
      <m:oMath>
        <m:r>
          <m:t>p</m:t>
        </m:r>
        <m:r>
          <m:rPr>
            <m:sty m:val="p"/>
          </m:rPr>
          <m:t>=</m:t>
        </m:r>
        <m:r>
          <m:t>0.001</m:t>
        </m:r>
      </m:oMath>
      <w:r>
        <w:rPr>
          <w:rFonts w:ascii="Times New Roman" w:hAnsi="Times New Roman"/>
          <w:sz w:val="24"/>
        </w:rPr>
        <w:t xml:space="preserve">). Разложение дисперсии дает региону 0.61–0.70 дисперсии ступеней 2–5 (ICC 0.58–0.68), сезону внутри региона – 0.17–0.28, году и остатку – 0.03–0.16. Проверка на уровне целых областей, не зависящая от вопроса о числе независимых окон, дает тот же итог: ранговая корреляция географии профилей между двумя независимыми периодами ERA5 равна 0.95 по двенадцати областям (0.90 по восьми областям с периодами 2021–2022 и 2023–2024 гг.); это эмпирический ориентир межпериодной воспроизводимости, с которым далее сравниваются внешние источники.</w:t>
      </w:r>
    </w:p>
    <w:bookmarkEnd w:id="15"/>
    <w:bookmarkStart w:id="16" w:name="Xf35fd98bf0c5b56ac52114f31d7290424455f16"/>
    <w:p>
      <w:pPr>
        <w:pStyle w:val="Heading2"/>
      </w:pPr>
      <w:r>
        <w:rPr>
          <w:rFonts w:ascii="Times New Roman" w:hAnsi="Times New Roman"/>
          <w:sz w:val="24"/>
        </w:rPr>
        <w:t xml:space="preserve">Группировка сохраняется на разрешенных ступенях и при равновеликой нарезке</w:t>
      </w:r>
    </w:p>
    <w:p>
      <w:pPr>
        <w:pStyle w:val="FirstParagraph"/>
      </w:pPr>
      <w:r>
        <w:rPr>
          <w:rFonts w:ascii="Times New Roman" w:hAnsi="Times New Roman"/>
          <w:sz w:val="24"/>
        </w:rPr>
        <w:t xml:space="preserve">Тонкие полосы лестницы лежат ниже эффективного разрешения реанализа, и их значения могли бы отражать свойства численной диссипации модели. Ограничение разрешенными ступенями 4–5 сохраняет сигнатуру на отложенных окнах:</w:t>
      </w:r>
      <w:r>
        <w:rPr>
          <w:rFonts w:ascii="Times New Roman" w:hAnsi="Times New Roman"/>
          <w:sz w:val="24"/>
        </w:rPr>
        <w:t xml:space="preserve"> </w:t>
      </w:r>
      <m:oMath>
        <m:r>
          <m:rPr>
            <m:sty m:val="p"/>
          </m:rPr>
          <m:t>Δ</m:t>
        </m:r>
        <m:r>
          <m:rPr>
            <m:sty m:val="p"/>
          </m:rPr>
          <m:t>=</m:t>
        </m:r>
        <m:r>
          <m:rPr>
            <m:sty m:val="p"/>
          </m:rPr>
          <m:t>+</m:t>
        </m:r>
        <m:r>
          <m:t>0.52</m:t>
        </m:r>
      </m:oMath>
      <w:r>
        <w:rPr>
          <w:rFonts w:ascii="Times New Roman" w:hAnsi="Times New Roman"/>
          <w:sz w:val="24"/>
        </w:rPr>
        <w:t xml:space="preserve">,</w:t>
      </w:r>
      <w:r>
        <w:rPr>
          <w:rFonts w:ascii="Times New Roman" w:hAnsi="Times New Roman"/>
          <w:sz w:val="24"/>
        </w:rPr>
        <w:t xml:space="preserve"> </w:t>
      </w:r>
      <m:oMath>
        <m:r>
          <m:t>p</m:t>
        </m:r>
        <m:r>
          <m:rPr>
            <m:sty m:val="p"/>
          </m:rPr>
          <m:t>=</m:t>
        </m:r>
        <m:r>
          <m:t>0.002</m:t>
        </m:r>
      </m:oMath>
      <w:r>
        <w:rPr>
          <w:rFonts w:ascii="Times New Roman" w:hAnsi="Times New Roman"/>
          <w:sz w:val="24"/>
        </w:rPr>
        <w:t xml:space="preserve">; только ступень 5 –</w:t>
      </w:r>
      <w:r>
        <w:rPr>
          <w:rFonts w:ascii="Times New Roman" w:hAnsi="Times New Roman"/>
          <w:sz w:val="24"/>
        </w:rPr>
        <w:t xml:space="preserve"> </w:t>
      </w:r>
      <m:oMath>
        <m:r>
          <m:rPr>
            <m:sty m:val="p"/>
          </m:rPr>
          <m:t>Δ</m:t>
        </m:r>
        <m:r>
          <m:rPr>
            <m:sty m:val="p"/>
          </m:rPr>
          <m:t>=</m:t>
        </m:r>
        <m:r>
          <m:rPr>
            <m:sty m:val="p"/>
          </m:rPr>
          <m:t>+</m:t>
        </m:r>
        <m:r>
          <m:t>0.54</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регионально зависимый выбор (ступень 5 в тропиках, 4–5 вне тропиков) –</w:t>
      </w:r>
      <w:r>
        <w:rPr>
          <w:rFonts w:ascii="Times New Roman" w:hAnsi="Times New Roman"/>
          <w:sz w:val="24"/>
        </w:rPr>
        <w:t xml:space="preserve"> </w:t>
      </w:r>
      <m:oMath>
        <m:r>
          <m:rPr>
            <m:sty m:val="p"/>
          </m:rPr>
          <m:t>Δ</m:t>
        </m:r>
        <m:r>
          <m:rPr>
            <m:sty m:val="p"/>
          </m:rPr>
          <m:t>=</m:t>
        </m:r>
        <m:r>
          <m:rPr>
            <m:sty m:val="p"/>
          </m:rPr>
          <m:t>+</m:t>
        </m:r>
        <m:r>
          <m:t>0.53</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w:t>
      </w:r>
      <w:r>
        <w:rPr>
          <w:rFonts w:ascii="Times New Roman" w:hAnsi="Times New Roman"/>
          <w:sz w:val="24"/>
        </w:rPr>
        <w:t xml:space="preserve">(строка 3 и текст).</w:t>
      </w:r>
    </w:p>
    <w:p>
      <w:pPr>
        <w:pStyle w:val="BodyText"/>
      </w:pPr>
      <w:r>
        <w:rPr>
          <w:rFonts w:ascii="Times New Roman" w:hAnsi="Times New Roman"/>
          <w:sz w:val="24"/>
        </w:rPr>
        <w:t xml:space="preserve">Градусные области имеют широтно-зависимые километровые размеры, и часть межрегиональных различий могла быть картографическим отпечатком. Контроль конструкцией: те же двенадцать регионов заново нарезаны равновеликими областями</w:t>
      </w:r>
      <w:r>
        <w:rPr>
          <w:rFonts w:ascii="Times New Roman" w:hAnsi="Times New Roman"/>
          <w:sz w:val="24"/>
        </w:rPr>
        <w:t xml:space="preserve"> </w:t>
      </w:r>
      <m:oMath>
        <m:r>
          <m:t>2000</m:t>
        </m:r>
        <m:r>
          <m:rPr>
            <m:sty m:val="p"/>
          </m:rPr>
          <m:t>×</m:t>
        </m:r>
        <m:r>
          <m:t>2800</m:t>
        </m:r>
      </m:oMath>
      <w:r>
        <w:rPr>
          <w:rFonts w:ascii="Times New Roman" w:hAnsi="Times New Roman"/>
          <w:sz w:val="24"/>
        </w:rPr>
        <w:t xml:space="preserve"> </w:t>
      </w:r>
      <w:r>
        <w:rPr>
          <w:rFonts w:ascii="Times New Roman" w:hAnsi="Times New Roman"/>
          <w:sz w:val="24"/>
        </w:rPr>
        <w:t xml:space="preserve">км (те же центры), и вся последовательность операций, включая построение суррогатов, повторена на 48 основных и 32 отложенных регион-окнах. При такой нарезке группировка профиля с суррогатной поправкой</w:t>
      </w:r>
      <w:r>
        <w:rPr>
          <w:rFonts w:ascii="Times New Roman" w:hAnsi="Times New Roman"/>
          <w:sz w:val="24"/>
        </w:rPr>
        <w:t xml:space="preserve"> </w:t>
      </w:r>
      <m:oMath>
        <m:acc>
          <m:accPr>
            <m:chr m:val="̃"/>
          </m:accPr>
          <m:e>
            <m:r>
              <m:t>P</m:t>
            </m:r>
          </m:e>
        </m:acc>
      </m:oMath>
      <w:r>
        <w:rPr>
          <w:rFonts w:ascii="Times New Roman" w:hAnsi="Times New Roman"/>
          <w:sz w:val="24"/>
        </w:rPr>
        <w:t xml:space="preserve"> </w:t>
      </w:r>
      <w:r>
        <w:rPr>
          <w:rFonts w:ascii="Times New Roman" w:hAnsi="Times New Roman"/>
          <w:sz w:val="24"/>
        </w:rPr>
        <w:t xml:space="preserve">сохраняется (</w:t>
      </w:r>
      <m:oMath>
        <m:r>
          <m:rPr>
            <m:sty m:val="p"/>
          </m:rPr>
          <m:t>Δ</m:t>
        </m:r>
        <m:r>
          <m:rPr>
            <m:sty m:val="p"/>
          </m:rPr>
          <m:t>=</m:t>
        </m:r>
        <m:r>
          <m:rPr>
            <m:sty m:val="p"/>
          </m:rPr>
          <m:t>+</m:t>
        </m:r>
        <m:r>
          <m:t>0.75</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rPr>
            <m:sty m:val="p"/>
          </m:rPr>
          <m:t>+</m:t>
        </m:r>
        <m:r>
          <m:t>1.03</m:t>
        </m:r>
      </m:oMath>
      <w:r>
        <w:rPr>
          <w:rFonts w:ascii="Times New Roman" w:hAnsi="Times New Roman"/>
          <w:sz w:val="24"/>
        </w:rPr>
        <w:t xml:space="preserve"> </w:t>
      </w:r>
      <w:r>
        <w:rPr>
          <w:rFonts w:ascii="Times New Roman" w:hAnsi="Times New Roman"/>
          <w:sz w:val="24"/>
        </w:rPr>
        <w:t xml:space="preserve">по ступеням 2–5, оба</w:t>
      </w:r>
      <w:r>
        <w:rPr>
          <w:rFonts w:ascii="Times New Roman" w:hAnsi="Times New Roman"/>
          <w:sz w:val="24"/>
        </w:rPr>
        <w:t xml:space="preserve"> </w:t>
      </w:r>
      <m:oMath>
        <m:r>
          <m:t>p</m:t>
        </m:r>
        <m:r>
          <m:rPr>
            <m:sty m:val="p"/>
          </m:rPr>
          <m:t>=</m:t>
        </m:r>
        <m:r>
          <m:t>0.001</m:t>
        </m:r>
      </m:oMath>
      <w:r>
        <w:rPr>
          <w:rFonts w:ascii="Times New Roman" w:hAnsi="Times New Roman"/>
          <w:sz w:val="24"/>
        </w:rPr>
        <w:t xml:space="preserve">; строка 4), а география профилей при смене нарезки воспроизводится (объединенная ранговая корреляция</w:t>
      </w:r>
      <w:r>
        <w:rPr>
          <w:rFonts w:ascii="Times New Roman" w:hAnsi="Times New Roman"/>
          <w:sz w:val="24"/>
        </w:rPr>
        <w:t xml:space="preserve"> </w:t>
      </w:r>
      <w:r>
        <w:rPr>
          <w:rFonts w:ascii="Times New Roman" w:hAnsi="Times New Roman"/>
          <w:sz w:val="24"/>
        </w:rPr>
        <w:t xml:space="preserve">“градусы–километры”</w:t>
      </w:r>
      <w:r>
        <w:rPr>
          <w:rFonts w:ascii="Times New Roman" w:hAnsi="Times New Roman"/>
          <w:sz w:val="24"/>
        </w:rPr>
        <w:t xml:space="preserve"> </w:t>
      </w:r>
      <w:r>
        <w:rPr>
          <w:rFonts w:ascii="Times New Roman" w:hAnsi="Times New Roman"/>
          <w:sz w:val="24"/>
        </w:rPr>
        <w:t xml:space="preserve">0.95; по отдельным регионам 0.70–1.00; рис. П2 дополнительных материалов). Замена октавной лестницы на лестницу, масштабированную локальным радиусом деформации, и вариация протяженности областей на</w:t>
      </w:r>
      <w:r>
        <w:rPr>
          <w:rFonts w:ascii="Times New Roman" w:hAnsi="Times New Roman"/>
          <w:sz w:val="24"/>
        </w:rPr>
        <w:t xml:space="preserve"> </w:t>
      </w:r>
      <m:oMath>
        <m:r>
          <m:rPr>
            <m:sty m:val="p"/>
          </m:rPr>
          <m:t>±</m:t>
        </m:r>
        <m:r>
          <m:t>10</m:t>
        </m:r>
        <m:r>
          <m:rPr>
            <m:sty m:val="p"/>
          </m:rPr>
          <m:t>%</m:t>
        </m:r>
      </m:oMath>
      <w:r>
        <w:rPr>
          <w:rFonts w:ascii="Times New Roman" w:hAnsi="Times New Roman"/>
          <w:sz w:val="24"/>
        </w:rPr>
        <w:t xml:space="preserve"> </w:t>
      </w:r>
      <w:r>
        <w:rPr>
          <w:rFonts w:ascii="Times New Roman" w:hAnsi="Times New Roman"/>
          <w:sz w:val="24"/>
        </w:rPr>
        <w:t xml:space="preserve">результата не меняют (дополнительные материалы, П2).</w:t>
      </w:r>
    </w:p>
    <w:p>
      <w:pPr>
        <w:pStyle w:val="BodyText"/>
      </w:pPr>
      <w:r>
        <w:rPr>
          <w:rFonts w:ascii="Times New Roman" w:hAnsi="Times New Roman"/>
          <w:sz w:val="24"/>
        </w:rPr>
        <w:t xml:space="preserve">Отдельный вопрос – содержит ли профиль информацию сверх спектра мощности поля, который сам по себе различает регионы сильнее профиля. Группировка регрессионных остатков профиля по спектральным признакам воспроизводится на одних выборках и отсутствует на других (дополнительные материалы, П4); утверждение об информации сверх спектра в настоящей работе поэтому не делается и оставлено как открытый вопрос второй статьи серии.</w:t>
      </w:r>
    </w:p>
    <w:bookmarkEnd w:id="16"/>
    <w:bookmarkStart w:id="17" w:name="Xdf891d5aa731869597658ac13828a0f9dcccd63"/>
    <w:p>
      <w:pPr>
        <w:pStyle w:val="Heading2"/>
      </w:pPr>
      <w:r>
        <w:rPr>
          <w:rFonts w:ascii="Times New Roman" w:hAnsi="Times New Roman"/>
          <w:sz w:val="24"/>
        </w:rPr>
        <w:t xml:space="preserve">География воспроизводится во втором реанализе и в свободном модельном расчете</w:t>
      </w:r>
    </w:p>
    <w:p>
      <w:pPr>
        <w:pStyle w:val="FirstParagraph"/>
      </w:pPr>
      <w:r>
        <w:rPr>
          <w:rFonts w:ascii="Times New Roman" w:hAnsi="Times New Roman"/>
          <w:sz w:val="24"/>
        </w:rPr>
        <w:t xml:space="preserve">Реанализ восстанавливает состояние атмосферы моделью, усваивающей наблюдения, и плотность наблюдений неоднородна; не отражает ли региональная география размещение станций и спутниковых треков? Первая проверка – второй реанализ MERRA-2 (Gelaro et al., 2017), построенный на другой модели общей циркуляции и другой системе усвоения; его сетка не разрешает полос мельче 200 км, поэтому сопоставление ведется по разрешенным ступеням, а узлы под рельефом (34% в Центральной Азии, 7% на юге Южной Америки) исключены так же, как в ERA5. Региональная сигнатура воспроизводится в MERRA-2 с тем же размером эффекта, что и на отложенных окнах ERA5 (</w:t>
      </w:r>
      <m:oMath>
        <m:r>
          <m:rPr>
            <m:sty m:val="p"/>
          </m:rPr>
          <m:t>Δ</m:t>
        </m:r>
        <m:r>
          <m:rPr>
            <m:sty m:val="p"/>
          </m:rPr>
          <m:t>=</m:t>
        </m:r>
        <m:r>
          <m:rPr>
            <m:sty m:val="p"/>
          </m:rPr>
          <m:t>+</m:t>
        </m:r>
        <m:r>
          <m:t>1.09</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48 регион-окон 2023–2024 гг.), а региональная география совпадает с ERA5 с ранговой корреляцией 0.77 по двенадцати областям (</w:t>
      </w:r>
      <m:oMath>
        <m:r>
          <m:t>p</m:t>
        </m:r>
        <m:r>
          <m:rPr>
            <m:sty m:val="p"/>
          </m:rPr>
          <m:t>=</m:t>
        </m:r>
        <m:r>
          <m:t>0.003</m:t>
        </m:r>
      </m:oMath>
      <w:r>
        <w:rPr>
          <w:rFonts w:ascii="Times New Roman" w:hAnsi="Times New Roman"/>
          <w:sz w:val="24"/>
        </w:rPr>
        <w:t xml:space="preserve">; строка 5). Обе статистики описательные (протокол межреанализной проверки был заморожен для другой величины программы), а проверка квазинезависима: оба реанализа усваивают в основном одни и те же наблюдения (Gelaro et al., 2017; Hersbach et al., 2020).</w:t>
      </w:r>
    </w:p>
    <w:p>
      <w:pPr>
        <w:pStyle w:val="BodyText"/>
      </w:pPr>
      <w:r>
        <w:rPr>
          <w:rFonts w:ascii="Times New Roman" w:hAnsi="Times New Roman"/>
          <w:sz w:val="24"/>
        </w:rPr>
        <w:t xml:space="preserve">Наиболее сильный из представленных контролей – расчет без усвоения. В эксперименте highresSST-present проекта HighResMIP (Haarsma et al., 2016) модель ECMWF-IFS-HR (Roberts et al., 2018) интегрируется свободно при заданной наблюдаемой температуре поверхности океана и не получает атмосферных наблюдений. Использованы сезонные окна 2014 г. – последнего года эксперимента, поэтому сопоставление с окнами ERA5 2017–2024 гг. по построению климатологическое. Если бы география сопряженности была отпечатком сети, в таком расчете она бы отсутствовала. По 39 областям география свободного расчета воспроизводит географию ERA5 с ранговой корреляцией</w:t>
      </w:r>
      <w:r>
        <w:rPr>
          <w:rFonts w:ascii="Times New Roman" w:hAnsi="Times New Roman"/>
          <w:sz w:val="24"/>
        </w:rPr>
        <w:t xml:space="preserve"> </w:t>
      </w:r>
      <m:oMath>
        <m:r>
          <m:t>ρ</m:t>
        </m:r>
        <m:r>
          <m:rPr>
            <m:sty m:val="p"/>
          </m:rPr>
          <m:t>=</m:t>
        </m:r>
        <m:r>
          <m:t>0.72</m:t>
        </m:r>
      </m:oMath>
      <w:r>
        <w:rPr>
          <w:rFonts w:ascii="Times New Roman" w:hAnsi="Times New Roman"/>
          <w:sz w:val="24"/>
        </w:rPr>
        <w:t xml:space="preserve"> </w:t>
      </w:r>
      <w:r>
        <w:rPr>
          <w:rFonts w:ascii="Times New Roman" w:hAnsi="Times New Roman"/>
          <w:sz w:val="24"/>
        </w:rPr>
        <w:t xml:space="preserve">(</w:t>
      </w:r>
      <m:oMath>
        <m:r>
          <m:t>p</m:t>
        </m:r>
        <m:r>
          <m:rPr>
            <m:sty m:val="p"/>
          </m:rPr>
          <m:t>=</m:t>
        </m:r>
        <m:r>
          <m:t>0.001</m:t>
        </m:r>
      </m:oMath>
      <w:r>
        <w:rPr>
          <w:rFonts w:ascii="Times New Roman" w:hAnsi="Times New Roman"/>
          <w:sz w:val="24"/>
        </w:rPr>
        <w:t xml:space="preserve">; 90%-й интервал блочного бутстрепа по долготным секторам 0.58–0.82; рис. 3; строка 6) при ориентире межпериодной воспроизводимости самого ERA5 0.90–0.95. Недостача ожидаема, поскольку свободный расчет воспроизводит климатологию режимов, тогда как окна ERA5 относятся к конкретным годам. Наблюдаемая региональная структура, таким образом, не может быть объяснена только устройством сети наблюдений или процедурой их усвоения. Полной независимости от всего, что модель разделяет с реанализом, один расчет установить не может: общими остаются заданная температура океана, родственные параметризации и близкое эффективное разрешение.</w:t>
      </w:r>
    </w:p>
    <w:bookmarkEnd w:id="17"/>
    <w:bookmarkStart w:id="18" w:name="география-сопряженности"/>
    <w:p>
      <w:pPr>
        <w:pStyle w:val="Heading2"/>
      </w:pPr>
      <w:r>
        <w:rPr>
          <w:rFonts w:ascii="Times New Roman" w:hAnsi="Times New Roman"/>
          <w:sz w:val="24"/>
        </w:rPr>
        <w:t xml:space="preserve">География сопряженности</w:t>
      </w:r>
    </w:p>
    <w:p>
      <w:pPr>
        <w:pStyle w:val="FirstParagraph"/>
      </w:pPr>
      <w:r>
        <w:rPr>
          <w:rFonts w:ascii="Times New Roman" w:hAnsi="Times New Roman"/>
          <w:sz w:val="24"/>
        </w:rPr>
        <w:t xml:space="preserve">Среднее значение исходного профиля по разрешенным ступеням 4–5 меняется по 39 областям от 0.51 (ячейка над Индонезийским архипелагом) до 0.73 (теплый бассейн запада тропической части Тихого океана; рис. 4). По двенадцати основным областям (медианы по восьми сезонным окнам) порядок таков: теплый бассейн Тихого океана 0.73, бассейн Конго 0.70, Северная Атлантика 0.69, Южная Атлантика 0.67, север Тихого океана 0.65, юг Южной Америки 0.62, Индийский океан 0.59, Центральная Азия 0.57, Австралия 0.57, Южно-Тихоокеанская зона конвергенции 0.56, Европа 0.56, Амазония 0.53. Высокие значения дают, с одной стороны, внетропические штормовые пути обоих полушарий, с другой – два очага глубокой конвекции: теплый бассейн и бассейн Конго; низкие – континентальные области умеренного пояса и Амазония. На более тонких ступенях 2–3 профиля с суррогатной поправкой (равновеликие области) порядок близок: бассейн Конго 0.39, север Тихого океана 0.38, теплый бассейн 0.38, Северная Атлантика 0.37, Южная Атлантика 0.36, …, Европа 0.31, Амазония 0.29. Общая формулировка: океанические области и бассейн Конго – выше, континентальные области умеренного пояса и Амазония – ниже; простого деления по режиму увлажнения география не следует. Содержательное объяснение составляет предмет второй статьи серии; здесь фиксируется воспроизводимый рисунок.</w:t>
      </w:r>
    </w:p>
    <w:p>
      <w:pPr>
        <w:pStyle w:val="BodyText"/>
      </w:pPr>
      <w:r>
        <w:rPr>
          <w:rFonts w:ascii="Times New Roman" w:hAnsi="Times New Roman"/>
          <w:sz w:val="24"/>
        </w:rPr>
        <w:t xml:space="preserve">Прочтение величины прямое. Высокое значение ступени означает, что мезомасштабная активность размещается там же, где активен соседний крупный уровень: по карте крупного уровня можно указать, где в этот срок сосредоточен мезомасштаб. Низкое значение означает, что та же пара уровней распределена почти безразлично. Сравнение режимов возможно потому, что величина нечувствительна к общей интенсивности циркуляции: различие фиксируется в организации поля, а не в его амплитуде.</w:t>
      </w:r>
    </w:p>
    <w:p>
      <w:pPr>
        <w:pStyle w:val="BodyText"/>
      </w:pPr>
      <w:r>
        <w:rPr>
          <w:rFonts w:ascii="Times New Roman" w:hAnsi="Times New Roman"/>
          <w:i/>
          <w:iCs/>
          <w:sz w:val="24"/>
        </w:rPr>
        <w:t xml:space="preserve">Конго и Амазония.</w:t>
      </w:r>
      <w:r>
        <w:rPr>
          <w:rFonts w:ascii="Times New Roman" w:hAnsi="Times New Roman"/>
          <w:sz w:val="24"/>
        </w:rPr>
        <w:t xml:space="preserve"> </w:t>
      </w:r>
      <w:r>
        <w:rPr>
          <w:rFonts w:ascii="Times New Roman" w:hAnsi="Times New Roman"/>
          <w:sz w:val="24"/>
        </w:rPr>
        <w:t xml:space="preserve">Показательный случай – два очага глубокой конвекции над сушей в близких широтах, единственные два региона этого режима в заранее заданном наборе, так что пара не является результатом перебора вариантов. При сходном режиме увлажнения бассейны обнаруживают качественно различное устройство межуровневых связей (рис. 5). Различие сосредоточено на верхней ступени профиля: медиана по восьми сезонным окнам составляет</w:t>
      </w:r>
      <w:r>
        <w:rPr>
          <w:rFonts w:ascii="Times New Roman" w:hAnsi="Times New Roman"/>
          <w:sz w:val="24"/>
        </w:rPr>
        <w:t xml:space="preserve"> </w:t>
      </w:r>
      <m:oMath>
        <m:sSub>
          <m:e>
            <m:r>
              <m:t>ρ</m:t>
            </m:r>
          </m:e>
          <m:sub>
            <m:r>
              <m:t>5</m:t>
            </m:r>
          </m:sub>
        </m:sSub>
        <m:r>
          <m:rPr>
            <m:sty m:val="p"/>
          </m:rPr>
          <m:t>=</m:t>
        </m:r>
        <m:r>
          <m:t>0.72</m:t>
        </m:r>
      </m:oMath>
      <w:r>
        <w:rPr>
          <w:rFonts w:ascii="Times New Roman" w:hAnsi="Times New Roman"/>
          <w:sz w:val="24"/>
        </w:rPr>
        <w:t xml:space="preserve"> </w:t>
      </w:r>
      <w:r>
        <w:rPr>
          <w:rFonts w:ascii="Times New Roman" w:hAnsi="Times New Roman"/>
          <w:sz w:val="24"/>
        </w:rPr>
        <w:t xml:space="preserve">против</w:t>
      </w:r>
      <w:r>
        <w:rPr>
          <w:rFonts w:ascii="Times New Roman" w:hAnsi="Times New Roman"/>
          <w:sz w:val="24"/>
        </w:rPr>
        <w:t xml:space="preserve"> </w:t>
      </w:r>
      <m:oMath>
        <m:r>
          <m:t>0.44</m:t>
        </m:r>
      </m:oMath>
      <w:r>
        <w:rPr>
          <w:rFonts w:ascii="Times New Roman" w:hAnsi="Times New Roman"/>
          <w:sz w:val="24"/>
        </w:rPr>
        <w:t xml:space="preserve">, причем размахи по окнам – 0.59–0.82 и 0.38–0.54 – не перекрываются; на четвертой ступени различие медиан 0.09. Контраст устойчив к геометрии выборки: для профиля с суррогатной поправкой при переходе от градусных к равновеликим областям он сужается с 0.24 до 0.14, сохраняя знак. У тропических океанических областей</w:t>
      </w:r>
      <w:r>
        <w:rPr>
          <w:rFonts w:ascii="Times New Roman" w:hAnsi="Times New Roman"/>
          <w:sz w:val="24"/>
        </w:rPr>
        <w:t xml:space="preserve"> </w:t>
      </w:r>
      <m:oMath>
        <m:sSub>
          <m:e>
            <m:r>
              <m:t>ρ</m:t>
            </m:r>
          </m:e>
          <m:sub>
            <m:r>
              <m:t>5</m:t>
            </m:r>
          </m:sub>
        </m:sSub>
      </m:oMath>
      <w:r>
        <w:rPr>
          <w:rFonts w:ascii="Times New Roman" w:hAnsi="Times New Roman"/>
          <w:sz w:val="24"/>
        </w:rPr>
        <w:t xml:space="preserve"> </w:t>
      </w:r>
      <w:r>
        <w:rPr>
          <w:rFonts w:ascii="Times New Roman" w:hAnsi="Times New Roman"/>
          <w:sz w:val="24"/>
        </w:rPr>
        <w:t xml:space="preserve">занимает промежуточные значения (0.53–0.69), так что контраст не является краем распределения. В бассейне Конго очаги мезомасштабной активности размещаются там же, где активен соседний крупный уровень; в Амазонии та же пара уровней распределена почти безразлично (рис. 5, панели 3 и 6: совместное распределение рангов по всем срокам окна). Пара не свободна от неконтролируемых различий – сезонность осадков, орографическое окружение (в бассейне Конго 7% узлов лежат под рельефом) и антропогенные изменения растительного покрова, – поэтому пример демонстрирует различительную способность дескриптора, а механизм различия здесь не устанавливается. Для районирования это означает, что две территории, попадающие в один класс по стандартным характеристикам режима, разделяются по устройству межуровневых связей.</w:t>
      </w:r>
    </w:p>
    <w:bookmarkEnd w:id="18"/>
    <w:bookmarkEnd w:id="19"/>
    <w:bookmarkStart w:id="22" w:name="обсуждение-результатов"/>
    <w:p>
      <w:pPr>
        <w:pStyle w:val="Heading1"/>
      </w:pPr>
      <w:r>
        <w:rPr>
          <w:rFonts w:ascii="Times New Roman" w:hAnsi="Times New Roman"/>
          <w:sz w:val="24"/>
        </w:rPr>
        <w:t xml:space="preserve">ОБСУЖДЕНИЕ РЕЗУЛЬТАТОВ</w:t>
      </w:r>
    </w:p>
    <w:bookmarkStart w:id="20" w:name="что-измеряет-величина"/>
    <w:p>
      <w:pPr>
        <w:pStyle w:val="Heading2"/>
      </w:pPr>
      <w:r>
        <w:rPr>
          <w:rFonts w:ascii="Times New Roman" w:hAnsi="Times New Roman"/>
          <w:sz w:val="24"/>
        </w:rPr>
        <w:t xml:space="preserve">Что измеряет величина</w:t>
      </w:r>
    </w:p>
    <w:p>
      <w:pPr>
        <w:pStyle w:val="FirstParagraph"/>
      </w:pPr>
      <w:r>
        <w:rPr>
          <w:rFonts w:ascii="Times New Roman" w:hAnsi="Times New Roman"/>
          <w:sz w:val="24"/>
        </w:rPr>
        <w:t xml:space="preserve">Дескриптор должен измерять заявленное: насколько размещение мелкого уровня пространственно сопряжено с размещением соседнего крупного. Независимая информационная мера – невосстановимость размещения</w:t>
      </w:r>
      <w:r>
        <w:rPr>
          <w:rFonts w:ascii="Times New Roman" w:hAnsi="Times New Roman"/>
          <w:sz w:val="24"/>
        </w:rPr>
        <w:t xml:space="preserve"> </w:t>
      </w:r>
      <m:oMath>
        <m:r>
          <m:t>u</m:t>
        </m:r>
      </m:oMath>
      <w:r>
        <w:rPr>
          <w:rFonts w:ascii="Times New Roman" w:hAnsi="Times New Roman"/>
          <w:sz w:val="24"/>
        </w:rPr>
        <w:t xml:space="preserve">, построенная на нормированной взаимной информации рангов двух карт активности (дополнительные материалы, П3), – связана с профилем тесно и отрицательно (</w:t>
      </w:r>
      <m:oMath>
        <m:r>
          <m:t>ρ</m:t>
        </m:r>
        <m:r>
          <m:rPr>
            <m:sty m:val="p"/>
          </m:rPr>
          <m:t>=</m:t>
        </m:r>
        <m:r>
          <m:rPr>
            <m:sty m:val="p"/>
          </m:rPr>
          <m:t>−</m:t>
        </m:r>
        <m:r>
          <m:t>0.86</m:t>
        </m:r>
      </m:oMath>
      <w:r>
        <w:rPr>
          <w:rFonts w:ascii="Times New Roman" w:hAnsi="Times New Roman"/>
          <w:sz w:val="24"/>
        </w:rPr>
        <w:t xml:space="preserve"> </w:t>
      </w:r>
      <w:r>
        <w:rPr>
          <w:rFonts w:ascii="Times New Roman" w:hAnsi="Times New Roman"/>
          <w:sz w:val="24"/>
        </w:rPr>
        <w:t xml:space="preserve">по 39 областям), тогда как связь профиля с амплитудой полос и с временной устойчивостью карт активности практически отсутствует (</w:t>
      </w:r>
      <m:oMath>
        <m:r>
          <m:t>ρ</m:t>
        </m:r>
        <m:r>
          <m:rPr>
            <m:sty m:val="p"/>
          </m:rPr>
          <m:t>=</m:t>
        </m:r>
        <m:r>
          <m:rPr>
            <m:sty m:val="p"/>
          </m:rPr>
          <m:t>+</m:t>
        </m:r>
        <m:r>
          <m:t>0.13</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rPr>
            <m:sty m:val="p"/>
          </m:rPr>
          <m:t>+</m:t>
        </m:r>
        <m:r>
          <m:t>0.06</m:t>
        </m:r>
      </m:oMath>
      <w:r>
        <w:rPr>
          <w:rFonts w:ascii="Times New Roman" w:hAnsi="Times New Roman"/>
          <w:sz w:val="24"/>
        </w:rPr>
        <w:t xml:space="preserve">). Профиль, таким образом, является сводкой именно совместного размещения активности соседних уровней, а не тенью амплитуды или инерции поля. Направления влияния он не устанавливает: та же сопряженность совместима и с тем, что крупный уровень задает размещение мелкого, и с обратным, и с общей причиной.</w:t>
      </w:r>
    </w:p>
    <w:bookmarkEnd w:id="20"/>
    <w:bookmarkStart w:id="21" w:name="чего-она-не-измеряет"/>
    <w:p>
      <w:pPr>
        <w:pStyle w:val="Heading2"/>
      </w:pPr>
      <w:r>
        <w:rPr>
          <w:rFonts w:ascii="Times New Roman" w:hAnsi="Times New Roman"/>
          <w:sz w:val="24"/>
        </w:rPr>
        <w:t xml:space="preserve">Чего она не измеряет</w:t>
      </w:r>
    </w:p>
    <w:p>
      <w:pPr>
        <w:pStyle w:val="FirstParagraph"/>
      </w:pPr>
      <w:r>
        <w:rPr>
          <w:rFonts w:ascii="Times New Roman" w:hAnsi="Times New Roman"/>
          <w:sz w:val="24"/>
        </w:rPr>
        <w:t xml:space="preserve">Границы применимости установлены прямыми проверками (табл. 3; полный перечень – в дополнительных материалах, П4). Дескриптор не измеряет межмасштабный поток кинетической энергии: сопоставление с потоком, вычисленным методом пространственного огрубления (Aluie et al., 2018; Germano, 1992), объясняет доли процента его изменчивости. Вертикальная универсальность (уровень 500 гПа) не подтверждена. Прикладные гипотезы – о связи дескриптора с ростом ошибки прогноза, с мезомасштабной ошибкой анализа и с потерей мезомасштаба в нейросетевых моделях погоды (Bi et al., 2023; Lam et al., 2023; Price et al., 2025; Rasp et al., 2024) – не подтвердились: в каждом случае сильнее оказалась простая характеристика фонового состояния. Утверждение об инвариантности, таким образом, ограничено полем, уровнем, масштабами и периодом, перечисленными в постановке; работа не утверждает, что найден универсальный инвариант атмосферной динамики, самостоятельная динамическая переменная или мера межмасштабного переноса.</w:t>
      </w:r>
    </w:p>
    <w:bookmarkEnd w:id="21"/>
    <w:bookmarkEnd w:id="22"/>
    <w:bookmarkStart w:id="23" w:name="заключение"/>
    <w:p>
      <w:pPr>
        <w:pStyle w:val="Heading1"/>
      </w:pPr>
      <w:r>
        <w:rPr>
          <w:rFonts w:ascii="Times New Roman" w:hAnsi="Times New Roman"/>
          <w:sz w:val="24"/>
        </w:rPr>
        <w:t xml:space="preserve">ЗАКЛЮЧЕНИЕ</w:t>
      </w:r>
    </w:p>
    <w:p>
      <w:pPr>
        <w:pStyle w:val="FirstParagraph"/>
      </w:pPr>
      <w:r>
        <w:rPr>
          <w:rFonts w:ascii="Times New Roman" w:hAnsi="Times New Roman"/>
          <w:sz w:val="24"/>
        </w:rPr>
        <w:t xml:space="preserve">Предложен инструмент измерения сопряженности соседних масштабных уровней атмосферной циркуляции – профиль сопряженности октавных полос по полю относительного вихря на 850 гПа. Его построение полностью описано операционально, все параметры зафиксированы до вычислений; новизна работы состоит в свойствах измеряемого объекта.</w:t>
      </w:r>
    </w:p>
    <w:p>
      <w:pPr>
        <w:pStyle w:val="BodyText"/>
      </w:pPr>
      <w:r>
        <w:rPr>
          <w:rFonts w:ascii="Times New Roman" w:hAnsi="Times New Roman"/>
          <w:sz w:val="24"/>
        </w:rPr>
        <w:t xml:space="preserve">Профиль удовлетворяет заранее сформулированному утверждению условной инвариантности (1): региональная группировка профилей воспроизводится между окнами, охватывающими разные сезоны, годы и фазы ЭНСО, – на отложенных выборках, внутри страт каждого из этих факторов и на уровне целых областей; на долю региона приходится 0.6–0.7 дисперсии профиля. Группировка сохраняется при смене источника данных и схемы разбиения территории, а региональная география воспроизводится в свободном модельном расчете, не усваивающем атмосферных наблюдений (</w:t>
      </w:r>
      <m:oMath>
        <m:r>
          <m:t>ρ</m:t>
        </m:r>
        <m:r>
          <m:rPr>
            <m:sty m:val="p"/>
          </m:rPr>
          <m:t>=</m:t>
        </m:r>
        <m:r>
          <m:t>0.72</m:t>
        </m:r>
      </m:oMath>
      <w:r>
        <w:rPr>
          <w:rFonts w:ascii="Times New Roman" w:hAnsi="Times New Roman"/>
          <w:sz w:val="24"/>
        </w:rPr>
        <w:t xml:space="preserve"> </w:t>
      </w:r>
      <w:r>
        <w:rPr>
          <w:rFonts w:ascii="Times New Roman" w:hAnsi="Times New Roman"/>
          <w:sz w:val="24"/>
        </w:rPr>
        <w:t xml:space="preserve">по 39 областям), поэтому наблюдаемая структура не может быть объяснена только устройством наблюдательной сети или процедурой усвоения.</w:t>
      </w:r>
    </w:p>
    <w:p>
      <w:pPr>
        <w:pStyle w:val="BodyText"/>
      </w:pPr>
      <w:r>
        <w:rPr>
          <w:rFonts w:ascii="Times New Roman" w:hAnsi="Times New Roman"/>
          <w:sz w:val="24"/>
        </w:rPr>
        <w:t xml:space="preserve">География дескриптора систематична: выше – тропический теплый бассейн Тихого океана, бассейн Конго и внетропические штормовые пути, ниже – континентальные области умеренного пояса и Амазония. Бассейны Конго и Амазонии, единственные два очага глубокой конвекции над сушей в заранее заданном наборе, различаются сопряженностью крупных полос с неперекрывающимися размахами по окнам. Дескриптор различает территории, близкие по стандартным характеристикам режима, и в этом качестве продолжает линию инвариантов организации геосистем – от выделения уровней к измерению их сопряженности.</w:t>
      </w:r>
    </w:p>
    <w:p>
      <w:pPr>
        <w:pStyle w:val="BodyText"/>
      </w:pPr>
      <w:r>
        <w:rPr>
          <w:rFonts w:ascii="Times New Roman" w:hAnsi="Times New Roman"/>
          <w:sz w:val="24"/>
        </w:rPr>
        <w:t xml:space="preserve">Границы применимости установлены прямыми проверками: дескриптор не измеряет межмасштабный поток кинетической энергии и не устанавливает направления влияния между уровнями; вертикальная универсальность и прикладные гипотезы не подтверждены; вопрос об информации сверх спектра мощности остается открытым.</w:t>
      </w:r>
    </w:p>
    <w:p>
      <w:pPr>
        <w:pStyle w:val="BodyText"/>
      </w:pPr>
      <w:r>
        <w:rPr>
          <w:rFonts w:ascii="Times New Roman" w:hAnsi="Times New Roman"/>
          <w:sz w:val="24"/>
        </w:rPr>
        <w:t xml:space="preserve">Два направления дальнейшей работы следуют из результатов непосредственно. Первое – физико-географическое районирование по устройству межуровневых связей: величина дает координату, дополняющую климатологию режима и различающую территории там, где стандартные характеристики их не разделяют. Второе – диагностика воспроизведения мезомасштабной организации в климатических моделях: поскольку география величины воспроизводится свободным расчетом, она задает наблюдаемую цель, не зависящую ни от усвоения наблюдений, ни от абсолютной амплитуды поля.</w:t>
      </w:r>
    </w:p>
    <w:bookmarkEnd w:id="23"/>
    <w:bookmarkStart w:id="24" w:name="финансирование"/>
    <w:p>
      <w:pPr>
        <w:pStyle w:val="Heading1"/>
      </w:pPr>
      <w:r>
        <w:rPr>
          <w:rFonts w:ascii="Times New Roman" w:hAnsi="Times New Roman"/>
          <w:sz w:val="24"/>
        </w:rPr>
        <w:t xml:space="preserve">ФИНАНСИРОВАНИЕ</w:t>
      </w:r>
    </w:p>
    <w:p>
      <w:pPr>
        <w:pStyle w:val="FirstParagraph"/>
      </w:pPr>
      <w:r>
        <w:rPr>
          <w:rFonts w:ascii="Times New Roman" w:hAnsi="Times New Roman"/>
          <w:sz w:val="24"/>
        </w:rPr>
        <w:t xml:space="preserve">Исследование выполнено без внешнего финансирования. Автор заявляет об отсутствии конфликта интересов.</w:t>
      </w:r>
    </w:p>
    <w:bookmarkEnd w:id="24"/>
    <w:bookmarkStart w:id="25" w:name="список-литературы"/>
    <w:p>
      <w:pPr>
        <w:pStyle w:val="Heading1"/>
      </w:pPr>
      <w:r>
        <w:rPr>
          <w:rFonts w:ascii="Times New Roman" w:hAnsi="Times New Roman"/>
          <w:sz w:val="24"/>
        </w:rPr>
        <w:t xml:space="preserve">СПИСОК ЛИТЕРАТУРЫ</w:t>
      </w:r>
    </w:p>
    <w:p>
      <w:pPr>
        <w:pStyle w:val="FirstParagraph"/>
      </w:pPr>
      <w:r>
        <w:rPr>
          <w:rFonts w:ascii="Times New Roman" w:hAnsi="Times New Roman"/>
          <w:i/>
          <w:iCs/>
          <w:sz w:val="24"/>
        </w:rPr>
        <w:t xml:space="preserve">Кренке А.Н., Пузаченко Ю.Г., Пузаченко М.Ю.</w:t>
      </w:r>
      <w:r>
        <w:rPr>
          <w:rFonts w:ascii="Times New Roman" w:hAnsi="Times New Roman"/>
          <w:sz w:val="24"/>
        </w:rPr>
        <w:t xml:space="preserve"> </w:t>
      </w:r>
      <w:r>
        <w:rPr>
          <w:rFonts w:ascii="Times New Roman" w:hAnsi="Times New Roman"/>
          <w:sz w:val="24"/>
        </w:rPr>
        <w:t xml:space="preserve">Пространственная организация регионального мезоклимата // Изв. РАН. Сер. геогр. 2019. № 3. С. 116–130. doi: 10.31857/S2587-556620193116-130</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Пространственно-временная иерархия геосистем с позиции теории колебаний // Вопросы географии. Сб. 127: Моделирование геосистем. М.: Мысль, 1986. С. 96–111.</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Математические методы в экологических и географических исследованиях. М.: Академия, 2004. 407 с.</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Инварианты динамической геосистемы // Изв. РАН. Сер. геогр. 2010. № 5. С. 6–16.</w:t>
      </w:r>
    </w:p>
    <w:p>
      <w:pPr>
        <w:pStyle w:val="BodyText"/>
      </w:pPr>
      <w:r>
        <w:rPr>
          <w:rFonts w:ascii="Times New Roman" w:hAnsi="Times New Roman"/>
          <w:i/>
          <w:iCs/>
          <w:sz w:val="24"/>
        </w:rPr>
        <w:t xml:space="preserve">Сочава В.Б.</w:t>
      </w:r>
      <w:r>
        <w:rPr>
          <w:rFonts w:ascii="Times New Roman" w:hAnsi="Times New Roman"/>
          <w:sz w:val="24"/>
        </w:rPr>
        <w:t xml:space="preserve"> </w:t>
      </w:r>
      <w:r>
        <w:rPr>
          <w:rFonts w:ascii="Times New Roman" w:hAnsi="Times New Roman"/>
          <w:sz w:val="24"/>
        </w:rPr>
        <w:t xml:space="preserve">Введение в учение о геосистемах. Новосибирск: Наука, 1978. 319 с.</w:t>
      </w:r>
    </w:p>
    <w:p>
      <w:pPr>
        <w:pStyle w:val="BodyText"/>
      </w:pPr>
      <w:r>
        <w:rPr>
          <w:rFonts w:ascii="Times New Roman" w:hAnsi="Times New Roman"/>
          <w:i/>
          <w:iCs/>
          <w:sz w:val="24"/>
        </w:rPr>
        <w:t xml:space="preserve">Aluie H., Hecht M., Vallis G.K.</w:t>
      </w:r>
      <w:r>
        <w:rPr>
          <w:rFonts w:ascii="Times New Roman" w:hAnsi="Times New Roman"/>
          <w:sz w:val="24"/>
        </w:rPr>
        <w:t xml:space="preserve"> </w:t>
      </w:r>
      <w:r>
        <w:rPr>
          <w:rFonts w:ascii="Times New Roman" w:hAnsi="Times New Roman"/>
          <w:sz w:val="24"/>
        </w:rPr>
        <w:t xml:space="preserve">Mapping the energy cascade in the North Atlantic Ocean: The coarse-graining approach // J. Phys. Oceanogr. 2018. Vol. 48. № 2. P. 225–244. doi: 10.1175/JPO-D-17-0100.1</w:t>
      </w:r>
    </w:p>
    <w:p>
      <w:pPr>
        <w:pStyle w:val="BodyText"/>
      </w:pPr>
      <w:r>
        <w:rPr>
          <w:rFonts w:ascii="Times New Roman" w:hAnsi="Times New Roman"/>
          <w:i/>
          <w:iCs/>
          <w:sz w:val="24"/>
        </w:rPr>
        <w:t xml:space="preserve">Bertrand G.</w:t>
      </w:r>
      <w:r>
        <w:rPr>
          <w:rFonts w:ascii="Times New Roman" w:hAnsi="Times New Roman"/>
          <w:sz w:val="24"/>
        </w:rPr>
        <w:t xml:space="preserve"> </w:t>
      </w:r>
      <w:r>
        <w:rPr>
          <w:rFonts w:ascii="Times New Roman" w:hAnsi="Times New Roman"/>
          <w:sz w:val="24"/>
        </w:rPr>
        <w:t xml:space="preserve">Paysage et géographie physique globale. Esquisse méthodologique // Rev. Géogr. Pyrénées Sud-Ouest. 1968. Vol. 39. № 3. P. 249–272. doi: 10.3406/rgpso.1968.4553</w:t>
      </w:r>
    </w:p>
    <w:p>
      <w:pPr>
        <w:pStyle w:val="BodyText"/>
      </w:pPr>
      <w:r>
        <w:rPr>
          <w:rFonts w:ascii="Times New Roman" w:hAnsi="Times New Roman"/>
          <w:i/>
          <w:iCs/>
          <w:sz w:val="24"/>
        </w:rPr>
        <w:t xml:space="preserve">Bi K., Xie L., Zhang H., Chen X., Gu X., Tian Q.</w:t>
      </w:r>
      <w:r>
        <w:rPr>
          <w:rFonts w:ascii="Times New Roman" w:hAnsi="Times New Roman"/>
          <w:sz w:val="24"/>
        </w:rPr>
        <w:t xml:space="preserve"> </w:t>
      </w:r>
      <w:r>
        <w:rPr>
          <w:rFonts w:ascii="Times New Roman" w:hAnsi="Times New Roman"/>
          <w:sz w:val="24"/>
        </w:rPr>
        <w:t xml:space="preserve">Accurate medium-range global weather forecasting with 3D neural networks // Nature. 2023. Vol. 619. № 7970. P. 533–538. doi: 10.1038/s41586-023-06185-3</w:t>
      </w:r>
    </w:p>
    <w:p>
      <w:pPr>
        <w:pStyle w:val="BodyText"/>
      </w:pPr>
      <w:r>
        <w:rPr>
          <w:rFonts w:ascii="Times New Roman" w:hAnsi="Times New Roman"/>
          <w:i/>
          <w:iCs/>
          <w:sz w:val="24"/>
        </w:rPr>
        <w:t xml:space="preserve">Bolgiani P., Calvo-Sancho C., Díaz-Fernández J., Quitián-Hernández L., Sastre M., Santos-Muñoz D., Farrán J.I., González-Alemán J.J., Valero F., Martín M.L.</w:t>
      </w:r>
      <w:r>
        <w:rPr>
          <w:rFonts w:ascii="Times New Roman" w:hAnsi="Times New Roman"/>
          <w:sz w:val="24"/>
        </w:rPr>
        <w:t xml:space="preserve"> </w:t>
      </w:r>
      <w:r>
        <w:rPr>
          <w:rFonts w:ascii="Times New Roman" w:hAnsi="Times New Roman"/>
          <w:sz w:val="24"/>
        </w:rPr>
        <w:t xml:space="preserve">Wind kinetic energy climatology and effective resolution for the ERA5 reanalysis // Clim. Dyn. 2022. Vol. 59. № 3–4. P. 737–752. doi: 10.1007/s00382-022-06154-y</w:t>
      </w:r>
    </w:p>
    <w:p>
      <w:pPr>
        <w:pStyle w:val="BodyText"/>
      </w:pPr>
      <w:r>
        <w:rPr>
          <w:rFonts w:ascii="Times New Roman" w:hAnsi="Times New Roman"/>
          <w:i/>
          <w:iCs/>
          <w:sz w:val="24"/>
        </w:rPr>
        <w:t xml:space="preserve">Bruna J., Mallat S.</w:t>
      </w:r>
      <w:r>
        <w:rPr>
          <w:rFonts w:ascii="Times New Roman" w:hAnsi="Times New Roman"/>
          <w:sz w:val="24"/>
        </w:rPr>
        <w:t xml:space="preserve"> </w:t>
      </w:r>
      <w:r>
        <w:rPr>
          <w:rFonts w:ascii="Times New Roman" w:hAnsi="Times New Roman"/>
          <w:sz w:val="24"/>
        </w:rPr>
        <w:t xml:space="preserve">Invariant scattering convolution networks // IEEE Trans. Pattern Anal. Mach. Intell. 2013. Vol. 35. № 8. P. 1872–1886. doi: 10.1109/TPAMI.2012.230</w:t>
      </w:r>
    </w:p>
    <w:p>
      <w:pPr>
        <w:pStyle w:val="BodyText"/>
      </w:pPr>
      <w:r>
        <w:rPr>
          <w:rFonts w:ascii="Times New Roman" w:hAnsi="Times New Roman"/>
          <w:i/>
          <w:iCs/>
          <w:sz w:val="24"/>
        </w:rPr>
        <w:t xml:space="preserve">Bruns A., Eckhorn R., Jokeit H., Ebner A.</w:t>
      </w:r>
      <w:r>
        <w:rPr>
          <w:rFonts w:ascii="Times New Roman" w:hAnsi="Times New Roman"/>
          <w:sz w:val="24"/>
        </w:rPr>
        <w:t xml:space="preserve"> </w:t>
      </w:r>
      <w:r>
        <w:rPr>
          <w:rFonts w:ascii="Times New Roman" w:hAnsi="Times New Roman"/>
          <w:sz w:val="24"/>
        </w:rPr>
        <w:t xml:space="preserve">Amplitude envelope correlation detects coupling among incoherent brain signals // NeuroReport. 2000. Vol. 11. № 7. P. 1509–1514. doi: 10.1097/00001756-200005150-00029</w:t>
      </w:r>
    </w:p>
    <w:p>
      <w:pPr>
        <w:pStyle w:val="BodyText"/>
      </w:pPr>
      <w:r>
        <w:rPr>
          <w:rFonts w:ascii="Times New Roman" w:hAnsi="Times New Roman"/>
          <w:i/>
          <w:iCs/>
          <w:sz w:val="24"/>
        </w:rPr>
        <w:t xml:space="preserve">Canolty R.T., Edwards E., Dalal S.S., Soltani M., Nagarajan S.S., Kirsch H.E., Berger M.S., Barbaro N.M., Knight R.T.</w:t>
      </w:r>
      <w:r>
        <w:rPr>
          <w:rFonts w:ascii="Times New Roman" w:hAnsi="Times New Roman"/>
          <w:sz w:val="24"/>
        </w:rPr>
        <w:t xml:space="preserve"> </w:t>
      </w:r>
      <w:r>
        <w:rPr>
          <w:rFonts w:ascii="Times New Roman" w:hAnsi="Times New Roman"/>
          <w:sz w:val="24"/>
        </w:rPr>
        <w:t xml:space="preserve">High gamma power is phase-locked to theta oscillations in human neocortex // Science. 2006. Vol. 313. № 5793. P. 1626–1628. doi: 10.1126/science.1128115</w:t>
      </w:r>
    </w:p>
    <w:p>
      <w:pPr>
        <w:pStyle w:val="BodyText"/>
      </w:pPr>
      <w:r>
        <w:rPr>
          <w:rFonts w:ascii="Times New Roman" w:hAnsi="Times New Roman"/>
          <w:i/>
          <w:iCs/>
          <w:sz w:val="24"/>
        </w:rPr>
        <w:t xml:space="preserve">Cheng S., Morel R., Allys E., Ménard B., Mallat S.</w:t>
      </w:r>
      <w:r>
        <w:rPr>
          <w:rFonts w:ascii="Times New Roman" w:hAnsi="Times New Roman"/>
          <w:sz w:val="24"/>
        </w:rPr>
        <w:t xml:space="preserve"> </w:t>
      </w:r>
      <w:r>
        <w:rPr>
          <w:rFonts w:ascii="Times New Roman" w:hAnsi="Times New Roman"/>
          <w:sz w:val="24"/>
        </w:rPr>
        <w:t xml:space="preserve">Scattering spectra models for physics // PNAS Nexus. 2024. Vol. 3. № 4. Art. pgae103. doi: 10.1093/pnasnexus/pgae103</w:t>
      </w:r>
    </w:p>
    <w:p>
      <w:pPr>
        <w:pStyle w:val="BodyText"/>
      </w:pPr>
      <w:r>
        <w:rPr>
          <w:rFonts w:ascii="Times New Roman" w:hAnsi="Times New Roman"/>
          <w:i/>
          <w:iCs/>
          <w:sz w:val="24"/>
        </w:rPr>
        <w:t xml:space="preserve">Cui G., Jacobi I.</w:t>
      </w:r>
      <w:r>
        <w:rPr>
          <w:rFonts w:ascii="Times New Roman" w:hAnsi="Times New Roman"/>
          <w:sz w:val="24"/>
        </w:rPr>
        <w:t xml:space="preserve"> </w:t>
      </w:r>
      <w:r>
        <w:rPr>
          <w:rFonts w:ascii="Times New Roman" w:hAnsi="Times New Roman"/>
          <w:sz w:val="24"/>
        </w:rPr>
        <w:t xml:space="preserve">Interpretation of the amplitude modulation coefficient and a new transport-based coefficient // J. Fluid Mech. 2025. Vol. 1002. Art. A35. doi: 10.1017/jfm.2024.1203</w:t>
      </w:r>
    </w:p>
    <w:p>
      <w:pPr>
        <w:pStyle w:val="BodyText"/>
      </w:pPr>
      <w:r>
        <w:rPr>
          <w:rFonts w:ascii="Times New Roman" w:hAnsi="Times New Roman"/>
          <w:i/>
          <w:iCs/>
          <w:sz w:val="24"/>
        </w:rPr>
        <w:t xml:space="preserve">Farge M.</w:t>
      </w:r>
      <w:r>
        <w:rPr>
          <w:rFonts w:ascii="Times New Roman" w:hAnsi="Times New Roman"/>
          <w:sz w:val="24"/>
        </w:rPr>
        <w:t xml:space="preserve"> </w:t>
      </w:r>
      <w:r>
        <w:rPr>
          <w:rFonts w:ascii="Times New Roman" w:hAnsi="Times New Roman"/>
          <w:sz w:val="24"/>
        </w:rPr>
        <w:t xml:space="preserve">Wavelet transforms and their applications to turbulence // Annu. Rev. Fluid Mech. 1992. Vol. 24. № 1. P. 395–458. doi: 10.1146/annurev.fl.24.010192.002143</w:t>
      </w:r>
    </w:p>
    <w:p>
      <w:pPr>
        <w:pStyle w:val="BodyText"/>
      </w:pPr>
      <w:r>
        <w:rPr>
          <w:rFonts w:ascii="Times New Roman" w:hAnsi="Times New Roman"/>
          <w:i/>
          <w:iCs/>
          <w:sz w:val="24"/>
        </w:rPr>
        <w:t xml:space="preserve">Gelaro R., McCarty W., Suárez M.J., et al.</w:t>
      </w:r>
      <w:r>
        <w:rPr>
          <w:rFonts w:ascii="Times New Roman" w:hAnsi="Times New Roman"/>
          <w:sz w:val="24"/>
        </w:rPr>
        <w:t xml:space="preserve"> </w:t>
      </w:r>
      <w:r>
        <w:rPr>
          <w:rFonts w:ascii="Times New Roman" w:hAnsi="Times New Roman"/>
          <w:sz w:val="24"/>
        </w:rPr>
        <w:t xml:space="preserve">The Modern-Era Retrospective Analysis for Research and Applications, Version 2 (MERRA-2) // J. Clim. 2017. Vol. 30. № 14. P. 5419–5454. doi: 10.1175/JCLI-D-16-0758.1</w:t>
      </w:r>
    </w:p>
    <w:p>
      <w:pPr>
        <w:pStyle w:val="BodyText"/>
      </w:pPr>
      <w:r>
        <w:rPr>
          <w:rFonts w:ascii="Times New Roman" w:hAnsi="Times New Roman"/>
          <w:i/>
          <w:iCs/>
          <w:sz w:val="24"/>
        </w:rPr>
        <w:t xml:space="preserve">Germano M.</w:t>
      </w:r>
      <w:r>
        <w:rPr>
          <w:rFonts w:ascii="Times New Roman" w:hAnsi="Times New Roman"/>
          <w:sz w:val="24"/>
        </w:rPr>
        <w:t xml:space="preserve"> </w:t>
      </w:r>
      <w:r>
        <w:rPr>
          <w:rFonts w:ascii="Times New Roman" w:hAnsi="Times New Roman"/>
          <w:sz w:val="24"/>
        </w:rPr>
        <w:t xml:space="preserve">Turbulence: the filtering approach // J. Fluid Mech. 1992. Vol. 238. P. 325–336. doi: 10.1017/S0022112092001733</w:t>
      </w:r>
    </w:p>
    <w:p>
      <w:pPr>
        <w:pStyle w:val="BodyText"/>
      </w:pPr>
      <w:r>
        <w:rPr>
          <w:rFonts w:ascii="Times New Roman" w:hAnsi="Times New Roman"/>
          <w:i/>
          <w:iCs/>
          <w:sz w:val="24"/>
        </w:rPr>
        <w:t xml:space="preserve">Haarsma R.J., Roberts M.J., Vidale P.L., et al.</w:t>
      </w:r>
      <w:r>
        <w:rPr>
          <w:rFonts w:ascii="Times New Roman" w:hAnsi="Times New Roman"/>
          <w:sz w:val="24"/>
        </w:rPr>
        <w:t xml:space="preserve"> </w:t>
      </w:r>
      <w:r>
        <w:rPr>
          <w:rFonts w:ascii="Times New Roman" w:hAnsi="Times New Roman"/>
          <w:sz w:val="24"/>
        </w:rPr>
        <w:t xml:space="preserve">High Resolution Model Intercomparison Project (HighResMIP v1.0) for CMIP6 // Geosci. Model Dev. 2016. Vol. 9. P. 4185–4208. doi: 10.5194/gmd-9-4185-2016</w:t>
      </w:r>
    </w:p>
    <w:p>
      <w:pPr>
        <w:pStyle w:val="BodyText"/>
      </w:pPr>
      <w:r>
        <w:rPr>
          <w:rFonts w:ascii="Times New Roman" w:hAnsi="Times New Roman"/>
          <w:i/>
          <w:iCs/>
          <w:sz w:val="24"/>
        </w:rPr>
        <w:t xml:space="preserve">Hersbach H., Bell B., Berrisford P., et al.</w:t>
      </w:r>
      <w:r>
        <w:rPr>
          <w:rFonts w:ascii="Times New Roman" w:hAnsi="Times New Roman"/>
          <w:sz w:val="24"/>
        </w:rPr>
        <w:t xml:space="preserve"> </w:t>
      </w:r>
      <w:r>
        <w:rPr>
          <w:rFonts w:ascii="Times New Roman" w:hAnsi="Times New Roman"/>
          <w:sz w:val="24"/>
        </w:rPr>
        <w:t xml:space="preserve">The ERA5 global reanalysis // Q. J. R. Meteorol. Soc. 2020. Vol. 146. № 730. P. 1999–2049. doi: 10.1002/qj.3803</w:t>
      </w:r>
    </w:p>
    <w:p>
      <w:pPr>
        <w:pStyle w:val="BodyText"/>
      </w:pPr>
      <w:r>
        <w:rPr>
          <w:rFonts w:ascii="Times New Roman" w:hAnsi="Times New Roman"/>
          <w:i/>
          <w:iCs/>
          <w:sz w:val="24"/>
        </w:rPr>
        <w:t xml:space="preserve">Judt F.</w:t>
      </w:r>
      <w:r>
        <w:rPr>
          <w:rFonts w:ascii="Times New Roman" w:hAnsi="Times New Roman"/>
          <w:sz w:val="24"/>
        </w:rPr>
        <w:t xml:space="preserve"> </w:t>
      </w:r>
      <w:r>
        <w:rPr>
          <w:rFonts w:ascii="Times New Roman" w:hAnsi="Times New Roman"/>
          <w:sz w:val="24"/>
        </w:rPr>
        <w:t xml:space="preserve">Atmospheric predictability of the tropics, middle latitudes, and polar regions explored through global storm-resolving simulations // J. Atmos. Sci. 2020. Vol. 77. № 1. P. 257–276. doi: 10.1175/JAS-D-19-0116.1</w:t>
      </w:r>
    </w:p>
    <w:p>
      <w:pPr>
        <w:pStyle w:val="BodyText"/>
      </w:pPr>
      <w:r>
        <w:rPr>
          <w:rFonts w:ascii="Times New Roman" w:hAnsi="Times New Roman"/>
          <w:i/>
          <w:iCs/>
          <w:sz w:val="24"/>
        </w:rPr>
        <w:t xml:space="preserve">Kouhen S., Storer B.A., Aluie H., Marshall D.P., Christensen H.M.</w:t>
      </w:r>
      <w:r>
        <w:rPr>
          <w:rFonts w:ascii="Times New Roman" w:hAnsi="Times New Roman"/>
          <w:sz w:val="24"/>
        </w:rPr>
        <w:t xml:space="preserve"> </w:t>
      </w:r>
      <w:r>
        <w:rPr>
          <w:rFonts w:ascii="Times New Roman" w:hAnsi="Times New Roman"/>
          <w:sz w:val="24"/>
        </w:rPr>
        <w:t xml:space="preserve">Convective and orographic origins of the mesoscale kinetic energy spectrum // Geophys. Res. Lett. 2024. Vol. 51. № 21. Art. e2024GL110804. doi: 10.1029/2024GL110804</w:t>
      </w:r>
    </w:p>
    <w:p>
      <w:pPr>
        <w:pStyle w:val="BodyText"/>
      </w:pPr>
      <w:r>
        <w:rPr>
          <w:rFonts w:ascii="Times New Roman" w:hAnsi="Times New Roman"/>
          <w:i/>
          <w:iCs/>
          <w:sz w:val="24"/>
        </w:rPr>
        <w:t xml:space="preserve">Lam R., Sanchez-Gonzalez A., Willson M., et al.</w:t>
      </w:r>
      <w:r>
        <w:rPr>
          <w:rFonts w:ascii="Times New Roman" w:hAnsi="Times New Roman"/>
          <w:sz w:val="24"/>
        </w:rPr>
        <w:t xml:space="preserve"> </w:t>
      </w:r>
      <w:r>
        <w:rPr>
          <w:rFonts w:ascii="Times New Roman" w:hAnsi="Times New Roman"/>
          <w:sz w:val="24"/>
        </w:rPr>
        <w:t xml:space="preserve">Learning skillful medium-range global weather forecasting // Science. 2023. Vol. 382. № 6677. P. 1416–1421. doi: 10.1126/science.adi2336</w:t>
      </w:r>
    </w:p>
    <w:p>
      <w:pPr>
        <w:pStyle w:val="BodyText"/>
      </w:pPr>
      <w:r>
        <w:rPr>
          <w:rFonts w:ascii="Times New Roman" w:hAnsi="Times New Roman"/>
          <w:i/>
          <w:iCs/>
          <w:sz w:val="24"/>
        </w:rPr>
        <w:t xml:space="preserve">Levin S.A.</w:t>
      </w:r>
      <w:r>
        <w:rPr>
          <w:rFonts w:ascii="Times New Roman" w:hAnsi="Times New Roman"/>
          <w:sz w:val="24"/>
        </w:rPr>
        <w:t xml:space="preserve"> </w:t>
      </w:r>
      <w:r>
        <w:rPr>
          <w:rFonts w:ascii="Times New Roman" w:hAnsi="Times New Roman"/>
          <w:sz w:val="24"/>
        </w:rPr>
        <w:t xml:space="preserve">The problem of pattern and scale in ecology: The Robert H. MacArthur Award Lecture // Ecology. 1992. Vol. 73. № 6. P. 1943–1967. doi: 10.2307/1941447</w:t>
      </w:r>
    </w:p>
    <w:p>
      <w:pPr>
        <w:pStyle w:val="BodyText"/>
      </w:pPr>
      <w:r>
        <w:rPr>
          <w:rFonts w:ascii="Times New Roman" w:hAnsi="Times New Roman"/>
          <w:i/>
          <w:iCs/>
          <w:sz w:val="24"/>
        </w:rPr>
        <w:t xml:space="preserve">Lorenz E.N.</w:t>
      </w:r>
      <w:r>
        <w:rPr>
          <w:rFonts w:ascii="Times New Roman" w:hAnsi="Times New Roman"/>
          <w:sz w:val="24"/>
        </w:rPr>
        <w:t xml:space="preserve"> </w:t>
      </w:r>
      <w:r>
        <w:rPr>
          <w:rFonts w:ascii="Times New Roman" w:hAnsi="Times New Roman"/>
          <w:sz w:val="24"/>
        </w:rPr>
        <w:t xml:space="preserve">The predictability of a flow which possesses many scales of motion // Tellus. 1969. Vol. 21. № 3. P. 289–307. doi: 10.1111/j.2153-3490.1969.tb00444.x</w:t>
      </w:r>
    </w:p>
    <w:p>
      <w:pPr>
        <w:pStyle w:val="BodyText"/>
      </w:pPr>
      <w:r>
        <w:rPr>
          <w:rFonts w:ascii="Times New Roman" w:hAnsi="Times New Roman"/>
          <w:i/>
          <w:iCs/>
          <w:sz w:val="24"/>
        </w:rPr>
        <w:t xml:space="preserve">Lovejoy S., Schertzer D.</w:t>
      </w:r>
      <w:r>
        <w:rPr>
          <w:rFonts w:ascii="Times New Roman" w:hAnsi="Times New Roman"/>
          <w:sz w:val="24"/>
        </w:rPr>
        <w:t xml:space="preserve"> </w:t>
      </w:r>
      <w:r>
        <w:rPr>
          <w:rFonts w:ascii="Times New Roman" w:hAnsi="Times New Roman"/>
          <w:sz w:val="24"/>
        </w:rPr>
        <w:t xml:space="preserve">Space-time cascades and the scaling of ECMWF reanalyses: Fluxes and fields // J. Geophys. Res. Atmos. 2011. Vol. 116. № D14. Art. D14117. doi: 10.1029/2011JD015654</w:t>
      </w:r>
    </w:p>
    <w:p>
      <w:pPr>
        <w:pStyle w:val="BodyText"/>
      </w:pPr>
      <w:r>
        <w:rPr>
          <w:rFonts w:ascii="Times New Roman" w:hAnsi="Times New Roman"/>
          <w:i/>
          <w:iCs/>
          <w:sz w:val="24"/>
        </w:rPr>
        <w:t xml:space="preserve">Lovejoy S., Schertzer D.</w:t>
      </w:r>
      <w:r>
        <w:rPr>
          <w:rFonts w:ascii="Times New Roman" w:hAnsi="Times New Roman"/>
          <w:sz w:val="24"/>
        </w:rPr>
        <w:t xml:space="preserve"> </w:t>
      </w:r>
      <w:r>
        <w:rPr>
          <w:rFonts w:ascii="Times New Roman" w:hAnsi="Times New Roman"/>
          <w:sz w:val="24"/>
        </w:rPr>
        <w:t xml:space="preserve">The Weather and Climate: Emergent Laws and Multifractal Cascades. Cambridge: Cambridge Univ. Press, 2013. doi: 10.1017/CBO9781139093811</w:t>
      </w:r>
    </w:p>
    <w:p>
      <w:pPr>
        <w:pStyle w:val="BodyText"/>
      </w:pPr>
      <w:r>
        <w:rPr>
          <w:rFonts w:ascii="Times New Roman" w:hAnsi="Times New Roman"/>
          <w:i/>
          <w:iCs/>
          <w:sz w:val="24"/>
        </w:rPr>
        <w:t xml:space="preserve">Mallat S.</w:t>
      </w:r>
      <w:r>
        <w:rPr>
          <w:rFonts w:ascii="Times New Roman" w:hAnsi="Times New Roman"/>
          <w:sz w:val="24"/>
        </w:rPr>
        <w:t xml:space="preserve"> </w:t>
      </w:r>
      <w:r>
        <w:rPr>
          <w:rFonts w:ascii="Times New Roman" w:hAnsi="Times New Roman"/>
          <w:sz w:val="24"/>
        </w:rPr>
        <w:t xml:space="preserve">Group invariant scattering // Commun. Pure Appl. Math. 2012. Vol. 65. № 10. P. 1331–1398. doi: 10.1002/cpa.21413</w:t>
      </w:r>
    </w:p>
    <w:p>
      <w:pPr>
        <w:pStyle w:val="BodyText"/>
      </w:pPr>
      <w:r>
        <w:rPr>
          <w:rFonts w:ascii="Times New Roman" w:hAnsi="Times New Roman"/>
          <w:i/>
          <w:iCs/>
          <w:sz w:val="24"/>
        </w:rPr>
        <w:t xml:space="preserve">Mathis R., Hutchins N., Marusic I.</w:t>
      </w:r>
      <w:r>
        <w:rPr>
          <w:rFonts w:ascii="Times New Roman" w:hAnsi="Times New Roman"/>
          <w:sz w:val="24"/>
        </w:rPr>
        <w:t xml:space="preserve"> </w:t>
      </w:r>
      <w:r>
        <w:rPr>
          <w:rFonts w:ascii="Times New Roman" w:hAnsi="Times New Roman"/>
          <w:sz w:val="24"/>
        </w:rPr>
        <w:t xml:space="preserve">Large-scale amplitude modulation of the small-scale structures in turbulent boundary layers // J. Fluid Mech. 2009. Vol. 628. P. 311–337. doi: 10.1017/S0022112009006946</w:t>
      </w:r>
    </w:p>
    <w:p>
      <w:pPr>
        <w:pStyle w:val="BodyText"/>
      </w:pPr>
      <w:r>
        <w:rPr>
          <w:rFonts w:ascii="Times New Roman" w:hAnsi="Times New Roman"/>
          <w:i/>
          <w:iCs/>
          <w:sz w:val="24"/>
        </w:rPr>
        <w:t xml:space="preserve">Nastrom G.D., Gage K.S.</w:t>
      </w:r>
      <w:r>
        <w:rPr>
          <w:rFonts w:ascii="Times New Roman" w:hAnsi="Times New Roman"/>
          <w:sz w:val="24"/>
        </w:rPr>
        <w:t xml:space="preserve"> </w:t>
      </w:r>
      <w:r>
        <w:rPr>
          <w:rFonts w:ascii="Times New Roman" w:hAnsi="Times New Roman"/>
          <w:sz w:val="24"/>
        </w:rPr>
        <w:t xml:space="preserve">A climatology of atmospheric wavenumber spectra of wind and temperature observed by commercial aircraft // J. Atmos. Sci. 1985. Vol. 42. № 9. P. 950–960. doi: 10.1175/1520-0469(1985)042&lt;0950:ACOAWS&gt;2.0.CO;2</w:t>
      </w:r>
    </w:p>
    <w:p>
      <w:pPr>
        <w:pStyle w:val="BodyText"/>
      </w:pPr>
      <w:r>
        <w:rPr>
          <w:rFonts w:ascii="Times New Roman" w:hAnsi="Times New Roman"/>
          <w:i/>
          <w:iCs/>
          <w:sz w:val="24"/>
        </w:rPr>
        <w:t xml:space="preserve">Price I., Sanchez-Gonzalez A., Alet F., Andersson T.R., El-Kadi A., Masters D., Ewalds T., Stott J., Mohamed S., Battaglia P., Lam R., Willson M.</w:t>
      </w:r>
      <w:r>
        <w:rPr>
          <w:rFonts w:ascii="Times New Roman" w:hAnsi="Times New Roman"/>
          <w:sz w:val="24"/>
        </w:rPr>
        <w:t xml:space="preserve"> </w:t>
      </w:r>
      <w:r>
        <w:rPr>
          <w:rFonts w:ascii="Times New Roman" w:hAnsi="Times New Roman"/>
          <w:sz w:val="24"/>
        </w:rPr>
        <w:t xml:space="preserve">Probabilistic weather forecasting with machine learning // Nature. 2025. Vol. 637. № 8044. P. 84–90. doi: 10.1038/s41586-024-08252-9</w:t>
      </w:r>
    </w:p>
    <w:p>
      <w:pPr>
        <w:pStyle w:val="BodyText"/>
      </w:pPr>
      <w:r>
        <w:rPr>
          <w:rFonts w:ascii="Times New Roman" w:hAnsi="Times New Roman"/>
          <w:i/>
          <w:iCs/>
          <w:sz w:val="24"/>
        </w:rPr>
        <w:t xml:space="preserve">Rasp S., Hoyer S., Merose A., et al.</w:t>
      </w:r>
      <w:r>
        <w:rPr>
          <w:rFonts w:ascii="Times New Roman" w:hAnsi="Times New Roman"/>
          <w:sz w:val="24"/>
        </w:rPr>
        <w:t xml:space="preserve"> </w:t>
      </w:r>
      <w:r>
        <w:rPr>
          <w:rFonts w:ascii="Times New Roman" w:hAnsi="Times New Roman"/>
          <w:sz w:val="24"/>
        </w:rPr>
        <w:t xml:space="preserve">WeatherBench 2: A benchmark for the next generation of data-driven global weather models // J. Adv. Model. Earth Syst. 2024. Vol. 16. № 6. Art. e2023MS004019. doi: 10.1029/2023MS004019</w:t>
      </w:r>
    </w:p>
    <w:p>
      <w:pPr>
        <w:pStyle w:val="BodyText"/>
      </w:pPr>
      <w:r>
        <w:rPr>
          <w:rFonts w:ascii="Times New Roman" w:hAnsi="Times New Roman"/>
          <w:i/>
          <w:iCs/>
          <w:sz w:val="24"/>
        </w:rPr>
        <w:t xml:space="preserve">Roberts C.D., Senan R., Molteni F., Boussetta S., Mayer M., Keeley S.P.E.</w:t>
      </w:r>
      <w:r>
        <w:rPr>
          <w:rFonts w:ascii="Times New Roman" w:hAnsi="Times New Roman"/>
          <w:sz w:val="24"/>
        </w:rPr>
        <w:t xml:space="preserve"> </w:t>
      </w:r>
      <w:r>
        <w:rPr>
          <w:rFonts w:ascii="Times New Roman" w:hAnsi="Times New Roman"/>
          <w:sz w:val="24"/>
        </w:rPr>
        <w:t xml:space="preserve">Climate model configurations of the ECMWF Integrated Forecasting System (ECMWF-IFS cycle 43r1) for HighResMIP // Geosci. Model Dev. 2018. Vol. 11. P. 3681–3712. doi: 10.5194/gmd-11-3681-2018</w:t>
      </w:r>
    </w:p>
    <w:p>
      <w:pPr>
        <w:pStyle w:val="BodyText"/>
      </w:pPr>
      <w:r>
        <w:rPr>
          <w:rFonts w:ascii="Times New Roman" w:hAnsi="Times New Roman"/>
          <w:i/>
          <w:iCs/>
          <w:sz w:val="24"/>
        </w:rPr>
        <w:t xml:space="preserve">Rotunno R., Snyder C.</w:t>
      </w:r>
      <w:r>
        <w:rPr>
          <w:rFonts w:ascii="Times New Roman" w:hAnsi="Times New Roman"/>
          <w:sz w:val="24"/>
        </w:rPr>
        <w:t xml:space="preserve"> </w:t>
      </w:r>
      <w:r>
        <w:rPr>
          <w:rFonts w:ascii="Times New Roman" w:hAnsi="Times New Roman"/>
          <w:sz w:val="24"/>
        </w:rPr>
        <w:t xml:space="preserve">A generalization of Lorenz’s model for the predictability of flows with many scales of motion // J. Atmos. Sci. 2008. Vol. 65. № 3. P. 1063–1076. doi: 10.1175/2007JAS2449.1</w:t>
      </w:r>
    </w:p>
    <w:p>
      <w:pPr>
        <w:pStyle w:val="BodyText"/>
      </w:pPr>
      <w:r>
        <w:rPr>
          <w:rFonts w:ascii="Times New Roman" w:hAnsi="Times New Roman"/>
          <w:i/>
          <w:iCs/>
          <w:sz w:val="24"/>
        </w:rPr>
        <w:t xml:space="preserve">Selz T., Craig G.C.</w:t>
      </w:r>
      <w:r>
        <w:rPr>
          <w:rFonts w:ascii="Times New Roman" w:hAnsi="Times New Roman"/>
          <w:sz w:val="24"/>
        </w:rPr>
        <w:t xml:space="preserve"> </w:t>
      </w:r>
      <w:r>
        <w:rPr>
          <w:rFonts w:ascii="Times New Roman" w:hAnsi="Times New Roman"/>
          <w:sz w:val="24"/>
        </w:rPr>
        <w:t xml:space="preserve">Can artificial intelligence-based weather prediction models simulate the butterfly effect? // Geophys. Res. Lett. 2023. Vol. 50. Art. e2023GL105747. doi: 10.1029/2023GL105747</w:t>
      </w:r>
    </w:p>
    <w:p>
      <w:pPr>
        <w:pStyle w:val="BodyText"/>
      </w:pPr>
      <w:r>
        <w:rPr>
          <w:rFonts w:ascii="Times New Roman" w:hAnsi="Times New Roman"/>
          <w:i/>
          <w:iCs/>
          <w:sz w:val="24"/>
        </w:rPr>
        <w:t xml:space="preserve">Simon H.A.</w:t>
      </w:r>
      <w:r>
        <w:rPr>
          <w:rFonts w:ascii="Times New Roman" w:hAnsi="Times New Roman"/>
          <w:sz w:val="24"/>
        </w:rPr>
        <w:t xml:space="preserve"> </w:t>
      </w:r>
      <w:r>
        <w:rPr>
          <w:rFonts w:ascii="Times New Roman" w:hAnsi="Times New Roman"/>
          <w:sz w:val="24"/>
        </w:rPr>
        <w:t xml:space="preserve">The architecture of complexity // Proc. Am. Philos. Soc. 1962. Vol. 106. № 6. P. 467–482.</w:t>
      </w:r>
    </w:p>
    <w:p>
      <w:pPr>
        <w:pStyle w:val="BodyText"/>
      </w:pPr>
      <w:r>
        <w:rPr>
          <w:rFonts w:ascii="Times New Roman" w:hAnsi="Times New Roman"/>
          <w:i/>
          <w:iCs/>
          <w:sz w:val="24"/>
        </w:rPr>
        <w:t xml:space="preserve">Skamarock W.C.</w:t>
      </w:r>
      <w:r>
        <w:rPr>
          <w:rFonts w:ascii="Times New Roman" w:hAnsi="Times New Roman"/>
          <w:sz w:val="24"/>
        </w:rPr>
        <w:t xml:space="preserve"> </w:t>
      </w:r>
      <w:r>
        <w:rPr>
          <w:rFonts w:ascii="Times New Roman" w:hAnsi="Times New Roman"/>
          <w:sz w:val="24"/>
        </w:rPr>
        <w:t xml:space="preserve">Evaluating mesoscale NWP models using kinetic energy spectra // Mon. Weather Rev. 2004. Vol. 132. № 12. P. 3019–3032. doi: 10.1175/MWR2830.1</w:t>
      </w:r>
    </w:p>
    <w:p>
      <w:pPr>
        <w:pStyle w:val="BodyText"/>
      </w:pPr>
      <w:r>
        <w:rPr>
          <w:rFonts w:ascii="Times New Roman" w:hAnsi="Times New Roman"/>
          <w:i/>
          <w:iCs/>
          <w:sz w:val="24"/>
        </w:rPr>
        <w:t xml:space="preserve">Skinner J.W., Lawrence A., Callies J.</w:t>
      </w:r>
      <w:r>
        <w:rPr>
          <w:rFonts w:ascii="Times New Roman" w:hAnsi="Times New Roman"/>
          <w:sz w:val="24"/>
        </w:rPr>
        <w:t xml:space="preserve"> </w:t>
      </w:r>
      <w:r>
        <w:rPr>
          <w:rFonts w:ascii="Times New Roman" w:hAnsi="Times New Roman"/>
          <w:sz w:val="24"/>
        </w:rPr>
        <w:t xml:space="preserve">Characterizing ocean flows with the scattering transform. arXiv preprint, 2025. arXiv:2505.00819. doi: 10.48550/arXiv.2505.00819</w:t>
      </w:r>
    </w:p>
    <w:p>
      <w:pPr>
        <w:pStyle w:val="BodyText"/>
      </w:pPr>
      <w:r>
        <w:rPr>
          <w:rFonts w:ascii="Times New Roman" w:hAnsi="Times New Roman"/>
          <w:i/>
          <w:iCs/>
          <w:sz w:val="24"/>
        </w:rPr>
        <w:t xml:space="preserve">Soci C., Hersbach H., Simmons A., et al.</w:t>
      </w:r>
      <w:r>
        <w:rPr>
          <w:rFonts w:ascii="Times New Roman" w:hAnsi="Times New Roman"/>
          <w:sz w:val="24"/>
        </w:rPr>
        <w:t xml:space="preserve"> </w:t>
      </w:r>
      <w:r>
        <w:rPr>
          <w:rFonts w:ascii="Times New Roman" w:hAnsi="Times New Roman"/>
          <w:sz w:val="24"/>
        </w:rPr>
        <w:t xml:space="preserve">The ERA5 global reanalysis from 1940 to 2022 // Q. J. R. Meteorol. Soc. 2024. Vol. 150. № 764. P. 4014–4048. doi: 10.1002/qj.4803</w:t>
      </w:r>
    </w:p>
    <w:p>
      <w:pPr>
        <w:pStyle w:val="BodyText"/>
      </w:pPr>
      <w:r>
        <w:rPr>
          <w:rFonts w:ascii="Times New Roman" w:hAnsi="Times New Roman"/>
          <w:i/>
          <w:iCs/>
          <w:sz w:val="24"/>
        </w:rPr>
        <w:t xml:space="preserve">Wu J., Loucks O.L.</w:t>
      </w:r>
      <w:r>
        <w:rPr>
          <w:rFonts w:ascii="Times New Roman" w:hAnsi="Times New Roman"/>
          <w:sz w:val="24"/>
        </w:rPr>
        <w:t xml:space="preserve"> </w:t>
      </w:r>
      <w:r>
        <w:rPr>
          <w:rFonts w:ascii="Times New Roman" w:hAnsi="Times New Roman"/>
          <w:sz w:val="24"/>
        </w:rPr>
        <w:t xml:space="preserve">From balance of nature to hierarchical patch dynamics: A paradigm shift in ecology // Q. Rev. Biol. 1995. Vol. 70. № 4. P. 439–466. doi: 10.1086/419172</w:t>
      </w:r>
    </w:p>
    <w:p>
      <w:pPr>
        <w:pStyle w:val="BodyText"/>
      </w:pPr>
      <w:r>
        <w:rPr>
          <w:rFonts w:ascii="Times New Roman" w:hAnsi="Times New Roman"/>
          <w:i/>
          <w:iCs/>
          <w:sz w:val="24"/>
        </w:rPr>
        <w:t xml:space="preserve">Zhang F., Bei N., Rotunno R., Snyder C., Epifanio C.C.</w:t>
      </w:r>
      <w:r>
        <w:rPr>
          <w:rFonts w:ascii="Times New Roman" w:hAnsi="Times New Roman"/>
          <w:sz w:val="24"/>
        </w:rPr>
        <w:t xml:space="preserve"> </w:t>
      </w:r>
      <w:r>
        <w:rPr>
          <w:rFonts w:ascii="Times New Roman" w:hAnsi="Times New Roman"/>
          <w:sz w:val="24"/>
        </w:rPr>
        <w:t xml:space="preserve">Mesoscale predictability of moist baroclinic waves: Convection-permitting experiments and multistage error growth dynamics // J. Atmos. Sci. 2007. Vol. 64. № 10. P. 3579–3594. doi: 10.1175/JAS4028.1</w:t>
      </w:r>
    </w:p>
    <w:bookmarkEnd w:id="25"/>
    <w:bookmarkStart w:id="41" w:name="references"/>
    <w:p>
      <w:pPr>
        <w:pStyle w:val="Heading1"/>
      </w:pPr>
      <w:r>
        <w:rPr>
          <w:rFonts w:ascii="Times New Roman" w:hAnsi="Times New Roman"/>
          <w:sz w:val="24"/>
        </w:rPr>
        <w:t xml:space="preserve">REFERENCES</w:t>
      </w:r>
    </w:p>
    <w:p>
      <w:pPr>
        <w:pStyle w:val="FirstParagraph"/>
      </w:pPr>
      <w:r>
        <w:rPr>
          <w:rFonts w:ascii="Times New Roman" w:hAnsi="Times New Roman"/>
          <w:sz w:val="24"/>
        </w:rPr>
        <w:t xml:space="preserve">Aluie H., Hecht M., Vallis G.K. Mapping the energy cascade in the North Atlantic Ocean: The coarse-graining approach.</w:t>
      </w:r>
      <w:r>
        <w:rPr>
          <w:rFonts w:ascii="Times New Roman" w:hAnsi="Times New Roman"/>
          <w:sz w:val="24"/>
        </w:rPr>
        <w:t xml:space="preserve"> </w:t>
      </w:r>
      <w:r>
        <w:rPr>
          <w:rFonts w:ascii="Times New Roman" w:hAnsi="Times New Roman"/>
          <w:i/>
          <w:iCs/>
          <w:sz w:val="24"/>
        </w:rPr>
        <w:t xml:space="preserve">J. Phys. Oceanogr.</w:t>
      </w:r>
      <w:r>
        <w:rPr>
          <w:rFonts w:ascii="Times New Roman" w:hAnsi="Times New Roman"/>
          <w:sz w:val="24"/>
        </w:rPr>
        <w:t xml:space="preserve">, 2018, vol. 48, no. 2, pp. 225–244.</w:t>
      </w:r>
      <w:r>
        <w:rPr>
          <w:rFonts w:ascii="Times New Roman" w:hAnsi="Times New Roman"/>
          <w:sz w:val="24"/>
        </w:rPr>
        <w:br/>
      </w:r>
      <w:r>
        <w:rPr>
          <w:rFonts w:ascii="Times New Roman" w:hAnsi="Times New Roman"/>
          <w:sz w:val="24"/>
        </w:rPr>
        <w:t xml:space="preserve">https://doi.org/10.1175/JPO-D-17-0100.1</w:t>
      </w:r>
    </w:p>
    <w:p>
      <w:pPr>
        <w:pStyle w:val="BodyText"/>
      </w:pPr>
      <w:r>
        <w:rPr>
          <w:rFonts w:ascii="Times New Roman" w:hAnsi="Times New Roman"/>
          <w:sz w:val="24"/>
        </w:rPr>
        <w:t xml:space="preserve">Bertrand G. Paysage et géographie physique globale. Esquisse méthodologique.</w:t>
      </w:r>
      <w:r>
        <w:rPr>
          <w:rFonts w:ascii="Times New Roman" w:hAnsi="Times New Roman"/>
          <w:sz w:val="24"/>
        </w:rPr>
        <w:t xml:space="preserve"> </w:t>
      </w:r>
      <w:r>
        <w:rPr>
          <w:rFonts w:ascii="Times New Roman" w:hAnsi="Times New Roman"/>
          <w:i/>
          <w:iCs/>
          <w:sz w:val="24"/>
        </w:rPr>
        <w:t xml:space="preserve">Rev. Géogr. Pyrénées Sud-Ouest</w:t>
      </w:r>
      <w:r>
        <w:rPr>
          <w:rFonts w:ascii="Times New Roman" w:hAnsi="Times New Roman"/>
          <w:sz w:val="24"/>
        </w:rPr>
        <w:t xml:space="preserve">, 1968, vol. 39, no. 3, pp. 249–272.</w:t>
      </w:r>
      <w:r>
        <w:rPr>
          <w:rFonts w:ascii="Times New Roman" w:hAnsi="Times New Roman"/>
          <w:sz w:val="24"/>
        </w:rPr>
        <w:br/>
      </w:r>
      <w:r>
        <w:rPr>
          <w:rFonts w:ascii="Times New Roman" w:hAnsi="Times New Roman"/>
          <w:sz w:val="24"/>
        </w:rPr>
        <w:t xml:space="preserve">https://doi.org/10.3406/rgpso.1968.4553</w:t>
      </w:r>
    </w:p>
    <w:p>
      <w:pPr>
        <w:pStyle w:val="BodyText"/>
      </w:pPr>
      <w:r>
        <w:rPr>
          <w:rFonts w:ascii="Times New Roman" w:hAnsi="Times New Roman"/>
          <w:sz w:val="24"/>
        </w:rPr>
        <w:t xml:space="preserve">Bi K., Xie L., Zhang H., Chen X., Gu X., Tian Q. Accurate medium-range global weather forecasting with 3D neural networks.</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2023, vol. 619, no. 7970, pp. 533–538.</w:t>
      </w:r>
      <w:r>
        <w:rPr>
          <w:rFonts w:ascii="Times New Roman" w:hAnsi="Times New Roman"/>
          <w:sz w:val="24"/>
        </w:rPr>
        <w:br/>
      </w:r>
      <w:r>
        <w:rPr>
          <w:rFonts w:ascii="Times New Roman" w:hAnsi="Times New Roman"/>
          <w:sz w:val="24"/>
        </w:rPr>
        <w:t xml:space="preserve">https://doi.org/10.1038/s41586-023-06185-3</w:t>
      </w:r>
    </w:p>
    <w:p>
      <w:pPr>
        <w:pStyle w:val="BodyText"/>
      </w:pPr>
      <w:r>
        <w:rPr>
          <w:rFonts w:ascii="Times New Roman" w:hAnsi="Times New Roman"/>
          <w:sz w:val="24"/>
        </w:rPr>
        <w:t xml:space="preserve">Bolgiani P., Calvo-Sancho C., Díaz-Fernández J., Quitián-Hernández L., Sastre M., Santos-Muñoz D., Farrán J.I., González-Alemán J.J., Valero F., Martín M.L. Wind kinetic energy climatology and effective resolution for the ERA5 reanalysis.</w:t>
      </w:r>
      <w:r>
        <w:rPr>
          <w:rFonts w:ascii="Times New Roman" w:hAnsi="Times New Roman"/>
          <w:sz w:val="24"/>
        </w:rPr>
        <w:t xml:space="preserve"> </w:t>
      </w:r>
      <w:r>
        <w:rPr>
          <w:rFonts w:ascii="Times New Roman" w:hAnsi="Times New Roman"/>
          <w:i/>
          <w:iCs/>
          <w:sz w:val="24"/>
        </w:rPr>
        <w:t xml:space="preserve">Clim. Dyn.</w:t>
      </w:r>
      <w:r>
        <w:rPr>
          <w:rFonts w:ascii="Times New Roman" w:hAnsi="Times New Roman"/>
          <w:sz w:val="24"/>
        </w:rPr>
        <w:t xml:space="preserve">, 2022, vol. 59, no. 3–4, pp. 737–752.</w:t>
      </w:r>
      <w:r>
        <w:rPr>
          <w:rFonts w:ascii="Times New Roman" w:hAnsi="Times New Roman"/>
          <w:sz w:val="24"/>
        </w:rPr>
        <w:br/>
      </w:r>
      <w:r>
        <w:rPr>
          <w:rFonts w:ascii="Times New Roman" w:hAnsi="Times New Roman"/>
          <w:sz w:val="24"/>
        </w:rPr>
        <w:t xml:space="preserve">https://doi.org/10.1007/s00382-022-06154-y</w:t>
      </w:r>
    </w:p>
    <w:p>
      <w:pPr>
        <w:pStyle w:val="BodyText"/>
      </w:pPr>
      <w:r>
        <w:rPr>
          <w:rFonts w:ascii="Times New Roman" w:hAnsi="Times New Roman"/>
          <w:sz w:val="24"/>
        </w:rPr>
        <w:t xml:space="preserve">Bruna J., Mallat S. Invariant scattering convolution networks.</w:t>
      </w:r>
      <w:r>
        <w:rPr>
          <w:rFonts w:ascii="Times New Roman" w:hAnsi="Times New Roman"/>
          <w:sz w:val="24"/>
        </w:rPr>
        <w:t xml:space="preserve"> </w:t>
      </w:r>
      <w:r>
        <w:rPr>
          <w:rFonts w:ascii="Times New Roman" w:hAnsi="Times New Roman"/>
          <w:i/>
          <w:iCs/>
          <w:sz w:val="24"/>
        </w:rPr>
        <w:t xml:space="preserve">IEEE Trans. Pattern Anal. Mach. Intell.</w:t>
      </w:r>
      <w:r>
        <w:rPr>
          <w:rFonts w:ascii="Times New Roman" w:hAnsi="Times New Roman"/>
          <w:sz w:val="24"/>
        </w:rPr>
        <w:t xml:space="preserve">, 2013, vol. 35, no. 8, pp. 1872–1886.</w:t>
      </w:r>
      <w:r>
        <w:rPr>
          <w:rFonts w:ascii="Times New Roman" w:hAnsi="Times New Roman"/>
          <w:sz w:val="24"/>
        </w:rPr>
        <w:br/>
      </w:r>
      <w:r>
        <w:rPr>
          <w:rFonts w:ascii="Times New Roman" w:hAnsi="Times New Roman"/>
          <w:sz w:val="24"/>
        </w:rPr>
        <w:t xml:space="preserve">https://doi.org/10.1109/TPAMI.2012.230</w:t>
      </w:r>
    </w:p>
    <w:p>
      <w:pPr>
        <w:pStyle w:val="BodyText"/>
      </w:pPr>
      <w:r>
        <w:rPr>
          <w:rFonts w:ascii="Times New Roman" w:hAnsi="Times New Roman"/>
          <w:sz w:val="24"/>
        </w:rPr>
        <w:t xml:space="preserve">Bruns A., Eckhorn R., Jokeit H., Ebner A. Amplitude envelope correlation detects coupling among incoherent brain signals.</w:t>
      </w:r>
      <w:r>
        <w:rPr>
          <w:rFonts w:ascii="Times New Roman" w:hAnsi="Times New Roman"/>
          <w:sz w:val="24"/>
        </w:rPr>
        <w:t xml:space="preserve"> </w:t>
      </w:r>
      <w:r>
        <w:rPr>
          <w:rFonts w:ascii="Times New Roman" w:hAnsi="Times New Roman"/>
          <w:i/>
          <w:iCs/>
          <w:sz w:val="24"/>
        </w:rPr>
        <w:t xml:space="preserve">NeuroReport</w:t>
      </w:r>
      <w:r>
        <w:rPr>
          <w:rFonts w:ascii="Times New Roman" w:hAnsi="Times New Roman"/>
          <w:sz w:val="24"/>
        </w:rPr>
        <w:t xml:space="preserve">, 2000, vol. 11, no. 7, pp. 1509–1514.</w:t>
      </w:r>
      <w:r>
        <w:rPr>
          <w:rFonts w:ascii="Times New Roman" w:hAnsi="Times New Roman"/>
          <w:sz w:val="24"/>
        </w:rPr>
        <w:br/>
      </w:r>
      <w:r>
        <w:rPr>
          <w:rFonts w:ascii="Times New Roman" w:hAnsi="Times New Roman"/>
          <w:sz w:val="24"/>
        </w:rPr>
        <w:t xml:space="preserve">https://doi.org/10.1097/00001756-200005150-00029</w:t>
      </w:r>
    </w:p>
    <w:p>
      <w:pPr>
        <w:pStyle w:val="BodyText"/>
      </w:pPr>
      <w:r>
        <w:rPr>
          <w:rFonts w:ascii="Times New Roman" w:hAnsi="Times New Roman"/>
          <w:sz w:val="24"/>
        </w:rPr>
        <w:t xml:space="preserve">Canolty R.T., Edwards E., Dalal S.S., Soltani M., Nagarajan S.S., Kirsch H.E., Berger M.S., Barbaro N.M., Knight R.T. High gamma power is phase-locked to theta oscillations in human neocortex.</w:t>
      </w:r>
      <w:r>
        <w:rPr>
          <w:rFonts w:ascii="Times New Roman" w:hAnsi="Times New Roman"/>
          <w:sz w:val="24"/>
        </w:rPr>
        <w:t xml:space="preserve"> </w:t>
      </w:r>
      <w:r>
        <w:rPr>
          <w:rFonts w:ascii="Times New Roman" w:hAnsi="Times New Roman"/>
          <w:i/>
          <w:iCs/>
          <w:sz w:val="24"/>
        </w:rPr>
        <w:t xml:space="preserve">Science</w:t>
      </w:r>
      <w:r>
        <w:rPr>
          <w:rFonts w:ascii="Times New Roman" w:hAnsi="Times New Roman"/>
          <w:sz w:val="24"/>
        </w:rPr>
        <w:t xml:space="preserve">, 2006, vol. 313, no. 5793, pp. 1626–1628.</w:t>
      </w:r>
      <w:r>
        <w:rPr>
          <w:rFonts w:ascii="Times New Roman" w:hAnsi="Times New Roman"/>
          <w:sz w:val="24"/>
        </w:rPr>
        <w:br/>
      </w:r>
      <w:r>
        <w:rPr>
          <w:rFonts w:ascii="Times New Roman" w:hAnsi="Times New Roman"/>
          <w:sz w:val="24"/>
        </w:rPr>
        <w:t xml:space="preserve">https://doi.org/10.1126/science.1128115</w:t>
      </w:r>
    </w:p>
    <w:p>
      <w:pPr>
        <w:pStyle w:val="BodyText"/>
      </w:pPr>
      <w:r>
        <w:rPr>
          <w:rFonts w:ascii="Times New Roman" w:hAnsi="Times New Roman"/>
          <w:sz w:val="24"/>
        </w:rPr>
        <w:t xml:space="preserve">Cheng S., Morel R., Allys E., Ménard B., Mallat S. Scattering spectra models for physics.</w:t>
      </w:r>
      <w:r>
        <w:rPr>
          <w:rFonts w:ascii="Times New Roman" w:hAnsi="Times New Roman"/>
          <w:sz w:val="24"/>
        </w:rPr>
        <w:t xml:space="preserve"> </w:t>
      </w:r>
      <w:r>
        <w:rPr>
          <w:rFonts w:ascii="Times New Roman" w:hAnsi="Times New Roman"/>
          <w:i/>
          <w:iCs/>
          <w:sz w:val="24"/>
        </w:rPr>
        <w:t xml:space="preserve">PNAS Nexus</w:t>
      </w:r>
      <w:r>
        <w:rPr>
          <w:rFonts w:ascii="Times New Roman" w:hAnsi="Times New Roman"/>
          <w:sz w:val="24"/>
        </w:rPr>
        <w:t xml:space="preserve">, 2024, vol. 3, no. 4, art. pgae103.</w:t>
      </w:r>
      <w:r>
        <w:rPr>
          <w:rFonts w:ascii="Times New Roman" w:hAnsi="Times New Roman"/>
          <w:sz w:val="24"/>
        </w:rPr>
        <w:br/>
      </w:r>
      <w:r>
        <w:rPr>
          <w:rFonts w:ascii="Times New Roman" w:hAnsi="Times New Roman"/>
          <w:sz w:val="24"/>
        </w:rPr>
        <w:t xml:space="preserve">https://doi.org/10.1093/pnasnexus/pgae103</w:t>
      </w:r>
    </w:p>
    <w:p>
      <w:pPr>
        <w:pStyle w:val="BodyText"/>
      </w:pPr>
      <w:r>
        <w:rPr>
          <w:rFonts w:ascii="Times New Roman" w:hAnsi="Times New Roman"/>
          <w:sz w:val="24"/>
        </w:rPr>
        <w:t xml:space="preserve">Cui G., Jacobi I. Interpretation of the amplitude modulation coefficient and a new transport-based coefficient.</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2025, vol. 1002, art. A35.</w:t>
      </w:r>
      <w:r>
        <w:rPr>
          <w:rFonts w:ascii="Times New Roman" w:hAnsi="Times New Roman"/>
          <w:sz w:val="24"/>
        </w:rPr>
        <w:br/>
      </w:r>
      <w:r>
        <w:rPr>
          <w:rFonts w:ascii="Times New Roman" w:hAnsi="Times New Roman"/>
          <w:sz w:val="24"/>
        </w:rPr>
        <w:t xml:space="preserve">https://doi.org/10.1017/jfm.2024.1203</w:t>
      </w:r>
    </w:p>
    <w:p>
      <w:pPr>
        <w:pStyle w:val="BodyText"/>
      </w:pPr>
      <w:r>
        <w:rPr>
          <w:rFonts w:ascii="Times New Roman" w:hAnsi="Times New Roman"/>
          <w:sz w:val="24"/>
        </w:rPr>
        <w:t xml:space="preserve">Farge M. Wavelet transforms and their applications to turbulence.</w:t>
      </w:r>
      <w:r>
        <w:rPr>
          <w:rFonts w:ascii="Times New Roman" w:hAnsi="Times New Roman"/>
          <w:sz w:val="24"/>
        </w:rPr>
        <w:t xml:space="preserve"> </w:t>
      </w:r>
      <w:r>
        <w:rPr>
          <w:rFonts w:ascii="Times New Roman" w:hAnsi="Times New Roman"/>
          <w:i/>
          <w:iCs/>
          <w:sz w:val="24"/>
        </w:rPr>
        <w:t xml:space="preserve">Annu. Rev. Fluid Mech.</w:t>
      </w:r>
      <w:r>
        <w:rPr>
          <w:rFonts w:ascii="Times New Roman" w:hAnsi="Times New Roman"/>
          <w:sz w:val="24"/>
        </w:rPr>
        <w:t xml:space="preserve">, 1992, vol. 24, no. 1, pp. 395–458.</w:t>
      </w:r>
      <w:r>
        <w:rPr>
          <w:rFonts w:ascii="Times New Roman" w:hAnsi="Times New Roman"/>
          <w:sz w:val="24"/>
        </w:rPr>
        <w:br/>
      </w:r>
      <w:r>
        <w:rPr>
          <w:rFonts w:ascii="Times New Roman" w:hAnsi="Times New Roman"/>
          <w:sz w:val="24"/>
        </w:rPr>
        <w:t xml:space="preserve">https://doi.org/10.1146/annurev.fl.24.010192.002143</w:t>
      </w:r>
    </w:p>
    <w:p>
      <w:pPr>
        <w:pStyle w:val="BodyText"/>
      </w:pPr>
      <w:r>
        <w:rPr>
          <w:rFonts w:ascii="Times New Roman" w:hAnsi="Times New Roman"/>
          <w:sz w:val="24"/>
        </w:rPr>
        <w:t xml:space="preserve">Gelaro R., McCarty W., Suárez M.J., et al. The Modern-Era Retrospective Analysis for Research and Applications, Version 2 (MERRA-2).</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2017, vol. 30, no. 14, pp. 5419–5454.</w:t>
      </w:r>
      <w:r>
        <w:rPr>
          <w:rFonts w:ascii="Times New Roman" w:hAnsi="Times New Roman"/>
          <w:sz w:val="24"/>
        </w:rPr>
        <w:br/>
      </w:r>
      <w:r>
        <w:rPr>
          <w:rFonts w:ascii="Times New Roman" w:hAnsi="Times New Roman"/>
          <w:sz w:val="24"/>
        </w:rPr>
        <w:t xml:space="preserve">https://doi.org/10.1175/JCLI-D-16-0758.1</w:t>
      </w:r>
    </w:p>
    <w:p>
      <w:pPr>
        <w:pStyle w:val="BodyText"/>
      </w:pPr>
      <w:r>
        <w:rPr>
          <w:rFonts w:ascii="Times New Roman" w:hAnsi="Times New Roman"/>
          <w:sz w:val="24"/>
        </w:rPr>
        <w:t xml:space="preserve">Germano M. Turbulence: the filtering approach.</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1992, vol. 238, pp. 325–336.</w:t>
      </w:r>
      <w:r>
        <w:rPr>
          <w:rFonts w:ascii="Times New Roman" w:hAnsi="Times New Roman"/>
          <w:sz w:val="24"/>
        </w:rPr>
        <w:br/>
      </w:r>
      <w:r>
        <w:rPr>
          <w:rFonts w:ascii="Times New Roman" w:hAnsi="Times New Roman"/>
          <w:sz w:val="24"/>
        </w:rPr>
        <w:t xml:space="preserve">https://doi.org/10.1017/S0022112092001733</w:t>
      </w:r>
    </w:p>
    <w:p>
      <w:pPr>
        <w:pStyle w:val="BodyText"/>
      </w:pPr>
      <w:r>
        <w:rPr>
          <w:rFonts w:ascii="Times New Roman" w:hAnsi="Times New Roman"/>
          <w:sz w:val="24"/>
        </w:rPr>
        <w:t xml:space="preserve">Haarsma R.J., Roberts M.J., Vidale P.L., et al. High Resolution Model Intercomparison Project (HighResMIP v1.0) for CMIP6.</w:t>
      </w:r>
      <w:r>
        <w:rPr>
          <w:rFonts w:ascii="Times New Roman" w:hAnsi="Times New Roman"/>
          <w:sz w:val="24"/>
        </w:rPr>
        <w:t xml:space="preserve"> </w:t>
      </w:r>
      <w:r>
        <w:rPr>
          <w:rFonts w:ascii="Times New Roman" w:hAnsi="Times New Roman"/>
          <w:i/>
          <w:iCs/>
          <w:sz w:val="24"/>
        </w:rPr>
        <w:t xml:space="preserve">Geosci. Model Dev.</w:t>
      </w:r>
      <w:r>
        <w:rPr>
          <w:rFonts w:ascii="Times New Roman" w:hAnsi="Times New Roman"/>
          <w:sz w:val="24"/>
        </w:rPr>
        <w:t xml:space="preserve">, 2016, vol. 9, pp. 4185–4208.</w:t>
      </w:r>
      <w:r>
        <w:rPr>
          <w:rFonts w:ascii="Times New Roman" w:hAnsi="Times New Roman"/>
          <w:sz w:val="24"/>
        </w:rPr>
        <w:br/>
      </w:r>
      <w:r>
        <w:rPr>
          <w:rFonts w:ascii="Times New Roman" w:hAnsi="Times New Roman"/>
          <w:sz w:val="24"/>
        </w:rPr>
        <w:t xml:space="preserve">https://doi.org/10.5194/gmd-9-4185-2016</w:t>
      </w:r>
    </w:p>
    <w:p>
      <w:pPr>
        <w:pStyle w:val="BodyText"/>
      </w:pPr>
      <w:r>
        <w:rPr>
          <w:rFonts w:ascii="Times New Roman" w:hAnsi="Times New Roman"/>
          <w:sz w:val="24"/>
        </w:rPr>
        <w:t xml:space="preserve">Hersbach H., Bell B., Berrisford P., et al. The ERA5 global reanalysis.</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2020, vol. 146, no. 730, pp. 1999–2049.</w:t>
      </w:r>
      <w:r>
        <w:rPr>
          <w:rFonts w:ascii="Times New Roman" w:hAnsi="Times New Roman"/>
          <w:sz w:val="24"/>
        </w:rPr>
        <w:br/>
      </w:r>
      <w:r>
        <w:rPr>
          <w:rFonts w:ascii="Times New Roman" w:hAnsi="Times New Roman"/>
          <w:sz w:val="24"/>
        </w:rPr>
        <w:t xml:space="preserve">https://doi.org/10.1002/qj.3803</w:t>
      </w:r>
    </w:p>
    <w:p>
      <w:pPr>
        <w:pStyle w:val="BodyText"/>
      </w:pPr>
      <w:r>
        <w:rPr>
          <w:rFonts w:ascii="Times New Roman" w:hAnsi="Times New Roman"/>
          <w:sz w:val="24"/>
        </w:rPr>
        <w:t xml:space="preserve">Judt F. Atmospheric predictability of the tropics, middle latitudes, and polar regions explored through global storm-resolving simulations.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2020, vol. 77, no. 1, pp. 257–276.</w:t>
      </w:r>
      <w:r>
        <w:rPr>
          <w:rFonts w:ascii="Times New Roman" w:hAnsi="Times New Roman"/>
          <w:sz w:val="24"/>
        </w:rPr>
        <w:br/>
      </w:r>
      <w:r>
        <w:rPr>
          <w:rFonts w:ascii="Times New Roman" w:hAnsi="Times New Roman"/>
          <w:sz w:val="24"/>
        </w:rPr>
        <w:t xml:space="preserve">https://doi.org/10.1175/JAS-D-19-0116.1</w:t>
      </w:r>
    </w:p>
    <w:p>
      <w:pPr>
        <w:pStyle w:val="BodyText"/>
      </w:pPr>
      <w:r>
        <w:rPr>
          <w:rFonts w:ascii="Times New Roman" w:hAnsi="Times New Roman"/>
          <w:sz w:val="24"/>
        </w:rPr>
        <w:t xml:space="preserve">Kouhen S., Storer B.A., Aluie H., Marshall D.P., Christensen H.M. Convective and orographic origins of the mesoscale kinetic energy spectrum.</w:t>
      </w:r>
      <w:r>
        <w:rPr>
          <w:rFonts w:ascii="Times New Roman" w:hAnsi="Times New Roman"/>
          <w:sz w:val="24"/>
        </w:rPr>
        <w:t xml:space="preserve"> </w:t>
      </w:r>
      <w:r>
        <w:rPr>
          <w:rFonts w:ascii="Times New Roman" w:hAnsi="Times New Roman"/>
          <w:i/>
          <w:iCs/>
          <w:sz w:val="24"/>
        </w:rPr>
        <w:t xml:space="preserve">Geophys. Res. Lett.</w:t>
      </w:r>
      <w:r>
        <w:rPr>
          <w:rFonts w:ascii="Times New Roman" w:hAnsi="Times New Roman"/>
          <w:sz w:val="24"/>
        </w:rPr>
        <w:t xml:space="preserve">, 2024, vol. 51, no. 21, art. e2024GL110804.</w:t>
      </w:r>
      <w:r>
        <w:rPr>
          <w:rFonts w:ascii="Times New Roman" w:hAnsi="Times New Roman"/>
          <w:sz w:val="24"/>
        </w:rPr>
        <w:br/>
      </w:r>
      <w:r>
        <w:rPr>
          <w:rFonts w:ascii="Times New Roman" w:hAnsi="Times New Roman"/>
          <w:sz w:val="24"/>
        </w:rPr>
        <w:t xml:space="preserve">https://doi.org/10.1029/2024GL110804</w:t>
      </w:r>
    </w:p>
    <w:p>
      <w:pPr>
        <w:pStyle w:val="BodyText"/>
      </w:pPr>
      <w:r>
        <w:rPr>
          <w:rFonts w:ascii="Times New Roman" w:hAnsi="Times New Roman"/>
          <w:sz w:val="24"/>
        </w:rPr>
        <w:t xml:space="preserve">Krenke A.N., Puzachenko Yu.G., Puzachenko M.Yu. Spatial organization of regional mesoclimate.</w:t>
      </w:r>
      <w:r>
        <w:rPr>
          <w:rFonts w:ascii="Times New Roman" w:hAnsi="Times New Roman"/>
          <w:sz w:val="24"/>
        </w:rPr>
        <w:t xml:space="preserve"> </w:t>
      </w:r>
      <w:r>
        <w:rPr>
          <w:rFonts w:ascii="Times New Roman" w:hAnsi="Times New Roman"/>
          <w:i/>
          <w:iCs/>
          <w:sz w:val="24"/>
        </w:rPr>
        <w:t xml:space="preserve">Izv. Akad. Nauk, Ser. Geogr.</w:t>
      </w:r>
      <w:r>
        <w:rPr>
          <w:rFonts w:ascii="Times New Roman" w:hAnsi="Times New Roman"/>
          <w:sz w:val="24"/>
        </w:rPr>
        <w:t xml:space="preserve">, 2019, no. 3, pp. 116–130. (In Russ.).</w:t>
      </w:r>
      <w:r>
        <w:rPr>
          <w:rFonts w:ascii="Times New Roman" w:hAnsi="Times New Roman"/>
          <w:sz w:val="24"/>
        </w:rPr>
        <w:br/>
      </w:r>
      <w:r>
        <w:rPr>
          <w:rFonts w:ascii="Times New Roman" w:hAnsi="Times New Roman"/>
          <w:sz w:val="24"/>
        </w:rPr>
        <w:t xml:space="preserve">https://doi.org/10.31857/S2587-556620193116-130</w:t>
      </w:r>
    </w:p>
    <w:p>
      <w:pPr>
        <w:pStyle w:val="BodyText"/>
      </w:pPr>
      <w:r>
        <w:rPr>
          <w:rFonts w:ascii="Times New Roman" w:hAnsi="Times New Roman"/>
          <w:sz w:val="24"/>
        </w:rPr>
        <w:t xml:space="preserve">Lam R., Sanchez-Gonzalez A., Willson M., et al. Learning skillful medium-range global weather forecasting.</w:t>
      </w:r>
      <w:r>
        <w:rPr>
          <w:rFonts w:ascii="Times New Roman" w:hAnsi="Times New Roman"/>
          <w:sz w:val="24"/>
        </w:rPr>
        <w:t xml:space="preserve"> </w:t>
      </w:r>
      <w:r>
        <w:rPr>
          <w:rFonts w:ascii="Times New Roman" w:hAnsi="Times New Roman"/>
          <w:i/>
          <w:iCs/>
          <w:sz w:val="24"/>
        </w:rPr>
        <w:t xml:space="preserve">Science</w:t>
      </w:r>
      <w:r>
        <w:rPr>
          <w:rFonts w:ascii="Times New Roman" w:hAnsi="Times New Roman"/>
          <w:sz w:val="24"/>
        </w:rPr>
        <w:t xml:space="preserve">, 2023, vol. 382, no. 6677, pp. 1416–1421.</w:t>
      </w:r>
      <w:r>
        <w:rPr>
          <w:rFonts w:ascii="Times New Roman" w:hAnsi="Times New Roman"/>
          <w:sz w:val="24"/>
        </w:rPr>
        <w:br/>
      </w:r>
      <w:r>
        <w:rPr>
          <w:rFonts w:ascii="Times New Roman" w:hAnsi="Times New Roman"/>
          <w:sz w:val="24"/>
        </w:rPr>
        <w:t xml:space="preserve">https://doi.org/10.1126/science.adi2336</w:t>
      </w:r>
    </w:p>
    <w:p>
      <w:pPr>
        <w:pStyle w:val="BodyText"/>
      </w:pPr>
      <w:r>
        <w:rPr>
          <w:rFonts w:ascii="Times New Roman" w:hAnsi="Times New Roman"/>
          <w:sz w:val="24"/>
        </w:rPr>
        <w:t xml:space="preserve">Levin S.A. The problem of pattern and scale in ecology: The Robert H. MacArthur Award Lecture.</w:t>
      </w:r>
      <w:r>
        <w:rPr>
          <w:rFonts w:ascii="Times New Roman" w:hAnsi="Times New Roman"/>
          <w:sz w:val="24"/>
        </w:rPr>
        <w:t xml:space="preserve"> </w:t>
      </w:r>
      <w:r>
        <w:rPr>
          <w:rFonts w:ascii="Times New Roman" w:hAnsi="Times New Roman"/>
          <w:i/>
          <w:iCs/>
          <w:sz w:val="24"/>
        </w:rPr>
        <w:t xml:space="preserve">Ecology</w:t>
      </w:r>
      <w:r>
        <w:rPr>
          <w:rFonts w:ascii="Times New Roman" w:hAnsi="Times New Roman"/>
          <w:sz w:val="24"/>
        </w:rPr>
        <w:t xml:space="preserve">, 1992, vol. 73, no. 6, pp. 1943–1967.</w:t>
      </w:r>
      <w:r>
        <w:rPr>
          <w:rFonts w:ascii="Times New Roman" w:hAnsi="Times New Roman"/>
          <w:sz w:val="24"/>
        </w:rPr>
        <w:br/>
      </w:r>
      <w:r>
        <w:rPr>
          <w:rFonts w:ascii="Times New Roman" w:hAnsi="Times New Roman"/>
          <w:sz w:val="24"/>
        </w:rPr>
        <w:t xml:space="preserve">https://doi.org/10.2307/1941447</w:t>
      </w:r>
    </w:p>
    <w:p>
      <w:pPr>
        <w:pStyle w:val="BodyText"/>
      </w:pPr>
      <w:r>
        <w:rPr>
          <w:rFonts w:ascii="Times New Roman" w:hAnsi="Times New Roman"/>
          <w:sz w:val="24"/>
        </w:rPr>
        <w:t xml:space="preserve">Lorenz E.N. The predictability of a flow which possesses many scales of motion.</w:t>
      </w:r>
      <w:r>
        <w:rPr>
          <w:rFonts w:ascii="Times New Roman" w:hAnsi="Times New Roman"/>
          <w:sz w:val="24"/>
        </w:rPr>
        <w:t xml:space="preserve"> </w:t>
      </w:r>
      <w:r>
        <w:rPr>
          <w:rFonts w:ascii="Times New Roman" w:hAnsi="Times New Roman"/>
          <w:i/>
          <w:iCs/>
          <w:sz w:val="24"/>
        </w:rPr>
        <w:t xml:space="preserve">Tellus</w:t>
      </w:r>
      <w:r>
        <w:rPr>
          <w:rFonts w:ascii="Times New Roman" w:hAnsi="Times New Roman"/>
          <w:sz w:val="24"/>
        </w:rPr>
        <w:t xml:space="preserve">, 1969, vol. 21, no. 3, pp. 289–307.</w:t>
      </w:r>
      <w:r>
        <w:rPr>
          <w:rFonts w:ascii="Times New Roman" w:hAnsi="Times New Roman"/>
          <w:sz w:val="24"/>
        </w:rPr>
        <w:br/>
      </w:r>
      <w:r>
        <w:rPr>
          <w:rFonts w:ascii="Times New Roman" w:hAnsi="Times New Roman"/>
          <w:sz w:val="24"/>
        </w:rPr>
        <w:t xml:space="preserve">https://doi.org/10.1111/j.2153-3490.1969.tb00444.x</w:t>
      </w:r>
    </w:p>
    <w:p>
      <w:pPr>
        <w:pStyle w:val="BodyText"/>
      </w:pPr>
      <w:r>
        <w:rPr>
          <w:rFonts w:ascii="Times New Roman" w:hAnsi="Times New Roman"/>
          <w:sz w:val="24"/>
        </w:rPr>
        <w:t xml:space="preserve">Lovejoy S., Schertzer D. Space-time cascades and the scaling of ECMWF reanalyses: Fluxes and fields.</w:t>
      </w:r>
      <w:r>
        <w:rPr>
          <w:rFonts w:ascii="Times New Roman" w:hAnsi="Times New Roman"/>
          <w:sz w:val="24"/>
        </w:rPr>
        <w:t xml:space="preserve"> </w:t>
      </w:r>
      <w:r>
        <w:rPr>
          <w:rFonts w:ascii="Times New Roman" w:hAnsi="Times New Roman"/>
          <w:i/>
          <w:iCs/>
          <w:sz w:val="24"/>
        </w:rPr>
        <w:t xml:space="preserve">J. Geophys. Res. Atmos.</w:t>
      </w:r>
      <w:r>
        <w:rPr>
          <w:rFonts w:ascii="Times New Roman" w:hAnsi="Times New Roman"/>
          <w:sz w:val="24"/>
        </w:rPr>
        <w:t xml:space="preserve">, 2011, vol. 116, no. D14, art. D14117.</w:t>
      </w:r>
      <w:r>
        <w:rPr>
          <w:rFonts w:ascii="Times New Roman" w:hAnsi="Times New Roman"/>
          <w:sz w:val="24"/>
        </w:rPr>
        <w:br/>
      </w:r>
      <w:r>
        <w:rPr>
          <w:rFonts w:ascii="Times New Roman" w:hAnsi="Times New Roman"/>
          <w:sz w:val="24"/>
        </w:rPr>
        <w:t xml:space="preserve">https://doi.org/10.1029/2011JD015654</w:t>
      </w:r>
    </w:p>
    <w:p>
      <w:pPr>
        <w:pStyle w:val="BodyText"/>
      </w:pPr>
      <w:r>
        <w:rPr>
          <w:rFonts w:ascii="Times New Roman" w:hAnsi="Times New Roman"/>
          <w:sz w:val="24"/>
        </w:rPr>
        <w:t xml:space="preserve">Lovejoy S., Schertzer D.</w:t>
      </w:r>
      <w:r>
        <w:rPr>
          <w:rFonts w:ascii="Times New Roman" w:hAnsi="Times New Roman"/>
          <w:sz w:val="24"/>
        </w:rPr>
        <w:t xml:space="preserve"> </w:t>
      </w:r>
      <w:r>
        <w:rPr>
          <w:rFonts w:ascii="Times New Roman" w:hAnsi="Times New Roman"/>
          <w:i/>
          <w:iCs/>
          <w:sz w:val="24"/>
        </w:rPr>
        <w:t xml:space="preserve">The Weather and Climate: Emergent Laws and Multifractal Cascades</w:t>
      </w:r>
      <w:r>
        <w:rPr>
          <w:rFonts w:ascii="Times New Roman" w:hAnsi="Times New Roman"/>
          <w:sz w:val="24"/>
        </w:rPr>
        <w:t xml:space="preserve">. Cambridge: CUP, 2013.</w:t>
      </w:r>
      <w:r>
        <w:rPr>
          <w:rFonts w:ascii="Times New Roman" w:hAnsi="Times New Roman"/>
          <w:sz w:val="24"/>
        </w:rPr>
        <w:br/>
      </w:r>
      <w:r>
        <w:rPr>
          <w:rFonts w:ascii="Times New Roman" w:hAnsi="Times New Roman"/>
          <w:sz w:val="24"/>
        </w:rPr>
        <w:t xml:space="preserve">https://doi.org/10.1017/CBO9781139093811</w:t>
      </w:r>
    </w:p>
    <w:p>
      <w:pPr>
        <w:pStyle w:val="BodyText"/>
      </w:pPr>
      <w:r>
        <w:rPr>
          <w:rFonts w:ascii="Times New Roman" w:hAnsi="Times New Roman"/>
          <w:sz w:val="24"/>
        </w:rPr>
        <w:t xml:space="preserve">Mallat S. Group invariant scattering.</w:t>
      </w:r>
      <w:r>
        <w:rPr>
          <w:rFonts w:ascii="Times New Roman" w:hAnsi="Times New Roman"/>
          <w:sz w:val="24"/>
        </w:rPr>
        <w:t xml:space="preserve"> </w:t>
      </w:r>
      <w:r>
        <w:rPr>
          <w:rFonts w:ascii="Times New Roman" w:hAnsi="Times New Roman"/>
          <w:i/>
          <w:iCs/>
          <w:sz w:val="24"/>
        </w:rPr>
        <w:t xml:space="preserve">Commun. Pure Appl. Math.</w:t>
      </w:r>
      <w:r>
        <w:rPr>
          <w:rFonts w:ascii="Times New Roman" w:hAnsi="Times New Roman"/>
          <w:sz w:val="24"/>
        </w:rPr>
        <w:t xml:space="preserve">, 2012, vol. 65, no. 10, pp. 1331–1398.</w:t>
      </w:r>
      <w:r>
        <w:rPr>
          <w:rFonts w:ascii="Times New Roman" w:hAnsi="Times New Roman"/>
          <w:sz w:val="24"/>
        </w:rPr>
        <w:br/>
      </w:r>
      <w:r>
        <w:rPr>
          <w:rFonts w:ascii="Times New Roman" w:hAnsi="Times New Roman"/>
          <w:sz w:val="24"/>
        </w:rPr>
        <w:t xml:space="preserve">https://doi.org/10.1002/cpa.21413</w:t>
      </w:r>
    </w:p>
    <w:p>
      <w:pPr>
        <w:pStyle w:val="BodyText"/>
      </w:pPr>
      <w:r>
        <w:rPr>
          <w:rFonts w:ascii="Times New Roman" w:hAnsi="Times New Roman"/>
          <w:sz w:val="24"/>
        </w:rPr>
        <w:t xml:space="preserve">Mathis R., Hutchins N., Marusic I. Large-scale amplitude modulation of the small-scale structures in turbulent boundary layers.</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2009, vol. 628, pp. 311–337.</w:t>
      </w:r>
      <w:r>
        <w:rPr>
          <w:rFonts w:ascii="Times New Roman" w:hAnsi="Times New Roman"/>
          <w:sz w:val="24"/>
        </w:rPr>
        <w:br/>
      </w:r>
      <w:r>
        <w:rPr>
          <w:rFonts w:ascii="Times New Roman" w:hAnsi="Times New Roman"/>
          <w:sz w:val="24"/>
        </w:rPr>
        <w:t xml:space="preserve">https://doi.org/10.1017/S0022112009006946</w:t>
      </w:r>
    </w:p>
    <w:p>
      <w:pPr>
        <w:pStyle w:val="BodyText"/>
      </w:pPr>
      <w:r>
        <w:rPr>
          <w:rFonts w:ascii="Times New Roman" w:hAnsi="Times New Roman"/>
          <w:sz w:val="24"/>
        </w:rPr>
        <w:t xml:space="preserve">Nastrom G.D., Gage K.S. A climatology of atmospheric wavenumber spectra of wind and temperature observed by commercial aircraft.</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1985, vol. 42, no. 9, pp. 950–960.</w:t>
      </w:r>
      <w:r>
        <w:rPr>
          <w:rFonts w:ascii="Times New Roman" w:hAnsi="Times New Roman"/>
          <w:sz w:val="24"/>
        </w:rPr>
        <w:br/>
      </w:r>
      <w:r>
        <w:rPr>
          <w:rFonts w:ascii="Times New Roman" w:hAnsi="Times New Roman"/>
          <w:sz w:val="24"/>
        </w:rPr>
        <w:t xml:space="preserve">https://doi.org/10.1175/1520-0469(1985)042&lt;0950:ACOAWS&gt;2.0.CO;2</w:t>
      </w:r>
    </w:p>
    <w:p>
      <w:pPr>
        <w:pStyle w:val="BodyText"/>
      </w:pPr>
      <w:r>
        <w:rPr>
          <w:rFonts w:ascii="Times New Roman" w:hAnsi="Times New Roman"/>
          <w:sz w:val="24"/>
        </w:rPr>
        <w:t xml:space="preserve">Price I., Sanchez-Gonzalez A., Alet F., Andersson T.R., El-Kadi A., Masters D., Ewalds T., Stott J., Mohamed S., Battaglia P., Lam R., Willson M. Probabilistic weather forecasting with machine learning.</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2025, vol. 637, no. 8044, pp. 84–90.</w:t>
      </w:r>
      <w:r>
        <w:rPr>
          <w:rFonts w:ascii="Times New Roman" w:hAnsi="Times New Roman"/>
          <w:sz w:val="24"/>
        </w:rPr>
        <w:br/>
      </w:r>
      <w:r>
        <w:rPr>
          <w:rFonts w:ascii="Times New Roman" w:hAnsi="Times New Roman"/>
          <w:sz w:val="24"/>
        </w:rPr>
        <w:t xml:space="preserve">https://doi.org/10.1038/s41586-024-08252-9</w:t>
      </w:r>
    </w:p>
    <w:p>
      <w:pPr>
        <w:pStyle w:val="BodyText"/>
      </w:pPr>
      <w:r>
        <w:rPr>
          <w:rFonts w:ascii="Times New Roman" w:hAnsi="Times New Roman"/>
          <w:sz w:val="24"/>
        </w:rPr>
        <w:t xml:space="preserve">Puzachenko Yu.G. Spatio-temporal hierarchy of geosystems from the standpoint of oscillation theory. In</w:t>
      </w:r>
      <w:r>
        <w:rPr>
          <w:rFonts w:ascii="Times New Roman" w:hAnsi="Times New Roman"/>
          <w:sz w:val="24"/>
        </w:rPr>
        <w:t xml:space="preserve"> </w:t>
      </w:r>
      <w:r>
        <w:rPr>
          <w:rFonts w:ascii="Times New Roman" w:hAnsi="Times New Roman"/>
          <w:i/>
          <w:iCs/>
          <w:sz w:val="24"/>
        </w:rPr>
        <w:t xml:space="preserve">Voprosy geografii. Sb. 127: Modelirovanie geosistem</w:t>
      </w:r>
      <w:r>
        <w:rPr>
          <w:rFonts w:ascii="Times New Roman" w:hAnsi="Times New Roman"/>
          <w:sz w:val="24"/>
        </w:rPr>
        <w:t xml:space="preserve"> </w:t>
      </w:r>
      <w:r>
        <w:rPr>
          <w:rFonts w:ascii="Times New Roman" w:hAnsi="Times New Roman"/>
          <w:sz w:val="24"/>
        </w:rPr>
        <w:t xml:space="preserve">[Problems of Geography. Vol. 127: Modelling of Geosystems]. Moscow: Mysl’ Publ., 1986, pp. 96–111. (In Russ.).</w:t>
      </w:r>
    </w:p>
    <w:p>
      <w:pPr>
        <w:pStyle w:val="BodyText"/>
      </w:pPr>
      <w:r>
        <w:rPr>
          <w:rFonts w:ascii="Times New Roman" w:hAnsi="Times New Roman"/>
          <w:sz w:val="24"/>
        </w:rPr>
        <w:t xml:space="preserve">Puzachenko Yu.G.</w:t>
      </w:r>
      <w:r>
        <w:rPr>
          <w:rFonts w:ascii="Times New Roman" w:hAnsi="Times New Roman"/>
          <w:sz w:val="24"/>
        </w:rPr>
        <w:t xml:space="preserve"> </w:t>
      </w:r>
      <w:r>
        <w:rPr>
          <w:rFonts w:ascii="Times New Roman" w:hAnsi="Times New Roman"/>
          <w:i/>
          <w:iCs/>
          <w:sz w:val="24"/>
        </w:rPr>
        <w:t xml:space="preserve">Matematicheskie metody v ekologicheskikh i geograficheskikh issledovaniyakh</w:t>
      </w:r>
      <w:r>
        <w:rPr>
          <w:rFonts w:ascii="Times New Roman" w:hAnsi="Times New Roman"/>
          <w:sz w:val="24"/>
        </w:rPr>
        <w:t xml:space="preserve"> </w:t>
      </w:r>
      <w:r>
        <w:rPr>
          <w:rFonts w:ascii="Times New Roman" w:hAnsi="Times New Roman"/>
          <w:sz w:val="24"/>
        </w:rPr>
        <w:t xml:space="preserve">[Mathematical Methods in Ecological and Geographical Research]. Moscow: Akademiya Publ., 2004. 407 p.</w:t>
      </w:r>
    </w:p>
    <w:p>
      <w:pPr>
        <w:pStyle w:val="BodyText"/>
      </w:pPr>
      <w:r>
        <w:rPr>
          <w:rFonts w:ascii="Times New Roman" w:hAnsi="Times New Roman"/>
          <w:sz w:val="24"/>
        </w:rPr>
        <w:t xml:space="preserve">Puzachenko Yu.G. Invariants of a dynamic geosystem.</w:t>
      </w:r>
      <w:r>
        <w:rPr>
          <w:rFonts w:ascii="Times New Roman" w:hAnsi="Times New Roman"/>
          <w:sz w:val="24"/>
        </w:rPr>
        <w:t xml:space="preserve"> </w:t>
      </w:r>
      <w:r>
        <w:rPr>
          <w:rFonts w:ascii="Times New Roman" w:hAnsi="Times New Roman"/>
          <w:i/>
          <w:iCs/>
          <w:sz w:val="24"/>
        </w:rPr>
        <w:t xml:space="preserve">Izv. Akad. Nauk, Ser. Geogr.</w:t>
      </w:r>
      <w:r>
        <w:rPr>
          <w:rFonts w:ascii="Times New Roman" w:hAnsi="Times New Roman"/>
          <w:sz w:val="24"/>
        </w:rPr>
        <w:t xml:space="preserve">, 2010, no. 5, pp. 6–16. (In Russ.).</w:t>
      </w:r>
    </w:p>
    <w:p>
      <w:pPr>
        <w:pStyle w:val="BodyText"/>
      </w:pPr>
      <w:r>
        <w:rPr>
          <w:rFonts w:ascii="Times New Roman" w:hAnsi="Times New Roman"/>
          <w:sz w:val="24"/>
        </w:rPr>
        <w:t xml:space="preserve">Rasp S., Hoyer S., Merose A., et al. WeatherBench 2: A benchmark for the next generation of data-driven global weather models.</w:t>
      </w:r>
      <w:r>
        <w:rPr>
          <w:rFonts w:ascii="Times New Roman" w:hAnsi="Times New Roman"/>
          <w:sz w:val="24"/>
        </w:rPr>
        <w:t xml:space="preserve"> </w:t>
      </w:r>
      <w:r>
        <w:rPr>
          <w:rFonts w:ascii="Times New Roman" w:hAnsi="Times New Roman"/>
          <w:i/>
          <w:iCs/>
          <w:sz w:val="24"/>
        </w:rPr>
        <w:t xml:space="preserve">J. Adv. Model. Earth Syst.</w:t>
      </w:r>
      <w:r>
        <w:rPr>
          <w:rFonts w:ascii="Times New Roman" w:hAnsi="Times New Roman"/>
          <w:sz w:val="24"/>
        </w:rPr>
        <w:t xml:space="preserve">, 2024, vol. 16, no. 6, art. e2023MS004019.</w:t>
      </w:r>
      <w:r>
        <w:rPr>
          <w:rFonts w:ascii="Times New Roman" w:hAnsi="Times New Roman"/>
          <w:sz w:val="24"/>
        </w:rPr>
        <w:br/>
      </w:r>
      <w:r>
        <w:rPr>
          <w:rFonts w:ascii="Times New Roman" w:hAnsi="Times New Roman"/>
          <w:sz w:val="24"/>
        </w:rPr>
        <w:t xml:space="preserve">https://doi.org/10.1029/2023MS004019</w:t>
      </w:r>
    </w:p>
    <w:p>
      <w:pPr>
        <w:pStyle w:val="BodyText"/>
      </w:pPr>
      <w:r>
        <w:rPr>
          <w:rFonts w:ascii="Times New Roman" w:hAnsi="Times New Roman"/>
          <w:sz w:val="24"/>
        </w:rPr>
        <w:t xml:space="preserve">Roberts C.D., Senan R., Molteni F., Boussetta S., Mayer M., Keeley S.P.E. Climate model configurations of the ECMWF Integrated Forecasting System (ECMWF-IFS cycle 43r1) for HighResMIP.</w:t>
      </w:r>
      <w:r>
        <w:rPr>
          <w:rFonts w:ascii="Times New Roman" w:hAnsi="Times New Roman"/>
          <w:sz w:val="24"/>
        </w:rPr>
        <w:t xml:space="preserve"> </w:t>
      </w:r>
      <w:r>
        <w:rPr>
          <w:rFonts w:ascii="Times New Roman" w:hAnsi="Times New Roman"/>
          <w:i/>
          <w:iCs/>
          <w:sz w:val="24"/>
        </w:rPr>
        <w:t xml:space="preserve">Geosci. Model Dev.</w:t>
      </w:r>
      <w:r>
        <w:rPr>
          <w:rFonts w:ascii="Times New Roman" w:hAnsi="Times New Roman"/>
          <w:sz w:val="24"/>
        </w:rPr>
        <w:t xml:space="preserve">, 2018, vol. 11, pp. 3681–3712.</w:t>
      </w:r>
      <w:r>
        <w:rPr>
          <w:rFonts w:ascii="Times New Roman" w:hAnsi="Times New Roman"/>
          <w:sz w:val="24"/>
        </w:rPr>
        <w:br/>
      </w:r>
      <w:r>
        <w:rPr>
          <w:rFonts w:ascii="Times New Roman" w:hAnsi="Times New Roman"/>
          <w:sz w:val="24"/>
        </w:rPr>
        <w:t xml:space="preserve">https://doi.org/10.5194/gmd-11-3681-2018</w:t>
      </w:r>
    </w:p>
    <w:p>
      <w:pPr>
        <w:pStyle w:val="BodyText"/>
      </w:pPr>
      <w:r>
        <w:rPr>
          <w:rFonts w:ascii="Times New Roman" w:hAnsi="Times New Roman"/>
          <w:sz w:val="24"/>
        </w:rPr>
        <w:t xml:space="preserve">Rotunno R., Snyder C. A generalization of Lorenz’s model for the predictability of flows with many scales of motion.</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2008, vol. 65, no. 3, pp. 1063–1076.</w:t>
      </w:r>
      <w:r>
        <w:rPr>
          <w:rFonts w:ascii="Times New Roman" w:hAnsi="Times New Roman"/>
          <w:sz w:val="24"/>
        </w:rPr>
        <w:br/>
      </w:r>
      <w:r>
        <w:rPr>
          <w:rFonts w:ascii="Times New Roman" w:hAnsi="Times New Roman"/>
          <w:sz w:val="24"/>
        </w:rPr>
        <w:t xml:space="preserve">https://doi.org/10.1175/2007JAS2449.1</w:t>
      </w:r>
    </w:p>
    <w:p>
      <w:pPr>
        <w:pStyle w:val="BodyText"/>
      </w:pPr>
      <w:r>
        <w:rPr>
          <w:rFonts w:ascii="Times New Roman" w:hAnsi="Times New Roman"/>
          <w:sz w:val="24"/>
        </w:rPr>
        <w:t xml:space="preserve">Selz T., Craig G.C. Can artificial intelligence-based weather prediction models simulate the butterfly effect?</w:t>
      </w:r>
      <w:r>
        <w:rPr>
          <w:rFonts w:ascii="Times New Roman" w:hAnsi="Times New Roman"/>
          <w:sz w:val="24"/>
        </w:rPr>
        <w:t xml:space="preserve"> </w:t>
      </w:r>
      <w:r>
        <w:rPr>
          <w:rFonts w:ascii="Times New Roman" w:hAnsi="Times New Roman"/>
          <w:i/>
          <w:iCs/>
          <w:sz w:val="24"/>
        </w:rPr>
        <w:t xml:space="preserve">Geophys. Res. Lett.</w:t>
      </w:r>
      <w:r>
        <w:rPr>
          <w:rFonts w:ascii="Times New Roman" w:hAnsi="Times New Roman"/>
          <w:sz w:val="24"/>
        </w:rPr>
        <w:t xml:space="preserve">, 2023, vol. 50, art. e2023GL105747.</w:t>
      </w:r>
      <w:r>
        <w:rPr>
          <w:rFonts w:ascii="Times New Roman" w:hAnsi="Times New Roman"/>
          <w:sz w:val="24"/>
        </w:rPr>
        <w:br/>
      </w:r>
      <w:r>
        <w:rPr>
          <w:rFonts w:ascii="Times New Roman" w:hAnsi="Times New Roman"/>
          <w:sz w:val="24"/>
        </w:rPr>
        <w:t xml:space="preserve">https://doi.org/10.1029/2023GL105747</w:t>
      </w:r>
    </w:p>
    <w:p>
      <w:pPr>
        <w:pStyle w:val="BodyText"/>
      </w:pPr>
      <w:r>
        <w:rPr>
          <w:rFonts w:ascii="Times New Roman" w:hAnsi="Times New Roman"/>
          <w:sz w:val="24"/>
        </w:rPr>
        <w:t xml:space="preserve">Simon H.A. The architecture of complexity.</w:t>
      </w:r>
      <w:r>
        <w:rPr>
          <w:rFonts w:ascii="Times New Roman" w:hAnsi="Times New Roman"/>
          <w:sz w:val="24"/>
        </w:rPr>
        <w:t xml:space="preserve"> </w:t>
      </w:r>
      <w:r>
        <w:rPr>
          <w:rFonts w:ascii="Times New Roman" w:hAnsi="Times New Roman"/>
          <w:i/>
          <w:iCs/>
          <w:sz w:val="24"/>
        </w:rPr>
        <w:t xml:space="preserve">Proc. Am. Philos. Soc.</w:t>
      </w:r>
      <w:r>
        <w:rPr>
          <w:rFonts w:ascii="Times New Roman" w:hAnsi="Times New Roman"/>
          <w:sz w:val="24"/>
        </w:rPr>
        <w:t xml:space="preserve">, 1962, vol. 106, no. 6, pp. 467–482.</w:t>
      </w:r>
    </w:p>
    <w:p>
      <w:pPr>
        <w:pStyle w:val="BodyText"/>
      </w:pPr>
      <w:r>
        <w:rPr>
          <w:rFonts w:ascii="Times New Roman" w:hAnsi="Times New Roman"/>
          <w:sz w:val="24"/>
        </w:rPr>
        <w:t xml:space="preserve">Skamarock W.C. Evaluating mesoscale NWP models using kinetic energy spectra.</w:t>
      </w:r>
      <w:r>
        <w:rPr>
          <w:rFonts w:ascii="Times New Roman" w:hAnsi="Times New Roman"/>
          <w:sz w:val="24"/>
        </w:rPr>
        <w:t xml:space="preserve"> </w:t>
      </w:r>
      <w:r>
        <w:rPr>
          <w:rFonts w:ascii="Times New Roman" w:hAnsi="Times New Roman"/>
          <w:i/>
          <w:iCs/>
          <w:sz w:val="24"/>
        </w:rPr>
        <w:t xml:space="preserve">Mon. Weather Rev.</w:t>
      </w:r>
      <w:r>
        <w:rPr>
          <w:rFonts w:ascii="Times New Roman" w:hAnsi="Times New Roman"/>
          <w:sz w:val="24"/>
        </w:rPr>
        <w:t xml:space="preserve">, 2004, vol. 132, no. 12, pp. 3019–3032.</w:t>
      </w:r>
      <w:r>
        <w:rPr>
          <w:rFonts w:ascii="Times New Roman" w:hAnsi="Times New Roman"/>
          <w:sz w:val="24"/>
        </w:rPr>
        <w:br/>
      </w:r>
      <w:r>
        <w:rPr>
          <w:rFonts w:ascii="Times New Roman" w:hAnsi="Times New Roman"/>
          <w:sz w:val="24"/>
        </w:rPr>
        <w:t xml:space="preserve">https://doi.org/10.1175/MWR2830.1</w:t>
      </w:r>
    </w:p>
    <w:p>
      <w:pPr>
        <w:pStyle w:val="BodyText"/>
      </w:pPr>
      <w:r>
        <w:rPr>
          <w:rFonts w:ascii="Times New Roman" w:hAnsi="Times New Roman"/>
          <w:sz w:val="24"/>
        </w:rPr>
        <w:t xml:space="preserve">Skinner J.W., Lawrence A., Callies J. Characterizing ocean flows with the scattering transform. arXiv preprint, 2025, arXiv:2505.00819.</w:t>
      </w:r>
      <w:r>
        <w:rPr>
          <w:rFonts w:ascii="Times New Roman" w:hAnsi="Times New Roman"/>
          <w:sz w:val="24"/>
        </w:rPr>
        <w:br/>
      </w:r>
      <w:r>
        <w:rPr>
          <w:rFonts w:ascii="Times New Roman" w:hAnsi="Times New Roman"/>
          <w:sz w:val="24"/>
        </w:rPr>
        <w:t xml:space="preserve">https://doi.org/10.48550/arXiv.2505.00819</w:t>
      </w:r>
    </w:p>
    <w:p>
      <w:pPr>
        <w:pStyle w:val="BodyText"/>
      </w:pPr>
      <w:r>
        <w:rPr>
          <w:rFonts w:ascii="Times New Roman" w:hAnsi="Times New Roman"/>
          <w:sz w:val="24"/>
        </w:rPr>
        <w:t xml:space="preserve">Sochava V.B.</w:t>
      </w:r>
      <w:r>
        <w:rPr>
          <w:rFonts w:ascii="Times New Roman" w:hAnsi="Times New Roman"/>
          <w:sz w:val="24"/>
        </w:rPr>
        <w:t xml:space="preserve"> </w:t>
      </w:r>
      <w:r>
        <w:rPr>
          <w:rFonts w:ascii="Times New Roman" w:hAnsi="Times New Roman"/>
          <w:i/>
          <w:iCs/>
          <w:sz w:val="24"/>
        </w:rPr>
        <w:t xml:space="preserve">Vvedenie v uchenie o geosistemakh</w:t>
      </w:r>
      <w:r>
        <w:rPr>
          <w:rFonts w:ascii="Times New Roman" w:hAnsi="Times New Roman"/>
          <w:sz w:val="24"/>
        </w:rPr>
        <w:t xml:space="preserve"> </w:t>
      </w:r>
      <w:r>
        <w:rPr>
          <w:rFonts w:ascii="Times New Roman" w:hAnsi="Times New Roman"/>
          <w:sz w:val="24"/>
        </w:rPr>
        <w:t xml:space="preserve">[Introduction to the Theory of Geosystems]. Novosibirsk: Nauka Publ., 1978. 319 p.</w:t>
      </w:r>
    </w:p>
    <w:p>
      <w:pPr>
        <w:pStyle w:val="BodyText"/>
      </w:pPr>
      <w:r>
        <w:rPr>
          <w:rFonts w:ascii="Times New Roman" w:hAnsi="Times New Roman"/>
          <w:sz w:val="24"/>
        </w:rPr>
        <w:t xml:space="preserve">Soci C., Hersbach H., Simmons A., et al. The ERA5 global reanalysis from 1940 to 2022.</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2024, vol. 150, no. 764, pp. 4014–4048.</w:t>
      </w:r>
      <w:r>
        <w:rPr>
          <w:rFonts w:ascii="Times New Roman" w:hAnsi="Times New Roman"/>
          <w:sz w:val="24"/>
        </w:rPr>
        <w:br/>
      </w:r>
      <w:r>
        <w:rPr>
          <w:rFonts w:ascii="Times New Roman" w:hAnsi="Times New Roman"/>
          <w:sz w:val="24"/>
        </w:rPr>
        <w:t xml:space="preserve">https://doi.org/10.1002/qj.4803</w:t>
      </w:r>
    </w:p>
    <w:p>
      <w:pPr>
        <w:pStyle w:val="BodyText"/>
      </w:pPr>
      <w:r>
        <w:rPr>
          <w:rFonts w:ascii="Times New Roman" w:hAnsi="Times New Roman"/>
          <w:sz w:val="24"/>
        </w:rPr>
        <w:t xml:space="preserve">Wu J., Loucks O.L. From balance of nature to hierarchical patch dynamics: A paradigm shift in ecology.</w:t>
      </w:r>
      <w:r>
        <w:rPr>
          <w:rFonts w:ascii="Times New Roman" w:hAnsi="Times New Roman"/>
          <w:sz w:val="24"/>
        </w:rPr>
        <w:t xml:space="preserve"> </w:t>
      </w:r>
      <w:r>
        <w:rPr>
          <w:rFonts w:ascii="Times New Roman" w:hAnsi="Times New Roman"/>
          <w:i/>
          <w:iCs/>
          <w:sz w:val="24"/>
        </w:rPr>
        <w:t xml:space="preserve">Q. Rev. Biol.</w:t>
      </w:r>
      <w:r>
        <w:rPr>
          <w:rFonts w:ascii="Times New Roman" w:hAnsi="Times New Roman"/>
          <w:sz w:val="24"/>
        </w:rPr>
        <w:t xml:space="preserve">, 1995, vol. 70, no. 4, pp. 439–466.</w:t>
      </w:r>
      <w:r>
        <w:rPr>
          <w:rFonts w:ascii="Times New Roman" w:hAnsi="Times New Roman"/>
          <w:sz w:val="24"/>
        </w:rPr>
        <w:br/>
      </w:r>
      <w:r>
        <w:rPr>
          <w:rFonts w:ascii="Times New Roman" w:hAnsi="Times New Roman"/>
          <w:sz w:val="24"/>
        </w:rPr>
        <w:t xml:space="preserve">https://doi.org/10.1086/419172</w:t>
      </w:r>
    </w:p>
    <w:p>
      <w:pPr>
        <w:pStyle w:val="BodyText"/>
      </w:pPr>
      <w:r>
        <w:rPr>
          <w:rFonts w:ascii="Times New Roman" w:hAnsi="Times New Roman"/>
          <w:sz w:val="24"/>
        </w:rPr>
        <w:t xml:space="preserve">Zhang F., Bei N., Rotunno R., Snyder C., Epifanio C.C. Mesoscale predictability of moist baroclinic waves: Convection-permitting experiments and multistage error growth dynamics.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2007, vol. 64, no. 10, pp. 3579–3594.</w:t>
      </w:r>
      <w:r>
        <w:rPr>
          <w:rFonts w:ascii="Times New Roman" w:hAnsi="Times New Roman"/>
          <w:sz w:val="24"/>
        </w:rPr>
        <w:br/>
      </w:r>
      <w:r>
        <w:rPr>
          <w:rFonts w:ascii="Times New Roman" w:hAnsi="Times New Roman"/>
          <w:sz w:val="24"/>
        </w:rPr>
        <w:t xml:space="preserve">https://doi.org/10.1175/JAS4028.1</w:t>
      </w:r>
    </w:p>
    <w:p>
      <w:pPr>
        <w:pStyle w:val="BodyText"/>
      </w:pPr>
      <w:r>
        <w:rPr>
          <w:rFonts w:ascii="Times New Roman" w:hAnsi="Times New Roman"/>
          <w:sz w:val="24"/>
        </w:rPr>
        <w:t xml:space="preserve">Таблица 1. Двенадцать основных областей. Границы – по протоколам получения данных; режим – по классификации, принятой до начала вычислений. Периоды: I – 2017–2019, II – 2021–2022, III – 2023–2024 гг.</w:t>
      </w:r>
    </w:p>
    <w:tbl>
      <w:tblPr>
        <w:tblStyle w:val="Table"/>
        <w:tblW w:type="pct" w:w="3700"/>
        <w:tblLayout w:type="fixed"/>
        <w:tblLook w:firstRow="1" w:lastRow="0" w:firstColumn="0" w:lastColumn="0" w:noHBand="0" w:noVBand="0" w:val="0020"/>
      </w:tblPr>
      <w:tblGrid>
        <w:gridCol w:w="0"/>
        <w:gridCol w:w="2138"/>
        <w:gridCol w:w="1980"/>
        <w:gridCol w:w="1742"/>
        <w:gridCol w:w="0"/>
      </w:tblGrid>
      <w:tr>
        <w:trPr>
          <w:tblHeader w:val="on"/>
        </w:trPr>
        <w:tc>
          <w:tcPr/>
          <w:p>
            <w:pPr>
              <w:pStyle w:val="Compact"/>
              <w:jc w:val="left"/>
            </w:pPr>
            <w:r>
              <w:t xml:space="preserve">Код</w:t>
            </w:r>
          </w:p>
        </w:tc>
        <w:tc>
          <w:tcPr/>
          <w:p>
            <w:pPr>
              <w:pStyle w:val="Compact"/>
              <w:jc w:val="left"/>
            </w:pPr>
            <w:r>
              <w:t xml:space="preserve">Область</w:t>
            </w:r>
          </w:p>
        </w:tc>
        <w:tc>
          <w:tcPr/>
          <w:p>
            <w:pPr>
              <w:pStyle w:val="Compact"/>
              <w:jc w:val="left"/>
            </w:pPr>
            <w:r>
              <w:t xml:space="preserve">Границы</w:t>
            </w:r>
          </w:p>
        </w:tc>
        <w:tc>
          <w:tcPr/>
          <w:p>
            <w:pPr>
              <w:pStyle w:val="Compact"/>
              <w:jc w:val="left"/>
            </w:pPr>
            <w:r>
              <w:t xml:space="preserve">Циркуляционный режим</w:t>
            </w:r>
          </w:p>
        </w:tc>
        <w:tc>
          <w:tcPr/>
          <w:p>
            <w:pPr>
              <w:pStyle w:val="Compact"/>
              <w:jc w:val="left"/>
            </w:pPr>
            <w:r>
              <w:t xml:space="preserve">Периоды</w:t>
            </w:r>
          </w:p>
        </w:tc>
      </w:tr>
      <w:tr>
        <w:tc>
          <w:tcPr/>
          <w:p>
            <w:pPr>
              <w:pStyle w:val="Compact"/>
              <w:jc w:val="left"/>
            </w:pPr>
            <w:r>
              <w:t xml:space="preserve">R1</w:t>
            </w:r>
          </w:p>
        </w:tc>
        <w:tc>
          <w:tcPr/>
          <w:p>
            <w:pPr>
              <w:pStyle w:val="Compact"/>
              <w:jc w:val="left"/>
            </w:pPr>
            <w:r>
              <w:t xml:space="preserve">Теплый бассейн запада тропической части Тихого океана</w:t>
            </w:r>
          </w:p>
        </w:tc>
        <w:tc>
          <w:tcPr/>
          <w:p>
            <w:pPr>
              <w:pStyle w:val="Compact"/>
              <w:jc w:val="left"/>
            </w:pPr>
            <m:oMath>
              <m:sSup>
                <m:e>
                  <m:r>
                    <m:t>10</m:t>
                  </m:r>
                </m:e>
                <m:sup>
                  <m:r>
                    <m:rPr>
                      <m:sty m:val="p"/>
                    </m:rPr>
                    <m:t>∘</m:t>
                  </m:r>
                </m:sup>
              </m:sSup>
            </m:oMath>
            <w:r>
              <w:t xml:space="preserve"> </w:t>
            </w:r>
            <w:r>
              <w:t xml:space="preserve">ю.ш.–</w:t>
            </w:r>
            <m:oMath>
              <m:sSup>
                <m:e>
                  <m:r>
                    <m:t>10</m:t>
                  </m:r>
                </m:e>
                <m:sup>
                  <m:r>
                    <m:rPr>
                      <m:sty m:val="p"/>
                    </m:rPr>
                    <m:t>∘</m:t>
                  </m:r>
                </m:sup>
              </m:sSup>
            </m:oMath>
            <w:r>
              <w:t xml:space="preserve"> </w:t>
            </w:r>
            <w:r>
              <w:t xml:space="preserve">с.ш.;</w:t>
            </w:r>
            <w:r>
              <w:t xml:space="preserve"> </w:t>
            </w:r>
            <m:oMath>
              <m:r>
                <m:t>130</m:t>
              </m:r>
            </m:oMath>
            <w:r>
              <w:t xml:space="preserve">–</w:t>
            </w:r>
            <m:oMath>
              <m:sSup>
                <m:e>
                  <m:r>
                    <m:t>170</m:t>
                  </m:r>
                </m:e>
                <m:sup>
                  <m:r>
                    <m:rPr>
                      <m:sty m:val="p"/>
                    </m:rPr>
                    <m:t>∘</m:t>
                  </m:r>
                </m:sup>
              </m:sSup>
            </m:oMath>
            <w:r>
              <w:t xml:space="preserve"> </w:t>
            </w:r>
            <w:r>
              <w:t xml:space="preserve">в.д.</w:t>
            </w:r>
          </w:p>
        </w:tc>
        <w:tc>
          <w:tcPr/>
          <w:p>
            <w:pPr>
              <w:pStyle w:val="Compact"/>
              <w:jc w:val="left"/>
            </w:pPr>
            <w:r>
              <w:t xml:space="preserve">Тропический океан</w:t>
            </w:r>
          </w:p>
        </w:tc>
        <w:tc>
          <w:tcPr/>
          <w:p>
            <w:pPr>
              <w:pStyle w:val="Compact"/>
              <w:jc w:val="left"/>
            </w:pPr>
            <w:r>
              <w:t xml:space="preserve">I, III</w:t>
            </w:r>
          </w:p>
        </w:tc>
      </w:tr>
      <w:tr>
        <w:tc>
          <w:tcPr/>
          <w:p>
            <w:pPr>
              <w:pStyle w:val="Compact"/>
              <w:jc w:val="left"/>
            </w:pPr>
            <w:r>
              <w:t xml:space="preserve">R2</w:t>
            </w:r>
          </w:p>
        </w:tc>
        <w:tc>
          <w:tcPr/>
          <w:p>
            <w:pPr>
              <w:pStyle w:val="Compact"/>
              <w:jc w:val="left"/>
            </w:pPr>
            <w:r>
              <w:t xml:space="preserve">Северная Атлантика</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r>
                <m:t>60</m:t>
              </m:r>
            </m:oMath>
            <w:r>
              <w:t xml:space="preserve">–</w:t>
            </w:r>
            <m:oMath>
              <m:sSup>
                <m:e>
                  <m:r>
                    <m:t>20</m:t>
                  </m:r>
                </m:e>
                <m:sup>
                  <m:r>
                    <m:rPr>
                      <m:sty m:val="p"/>
                    </m:rPr>
                    <m:t>∘</m:t>
                  </m:r>
                </m:sup>
              </m:sSup>
            </m:oMath>
            <w:r>
              <w:t xml:space="preserve"> </w:t>
            </w:r>
            <w:r>
              <w:t xml:space="preserve">з.д.</w:t>
            </w:r>
          </w:p>
        </w:tc>
        <w:tc>
          <w:tcPr/>
          <w:p>
            <w:pPr>
              <w:pStyle w:val="Compact"/>
              <w:jc w:val="left"/>
            </w:pPr>
            <w:r>
              <w:t xml:space="preserve">Штормовой путь Северного полушария</w:t>
            </w:r>
          </w:p>
        </w:tc>
        <w:tc>
          <w:tcPr/>
          <w:p>
            <w:pPr>
              <w:pStyle w:val="Compact"/>
              <w:jc w:val="left"/>
            </w:pPr>
            <w:r>
              <w:t xml:space="preserve">I, III</w:t>
            </w:r>
          </w:p>
        </w:tc>
      </w:tr>
      <w:tr>
        <w:tc>
          <w:tcPr/>
          <w:p>
            <w:pPr>
              <w:pStyle w:val="Compact"/>
              <w:jc w:val="left"/>
            </w:pPr>
            <w:r>
              <w:t xml:space="preserve">R3</w:t>
            </w:r>
          </w:p>
        </w:tc>
        <w:tc>
          <w:tcPr/>
          <w:p>
            <w:pPr>
              <w:pStyle w:val="Compact"/>
              <w:jc w:val="left"/>
            </w:pPr>
            <w:r>
              <w:t xml:space="preserve">Амазония</w:t>
            </w:r>
          </w:p>
        </w:tc>
        <w:tc>
          <w:tcPr/>
          <w:p>
            <w:pPr>
              <w:pStyle w:val="Compact"/>
              <w:jc w:val="left"/>
            </w:pPr>
            <m:oMath>
              <m:sSup>
                <m:e>
                  <m:r>
                    <m:t>15</m:t>
                  </m:r>
                </m:e>
                <m:sup>
                  <m:r>
                    <m:rPr>
                      <m:sty m:val="p"/>
                    </m:rPr>
                    <m:t>∘</m:t>
                  </m:r>
                </m:sup>
              </m:sSup>
            </m:oMath>
            <w:r>
              <w:t xml:space="preserve"> </w:t>
            </w:r>
            <w:r>
              <w:t xml:space="preserve">ю.ш.–</w:t>
            </w:r>
            <m:oMath>
              <m:sSup>
                <m:e>
                  <m:r>
                    <m:t>5</m:t>
                  </m:r>
                </m:e>
                <m:sup>
                  <m:r>
                    <m:rPr>
                      <m:sty m:val="p"/>
                    </m:rPr>
                    <m:t>∘</m:t>
                  </m:r>
                </m:sup>
              </m:sSup>
            </m:oMath>
            <w:r>
              <w:t xml:space="preserve"> </w:t>
            </w:r>
            <w:r>
              <w:t xml:space="preserve">с.ш.;</w:t>
            </w:r>
            <w:r>
              <w:t xml:space="preserve"> </w:t>
            </w:r>
            <m:oMath>
              <m:r>
                <m:t>75</m:t>
              </m:r>
            </m:oMath>
            <w:r>
              <w:t xml:space="preserve">–</w:t>
            </w:r>
            <m:oMath>
              <m:sSup>
                <m:e>
                  <m:r>
                    <m:t>35</m:t>
                  </m:r>
                </m:e>
                <m:sup>
                  <m:r>
                    <m:rPr>
                      <m:sty m:val="p"/>
                    </m:rPr>
                    <m:t>∘</m:t>
                  </m:r>
                </m:sup>
              </m:sSup>
            </m:oMath>
            <w:r>
              <w:t xml:space="preserve"> </w:t>
            </w:r>
            <w:r>
              <w:t xml:space="preserve">з.д.</w:t>
            </w:r>
          </w:p>
        </w:tc>
        <w:tc>
          <w:tcPr/>
          <w:p>
            <w:pPr>
              <w:pStyle w:val="Compact"/>
              <w:jc w:val="left"/>
            </w:pPr>
            <w:r>
              <w:t xml:space="preserve">Глубокая конвекция над сушей</w:t>
            </w:r>
          </w:p>
        </w:tc>
        <w:tc>
          <w:tcPr/>
          <w:p>
            <w:pPr>
              <w:pStyle w:val="Compact"/>
              <w:jc w:val="left"/>
            </w:pPr>
            <w:r>
              <w:t xml:space="preserve">I, III</w:t>
            </w:r>
          </w:p>
        </w:tc>
      </w:tr>
      <w:tr>
        <w:tc>
          <w:tcPr/>
          <w:p>
            <w:pPr>
              <w:pStyle w:val="Compact"/>
              <w:jc w:val="left"/>
            </w:pPr>
            <w:r>
              <w:t xml:space="preserve">R4</w:t>
            </w:r>
          </w:p>
        </w:tc>
        <w:tc>
          <w:tcPr/>
          <w:p>
            <w:pPr>
              <w:pStyle w:val="Compact"/>
              <w:jc w:val="left"/>
            </w:pPr>
            <w:r>
              <w:t xml:space="preserve">Центральная Азия</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r>
                <m:t>60</m:t>
              </m:r>
            </m:oMath>
            <w:r>
              <w:t xml:space="preserve">–</w:t>
            </w:r>
            <m:oMath>
              <m:sSup>
                <m:e>
                  <m:r>
                    <m:t>100</m:t>
                  </m:r>
                </m:e>
                <m:sup>
                  <m:r>
                    <m:rPr>
                      <m:sty m:val="p"/>
                    </m:rPr>
                    <m:t>∘</m:t>
                  </m:r>
                </m:sup>
              </m:sSup>
            </m:oMath>
            <w:r>
              <w:t xml:space="preserve"> </w:t>
            </w:r>
            <w:r>
              <w:t xml:space="preserve">в.д.</w:t>
            </w:r>
          </w:p>
        </w:tc>
        <w:tc>
          <w:tcPr/>
          <w:p>
            <w:pPr>
              <w:pStyle w:val="Compact"/>
              <w:jc w:val="left"/>
            </w:pPr>
            <w:r>
              <w:t xml:space="preserve">Континентальная область умеренного пояса</w:t>
            </w:r>
          </w:p>
        </w:tc>
        <w:tc>
          <w:tcPr/>
          <w:p>
            <w:pPr>
              <w:pStyle w:val="Compact"/>
              <w:jc w:val="left"/>
            </w:pPr>
            <w:r>
              <w:t xml:space="preserve">I, III</w:t>
            </w:r>
          </w:p>
        </w:tc>
      </w:tr>
      <w:tr>
        <w:tc>
          <w:tcPr/>
          <w:p>
            <w:pPr>
              <w:pStyle w:val="Compact"/>
              <w:jc w:val="left"/>
            </w:pPr>
            <w:r>
              <w:t xml:space="preserve">R5</w:t>
            </w:r>
          </w:p>
        </w:tc>
        <w:tc>
          <w:tcPr/>
          <w:p>
            <w:pPr>
              <w:pStyle w:val="Compact"/>
              <w:jc w:val="left"/>
            </w:pPr>
            <w:r>
              <w:t xml:space="preserve">Южно-Тихоокеанская зона конвергенции</w:t>
            </w:r>
          </w:p>
        </w:tc>
        <w:tc>
          <w:tcPr/>
          <w:p>
            <w:pPr>
              <w:pStyle w:val="Compact"/>
              <w:jc w:val="left"/>
            </w:pPr>
            <m:oMath>
              <m:sSup>
                <m:e>
                  <m:r>
                    <m:t>20</m:t>
                  </m:r>
                </m:e>
                <m:sup>
                  <m:r>
                    <m:rPr>
                      <m:sty m:val="p"/>
                    </m:rPr>
                    <m:t>∘</m:t>
                  </m:r>
                </m:sup>
              </m:sSup>
            </m:oMath>
            <w:r>
              <w:t xml:space="preserve"> </w:t>
            </w:r>
            <w:r>
              <w:t xml:space="preserve">ю.ш.–</w:t>
            </w:r>
            <m:oMath>
              <m:sSup>
                <m:e>
                  <m:r>
                    <m:t>0</m:t>
                  </m:r>
                </m:e>
                <m:sup>
                  <m:r>
                    <m:rPr>
                      <m:sty m:val="p"/>
                    </m:rPr>
                    <m:t>∘</m:t>
                  </m:r>
                </m:sup>
              </m:sSup>
            </m:oMath>
            <w:r>
              <w:t xml:space="preserve">;</w:t>
            </w:r>
            <w:r>
              <w:t xml:space="preserve"> </w:t>
            </w:r>
            <m:oMath>
              <m:r>
                <m:t>180</m:t>
              </m:r>
            </m:oMath>
            <w:r>
              <w:t xml:space="preserve">–</w:t>
            </w:r>
            <m:oMath>
              <m:sSup>
                <m:e>
                  <m:r>
                    <m:t>140</m:t>
                  </m:r>
                </m:e>
                <m:sup>
                  <m:r>
                    <m:rPr>
                      <m:sty m:val="p"/>
                    </m:rPr>
                    <m:t>∘</m:t>
                  </m:r>
                </m:sup>
              </m:sSup>
            </m:oMath>
            <w:r>
              <w:t xml:space="preserve"> </w:t>
            </w:r>
            <w:r>
              <w:t xml:space="preserve">з.д.</w:t>
            </w:r>
          </w:p>
        </w:tc>
        <w:tc>
          <w:tcPr/>
          <w:p>
            <w:pPr>
              <w:pStyle w:val="Compact"/>
              <w:jc w:val="left"/>
            </w:pPr>
            <w:r>
              <w:t xml:space="preserve">Тропический океан</w:t>
            </w:r>
          </w:p>
        </w:tc>
        <w:tc>
          <w:tcPr/>
          <w:p>
            <w:pPr>
              <w:pStyle w:val="Compact"/>
              <w:jc w:val="left"/>
            </w:pPr>
            <w:r>
              <w:t xml:space="preserve">II, III</w:t>
            </w:r>
          </w:p>
        </w:tc>
      </w:tr>
      <w:tr>
        <w:tc>
          <w:tcPr/>
          <w:p>
            <w:pPr>
              <w:pStyle w:val="Compact"/>
              <w:jc w:val="left"/>
            </w:pPr>
            <w:r>
              <w:t xml:space="preserve">R6</w:t>
            </w:r>
          </w:p>
        </w:tc>
        <w:tc>
          <w:tcPr/>
          <w:p>
            <w:pPr>
              <w:pStyle w:val="Compact"/>
              <w:jc w:val="left"/>
            </w:pPr>
            <w:r>
              <w:t xml:space="preserve">Южная Атлантика</w:t>
            </w:r>
          </w:p>
        </w:tc>
        <w:tc>
          <w:tcPr/>
          <w:p>
            <w:pPr>
              <w:pStyle w:val="Compact"/>
              <w:jc w:val="left"/>
            </w:pPr>
            <m:oMath>
              <m:r>
                <m:t>55</m:t>
              </m:r>
            </m:oMath>
            <w:r>
              <w:t xml:space="preserve">–</w:t>
            </w:r>
            <m:oMath>
              <m:sSup>
                <m:e>
                  <m:r>
                    <m:t>35</m:t>
                  </m:r>
                </m:e>
                <m:sup>
                  <m:r>
                    <m:rPr>
                      <m:sty m:val="p"/>
                    </m:rPr>
                    <m:t>∘</m:t>
                  </m:r>
                </m:sup>
              </m:sSup>
            </m:oMath>
            <w:r>
              <w:t xml:space="preserve"> </w:t>
            </w:r>
            <w:r>
              <w:t xml:space="preserve">ю.ш.;</w:t>
            </w:r>
            <w:r>
              <w:t xml:space="preserve"> </w:t>
            </w:r>
            <m:oMath>
              <m:r>
                <m:t>50</m:t>
              </m:r>
            </m:oMath>
            <w:r>
              <w:t xml:space="preserve">–</w:t>
            </w:r>
            <m:oMath>
              <m:sSup>
                <m:e>
                  <m:r>
                    <m:t>10</m:t>
                  </m:r>
                </m:e>
                <m:sup>
                  <m:r>
                    <m:rPr>
                      <m:sty m:val="p"/>
                    </m:rPr>
                    <m:t>∘</m:t>
                  </m:r>
                </m:sup>
              </m:sSup>
            </m:oMath>
            <w:r>
              <w:t xml:space="preserve"> </w:t>
            </w:r>
            <w:r>
              <w:t xml:space="preserve">з.д.</w:t>
            </w:r>
          </w:p>
        </w:tc>
        <w:tc>
          <w:tcPr/>
          <w:p>
            <w:pPr>
              <w:pStyle w:val="Compact"/>
              <w:jc w:val="left"/>
            </w:pPr>
            <w:r>
              <w:t xml:space="preserve">Штормовой путь Южного полушария</w:t>
            </w:r>
          </w:p>
        </w:tc>
        <w:tc>
          <w:tcPr/>
          <w:p>
            <w:pPr>
              <w:pStyle w:val="Compact"/>
              <w:jc w:val="left"/>
            </w:pPr>
            <w:r>
              <w:t xml:space="preserve">II, III</w:t>
            </w:r>
          </w:p>
        </w:tc>
      </w:tr>
      <w:tr>
        <w:tc>
          <w:tcPr/>
          <w:p>
            <w:pPr>
              <w:pStyle w:val="Compact"/>
              <w:jc w:val="left"/>
            </w:pPr>
            <w:r>
              <w:t xml:space="preserve">R7</w:t>
            </w:r>
          </w:p>
        </w:tc>
        <w:tc>
          <w:tcPr/>
          <w:p>
            <w:pPr>
              <w:pStyle w:val="Compact"/>
              <w:jc w:val="left"/>
            </w:pPr>
            <w:r>
              <w:t xml:space="preserve">Бассейн Конго</w:t>
            </w:r>
          </w:p>
        </w:tc>
        <w:tc>
          <w:tcPr/>
          <w:p>
            <w:pPr>
              <w:pStyle w:val="Compact"/>
              <w:jc w:val="left"/>
            </w:pPr>
            <m:oMath>
              <m:sSup>
                <m:e>
                  <m:r>
                    <m:t>15</m:t>
                  </m:r>
                </m:e>
                <m:sup>
                  <m:r>
                    <m:rPr>
                      <m:sty m:val="p"/>
                    </m:rPr>
                    <m:t>∘</m:t>
                  </m:r>
                </m:sup>
              </m:sSup>
            </m:oMath>
            <w:r>
              <w:t xml:space="preserve"> </w:t>
            </w:r>
            <w:r>
              <w:t xml:space="preserve">ю.ш.–</w:t>
            </w:r>
            <m:oMath>
              <m:sSup>
                <m:e>
                  <m:r>
                    <m:t>5</m:t>
                  </m:r>
                </m:e>
                <m:sup>
                  <m:r>
                    <m:rPr>
                      <m:sty m:val="p"/>
                    </m:rPr>
                    <m:t>∘</m:t>
                  </m:r>
                </m:sup>
              </m:sSup>
            </m:oMath>
            <w:r>
              <w:t xml:space="preserve"> </w:t>
            </w:r>
            <w:r>
              <w:t xml:space="preserve">с.ш.;</w:t>
            </w:r>
            <w:r>
              <w:t xml:space="preserve"> </w:t>
            </w:r>
            <m:oMath>
              <m:r>
                <m:t>5</m:t>
              </m:r>
            </m:oMath>
            <w:r>
              <w:t xml:space="preserve">–</w:t>
            </w:r>
            <m:oMath>
              <m:sSup>
                <m:e>
                  <m:r>
                    <m:t>45</m:t>
                  </m:r>
                </m:e>
                <m:sup>
                  <m:r>
                    <m:rPr>
                      <m:sty m:val="p"/>
                    </m:rPr>
                    <m:t>∘</m:t>
                  </m:r>
                </m:sup>
              </m:sSup>
            </m:oMath>
            <w:r>
              <w:t xml:space="preserve"> </w:t>
            </w:r>
            <w:r>
              <w:t xml:space="preserve">в.д.</w:t>
            </w:r>
          </w:p>
        </w:tc>
        <w:tc>
          <w:tcPr/>
          <w:p>
            <w:pPr>
              <w:pStyle w:val="Compact"/>
              <w:jc w:val="left"/>
            </w:pPr>
            <w:r>
              <w:t xml:space="preserve">Глубокая конвекция над сушей</w:t>
            </w:r>
          </w:p>
        </w:tc>
        <w:tc>
          <w:tcPr/>
          <w:p>
            <w:pPr>
              <w:pStyle w:val="Compact"/>
              <w:jc w:val="left"/>
            </w:pPr>
            <w:r>
              <w:t xml:space="preserve">II, III</w:t>
            </w:r>
          </w:p>
        </w:tc>
      </w:tr>
      <w:tr>
        <w:tc>
          <w:tcPr/>
          <w:p>
            <w:pPr>
              <w:pStyle w:val="Compact"/>
              <w:jc w:val="left"/>
            </w:pPr>
            <w:r>
              <w:t xml:space="preserve">R8</w:t>
            </w:r>
          </w:p>
        </w:tc>
        <w:tc>
          <w:tcPr/>
          <w:p>
            <w:pPr>
              <w:pStyle w:val="Compact"/>
              <w:jc w:val="left"/>
            </w:pPr>
            <w:r>
              <w:t xml:space="preserve">Австралия</w:t>
            </w:r>
          </w:p>
        </w:tc>
        <w:tc>
          <w:tcPr/>
          <w:p>
            <w:pPr>
              <w:pStyle w:val="Compact"/>
              <w:jc w:val="left"/>
            </w:pPr>
            <m:oMath>
              <m:r>
                <m:t>35</m:t>
              </m:r>
            </m:oMath>
            <w:r>
              <w:t xml:space="preserve">–</w:t>
            </w:r>
            <m:oMath>
              <m:sSup>
                <m:e>
                  <m:r>
                    <m:t>15</m:t>
                  </m:r>
                </m:e>
                <m:sup>
                  <m:r>
                    <m:rPr>
                      <m:sty m:val="p"/>
                    </m:rPr>
                    <m:t>∘</m:t>
                  </m:r>
                </m:sup>
              </m:sSup>
            </m:oMath>
            <w:r>
              <w:t xml:space="preserve"> </w:t>
            </w:r>
            <w:r>
              <w:t xml:space="preserve">ю.ш.;</w:t>
            </w:r>
            <w:r>
              <w:t xml:space="preserve"> </w:t>
            </w:r>
            <m:oMath>
              <m:r>
                <m:t>115</m:t>
              </m:r>
            </m:oMath>
            <w:r>
              <w:t xml:space="preserve">–</w:t>
            </w:r>
            <m:oMath>
              <m:sSup>
                <m:e>
                  <m:r>
                    <m:t>155</m:t>
                  </m:r>
                </m:e>
                <m:sup>
                  <m:r>
                    <m:rPr>
                      <m:sty m:val="p"/>
                    </m:rPr>
                    <m:t>∘</m:t>
                  </m:r>
                </m:sup>
              </m:sSup>
            </m:oMath>
            <w:r>
              <w:t xml:space="preserve"> </w:t>
            </w:r>
            <w:r>
              <w:t xml:space="preserve">в.д.</w:t>
            </w:r>
          </w:p>
        </w:tc>
        <w:tc>
          <w:tcPr/>
          <w:p>
            <w:pPr>
              <w:pStyle w:val="Compact"/>
              <w:jc w:val="left"/>
            </w:pPr>
            <w:r>
              <w:t xml:space="preserve">Континентальная область субтропического пояса</w:t>
            </w:r>
          </w:p>
        </w:tc>
        <w:tc>
          <w:tcPr/>
          <w:p>
            <w:pPr>
              <w:pStyle w:val="Compact"/>
              <w:jc w:val="left"/>
            </w:pPr>
            <w:r>
              <w:t xml:space="preserve">II, III</w:t>
            </w:r>
          </w:p>
        </w:tc>
      </w:tr>
      <w:tr>
        <w:tc>
          <w:tcPr/>
          <w:p>
            <w:pPr>
              <w:pStyle w:val="Compact"/>
              <w:jc w:val="left"/>
            </w:pPr>
            <w:r>
              <w:t xml:space="preserve">R9</w:t>
            </w:r>
          </w:p>
        </w:tc>
        <w:tc>
          <w:tcPr/>
          <w:p>
            <w:pPr>
              <w:pStyle w:val="Compact"/>
              <w:jc w:val="left"/>
            </w:pPr>
            <w:r>
              <w:t xml:space="preserve">Север Тихого океана</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r>
                <m:t>180</m:t>
              </m:r>
            </m:oMath>
            <w:r>
              <w:t xml:space="preserve">–</w:t>
            </w:r>
            <m:oMath>
              <m:sSup>
                <m:e>
                  <m:r>
                    <m:t>140</m:t>
                  </m:r>
                </m:e>
                <m:sup>
                  <m:r>
                    <m:rPr>
                      <m:sty m:val="p"/>
                    </m:rPr>
                    <m:t>∘</m:t>
                  </m:r>
                </m:sup>
              </m:sSup>
            </m:oMath>
            <w:r>
              <w:t xml:space="preserve"> </w:t>
            </w:r>
            <w:r>
              <w:t xml:space="preserve">з.д.</w:t>
            </w:r>
          </w:p>
        </w:tc>
        <w:tc>
          <w:tcPr/>
          <w:p>
            <w:pPr>
              <w:pStyle w:val="Compact"/>
              <w:jc w:val="left"/>
            </w:pPr>
            <w:r>
              <w:t xml:space="preserve">Штормовой путь Северного полушария</w:t>
            </w:r>
          </w:p>
        </w:tc>
        <w:tc>
          <w:tcPr/>
          <w:p>
            <w:pPr>
              <w:pStyle w:val="Compact"/>
              <w:jc w:val="left"/>
            </w:pPr>
            <w:r>
              <w:t xml:space="preserve">II, III</w:t>
            </w:r>
          </w:p>
        </w:tc>
      </w:tr>
      <w:tr>
        <w:tc>
          <w:tcPr/>
          <w:p>
            <w:pPr>
              <w:pStyle w:val="Compact"/>
              <w:jc w:val="left"/>
            </w:pPr>
            <w:r>
              <w:t xml:space="preserve">R10</w:t>
            </w:r>
          </w:p>
        </w:tc>
        <w:tc>
          <w:tcPr/>
          <w:p>
            <w:pPr>
              <w:pStyle w:val="Compact"/>
              <w:jc w:val="left"/>
            </w:pPr>
            <w:r>
              <w:t xml:space="preserve">Индийский океан</w:t>
            </w:r>
          </w:p>
        </w:tc>
        <w:tc>
          <w:tcPr/>
          <w:p>
            <w:pPr>
              <w:pStyle w:val="Compact"/>
              <w:jc w:val="left"/>
            </w:pPr>
            <m:oMath>
              <m:sSup>
                <m:e>
                  <m:r>
                    <m:t>10</m:t>
                  </m:r>
                </m:e>
                <m:sup>
                  <m:r>
                    <m:rPr>
                      <m:sty m:val="p"/>
                    </m:rPr>
                    <m:t>∘</m:t>
                  </m:r>
                </m:sup>
              </m:sSup>
            </m:oMath>
            <w:r>
              <w:t xml:space="preserve"> </w:t>
            </w:r>
            <w:r>
              <w:t xml:space="preserve">ю.ш.–</w:t>
            </w:r>
            <m:oMath>
              <m:sSup>
                <m:e>
                  <m:r>
                    <m:t>10</m:t>
                  </m:r>
                </m:e>
                <m:sup>
                  <m:r>
                    <m:rPr>
                      <m:sty m:val="p"/>
                    </m:rPr>
                    <m:t>∘</m:t>
                  </m:r>
                </m:sup>
              </m:sSup>
            </m:oMath>
            <w:r>
              <w:t xml:space="preserve"> </w:t>
            </w:r>
            <w:r>
              <w:t xml:space="preserve">с.ш.;</w:t>
            </w:r>
            <w:r>
              <w:t xml:space="preserve"> </w:t>
            </w:r>
            <m:oMath>
              <m:r>
                <m:t>60</m:t>
              </m:r>
            </m:oMath>
            <w:r>
              <w:t xml:space="preserve">–</w:t>
            </w:r>
            <m:oMath>
              <m:sSup>
                <m:e>
                  <m:r>
                    <m:t>100</m:t>
                  </m:r>
                </m:e>
                <m:sup>
                  <m:r>
                    <m:rPr>
                      <m:sty m:val="p"/>
                    </m:rPr>
                    <m:t>∘</m:t>
                  </m:r>
                </m:sup>
              </m:sSup>
            </m:oMath>
            <w:r>
              <w:t xml:space="preserve"> </w:t>
            </w:r>
            <w:r>
              <w:t xml:space="preserve">в.д.</w:t>
            </w:r>
          </w:p>
        </w:tc>
        <w:tc>
          <w:tcPr/>
          <w:p>
            <w:pPr>
              <w:pStyle w:val="Compact"/>
              <w:jc w:val="left"/>
            </w:pPr>
            <w:r>
              <w:t xml:space="preserve">Тропический океан</w:t>
            </w:r>
          </w:p>
        </w:tc>
        <w:tc>
          <w:tcPr/>
          <w:p>
            <w:pPr>
              <w:pStyle w:val="Compact"/>
              <w:jc w:val="left"/>
            </w:pPr>
            <w:r>
              <w:t xml:space="preserve">II, III</w:t>
            </w:r>
          </w:p>
        </w:tc>
      </w:tr>
      <w:tr>
        <w:tc>
          <w:tcPr/>
          <w:p>
            <w:pPr>
              <w:pStyle w:val="Compact"/>
              <w:jc w:val="left"/>
            </w:pPr>
            <w:r>
              <w:t xml:space="preserve">R11</w:t>
            </w:r>
          </w:p>
        </w:tc>
        <w:tc>
          <w:tcPr/>
          <w:p>
            <w:pPr>
              <w:pStyle w:val="Compact"/>
              <w:jc w:val="left"/>
            </w:pPr>
            <w:r>
              <w:t xml:space="preserve">Европа</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sSup>
                <m:e>
                  <m:r>
                    <m:t>10</m:t>
                  </m:r>
                </m:e>
                <m:sup>
                  <m:r>
                    <m:rPr>
                      <m:sty m:val="p"/>
                    </m:rPr>
                    <m:t>∘</m:t>
                  </m:r>
                </m:sup>
              </m:sSup>
            </m:oMath>
            <w:r>
              <w:t xml:space="preserve"> </w:t>
            </w:r>
            <w:r>
              <w:t xml:space="preserve">з.д.–</w:t>
            </w:r>
            <m:oMath>
              <m:sSup>
                <m:e>
                  <m:r>
                    <m:t>30</m:t>
                  </m:r>
                </m:e>
                <m:sup>
                  <m:r>
                    <m:rPr>
                      <m:sty m:val="p"/>
                    </m:rPr>
                    <m:t>∘</m:t>
                  </m:r>
                </m:sup>
              </m:sSup>
            </m:oMath>
            <w:r>
              <w:t xml:space="preserve"> </w:t>
            </w:r>
            <w:r>
              <w:t xml:space="preserve">в.д.</w:t>
            </w:r>
          </w:p>
        </w:tc>
        <w:tc>
          <w:tcPr/>
          <w:p>
            <w:pPr>
              <w:pStyle w:val="Compact"/>
              <w:jc w:val="left"/>
            </w:pPr>
            <w:r>
              <w:t xml:space="preserve">Континентальная область умеренного пояса</w:t>
            </w:r>
          </w:p>
        </w:tc>
        <w:tc>
          <w:tcPr/>
          <w:p>
            <w:pPr>
              <w:pStyle w:val="Compact"/>
              <w:jc w:val="left"/>
            </w:pPr>
            <w:r>
              <w:t xml:space="preserve">II, III</w:t>
            </w:r>
          </w:p>
        </w:tc>
      </w:tr>
      <w:tr>
        <w:tc>
          <w:tcPr/>
          <w:p>
            <w:pPr>
              <w:pStyle w:val="Compact"/>
              <w:jc w:val="left"/>
            </w:pPr>
            <w:r>
              <w:t xml:space="preserve">R12</w:t>
            </w:r>
          </w:p>
        </w:tc>
        <w:tc>
          <w:tcPr/>
          <w:p>
            <w:pPr>
              <w:pStyle w:val="Compact"/>
              <w:jc w:val="left"/>
            </w:pPr>
            <w:r>
              <w:t xml:space="preserve">Юг Южной Америки</w:t>
            </w:r>
          </w:p>
        </w:tc>
        <w:tc>
          <w:tcPr/>
          <w:p>
            <w:pPr>
              <w:pStyle w:val="Compact"/>
              <w:jc w:val="left"/>
            </w:pPr>
            <m:oMath>
              <m:r>
                <m:t>40</m:t>
              </m:r>
            </m:oMath>
            <w:r>
              <w:t xml:space="preserve">–</w:t>
            </w:r>
            <m:oMath>
              <m:sSup>
                <m:e>
                  <m:r>
                    <m:t>20</m:t>
                  </m:r>
                </m:e>
                <m:sup>
                  <m:r>
                    <m:rPr>
                      <m:sty m:val="p"/>
                    </m:rPr>
                    <m:t>∘</m:t>
                  </m:r>
                </m:sup>
              </m:sSup>
            </m:oMath>
            <w:r>
              <w:t xml:space="preserve"> </w:t>
            </w:r>
            <w:r>
              <w:t xml:space="preserve">ю.ш.;</w:t>
            </w:r>
            <w:r>
              <w:t xml:space="preserve"> </w:t>
            </w:r>
            <m:oMath>
              <m:r>
                <m:t>75</m:t>
              </m:r>
            </m:oMath>
            <w:r>
              <w:t xml:space="preserve">–</w:t>
            </w:r>
            <m:oMath>
              <m:sSup>
                <m:e>
                  <m:r>
                    <m:t>35</m:t>
                  </m:r>
                </m:e>
                <m:sup>
                  <m:r>
                    <m:rPr>
                      <m:sty m:val="p"/>
                    </m:rPr>
                    <m:t>∘</m:t>
                  </m:r>
                </m:sup>
              </m:sSup>
            </m:oMath>
            <w:r>
              <w:t xml:space="preserve"> </w:t>
            </w:r>
            <w:r>
              <w:t xml:space="preserve">з.д.</w:t>
            </w:r>
          </w:p>
        </w:tc>
        <w:tc>
          <w:tcPr/>
          <w:p>
            <w:pPr>
              <w:pStyle w:val="Compact"/>
              <w:jc w:val="left"/>
            </w:pPr>
            <w:r>
              <w:t xml:space="preserve">Континентальная область субтропического пояса</w:t>
            </w:r>
          </w:p>
        </w:tc>
        <w:tc>
          <w:tcPr/>
          <w:p>
            <w:pPr>
              <w:pStyle w:val="Compact"/>
              <w:jc w:val="left"/>
            </w:pPr>
            <w:r>
              <w:t xml:space="preserve">II, III</w:t>
            </w:r>
          </w:p>
        </w:tc>
      </w:tr>
    </w:tbl>
    <w:p>
      <w:pPr>
        <w:pStyle w:val="BodyText"/>
      </w:pPr>
      <w:r>
        <w:rPr>
          <w:rFonts w:ascii="Times New Roman" w:hAnsi="Times New Roman"/>
          <w:sz w:val="24"/>
        </w:rPr>
        <w:t xml:space="preserve">Таблица 2. Сводка проверок профиля сопряженности.</w:t>
      </w:r>
      <w:r>
        <w:rPr>
          <w:rFonts w:ascii="Times New Roman" w:hAnsi="Times New Roman"/>
          <w:sz w:val="24"/>
        </w:rPr>
        <w:t xml:space="preserve"> </w:t>
      </w:r>
      <m:oMath>
        <m:r>
          <m:rPr>
            <m:sty m:val="p"/>
          </m:rPr>
          <m:t>Δ</m:t>
        </m:r>
      </m:oMath>
      <w:r>
        <w:rPr>
          <w:rFonts w:ascii="Times New Roman" w:hAnsi="Times New Roman"/>
          <w:sz w:val="24"/>
        </w:rPr>
        <w:t xml:space="preserve"> </w:t>
      </w:r>
      <w:r>
        <w:rPr>
          <w:rFonts w:ascii="Times New Roman" w:hAnsi="Times New Roman"/>
          <w:sz w:val="24"/>
        </w:rPr>
        <w:t xml:space="preserve">– размер эффекта теста группировки (разность медианных межрегиональных и внутрирегиональных расстояний в единицах стандартизованного пространства профилей);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перестановочный уровень значимости (999 переназначений; минимум 0.001);</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 ранговая корреляция географии по областям.</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исходный профиль,</w:t>
      </w:r>
      <w:r>
        <w:rPr>
          <w:rFonts w:ascii="Times New Roman" w:hAnsi="Times New Roman"/>
          <w:sz w:val="24"/>
        </w:rPr>
        <w:t xml:space="preserve"> </w:t>
      </w:r>
      <m:oMath>
        <m:acc>
          <m:accPr>
            <m:chr m:val="̃"/>
          </m:accPr>
          <m:e>
            <m:r>
              <m:t>P</m:t>
            </m:r>
          </m:e>
        </m:acc>
      </m:oMath>
      <w:r>
        <w:rPr>
          <w:rFonts w:ascii="Times New Roman" w:hAnsi="Times New Roman"/>
          <w:sz w:val="24"/>
        </w:rPr>
        <w:t xml:space="preserve"> </w:t>
      </w:r>
      <w:r>
        <w:rPr>
          <w:rFonts w:ascii="Times New Roman" w:hAnsi="Times New Roman"/>
          <w:sz w:val="24"/>
        </w:rPr>
        <w:t xml:space="preserve">– профиль с суррогатной поправкой. Статус: З – проверка заявлена до вычислений, О – описательная статистика, вычисленная после факта.</w:t>
      </w:r>
    </w:p>
    <w:tbl>
      <w:tblPr>
        <w:tblStyle w:val="Table"/>
        <w:tblW w:type="pct" w:w="4550"/>
        <w:tblLayout w:type="fixed"/>
        <w:tblLook w:firstRow="1" w:lastRow="0" w:firstColumn="0" w:lastColumn="0" w:noHBand="0" w:noVBand="0" w:val="0020"/>
      </w:tblPr>
      <w:tblGrid>
        <w:gridCol w:w="2376"/>
        <w:gridCol w:w="1346"/>
        <w:gridCol w:w="871"/>
        <w:gridCol w:w="2138"/>
        <w:gridCol w:w="475"/>
      </w:tblGrid>
      <w:tr>
        <w:trPr>
          <w:tblHeader w:val="on"/>
        </w:trPr>
        <w:tc>
          <w:tcPr/>
          <w:p>
            <w:pPr>
              <w:pStyle w:val="Compact"/>
              <w:jc w:val="left"/>
            </w:pPr>
            <w:r>
              <w:t xml:space="preserve">Проверка</w:t>
            </w:r>
          </w:p>
        </w:tc>
        <w:tc>
          <w:tcPr/>
          <w:p>
            <w:pPr>
              <w:pStyle w:val="Compact"/>
              <w:jc w:val="left"/>
            </w:pPr>
            <w:r>
              <w:t xml:space="preserve">Выборка</w:t>
            </w:r>
          </w:p>
        </w:tc>
        <w:tc>
          <w:tcPr/>
          <w:p>
            <w:pPr>
              <w:pStyle w:val="Compact"/>
              <w:jc w:val="left"/>
            </w:pPr>
            <w:r>
              <w:t xml:space="preserve">Профиль, ступени</w:t>
            </w:r>
          </w:p>
        </w:tc>
        <w:tc>
          <w:tcPr/>
          <w:p>
            <w:pPr>
              <w:pStyle w:val="Compact"/>
              <w:jc w:val="left"/>
            </w:pPr>
            <w:r>
              <w:t xml:space="preserve">Итог</w:t>
            </w:r>
          </w:p>
        </w:tc>
        <w:tc>
          <w:tcPr/>
          <w:p>
            <w:pPr>
              <w:pStyle w:val="Compact"/>
              <w:jc w:val="left"/>
            </w:pPr>
            <w:r>
              <w:t xml:space="preserve">Статус</w:t>
            </w:r>
          </w:p>
        </w:tc>
      </w:tr>
      <w:tr>
        <w:tc>
          <w:tcPr/>
          <w:p>
            <w:pPr>
              <w:pStyle w:val="Compact"/>
              <w:jc w:val="left"/>
            </w:pPr>
            <w:r>
              <w:t xml:space="preserve">. Региональная группировка на отложенных окнах</w:t>
            </w:r>
          </w:p>
        </w:tc>
        <w:tc>
          <w:tcPr/>
          <w:p>
            <w:pPr>
              <w:pStyle w:val="Compact"/>
              <w:jc w:val="left"/>
            </w:pPr>
            <w:r>
              <w:t xml:space="preserve">окна 2021–2022 гг.</w:t>
            </w:r>
          </w:p>
        </w:tc>
        <w:tc>
          <w:tcPr/>
          <w:p>
            <w:pPr>
              <w:pStyle w:val="Compact"/>
              <w:jc w:val="left"/>
            </w:pPr>
            <m:oMath>
              <m:r>
                <m:t>P</m:t>
              </m:r>
            </m:oMath>
            <w:r>
              <w:t xml:space="preserve">, 2–5</w:t>
            </w:r>
          </w:p>
        </w:tc>
        <w:tc>
          <w:tcPr/>
          <w:p>
            <w:pPr>
              <w:pStyle w:val="Compact"/>
              <w:jc w:val="left"/>
            </w:pPr>
            <m:oMath>
              <m:r>
                <m:rPr>
                  <m:sty m:val="p"/>
                </m:rPr>
                <m:t>Δ</m:t>
              </m:r>
              <m:r>
                <m:rPr>
                  <m:sty m:val="p"/>
                </m:rPr>
                <m:t>=</m:t>
              </m:r>
              <m:r>
                <m:rPr>
                  <m:sty m:val="p"/>
                </m:rPr>
                <m:t>+</m:t>
              </m:r>
              <m:r>
                <m:t>0.81</m:t>
              </m:r>
            </m:oMath>
            <w:r>
              <w:t xml:space="preserve">;</w:t>
            </w:r>
            <w:r>
              <w:t xml:space="preserve"> </w:t>
            </w:r>
            <m:oMath>
              <m:r>
                <m:t>p</m:t>
              </m:r>
              <m:r>
                <m:rPr>
                  <m:sty m:val="p"/>
                </m:rPr>
                <m:t>=</m:t>
              </m:r>
              <m:r>
                <m:t>0.001</m:t>
              </m:r>
            </m:oMath>
          </w:p>
        </w:tc>
        <w:tc>
          <w:tcPr/>
          <w:p>
            <w:pPr>
              <w:pStyle w:val="Compact"/>
              <w:jc w:val="left"/>
            </w:pPr>
            <w:r>
              <w:t xml:space="preserve">З</w:t>
            </w:r>
          </w:p>
        </w:tc>
      </w:tr>
      <w:tr>
        <w:tc>
          <w:tcPr/>
          <w:p>
            <w:pPr>
              <w:pStyle w:val="Compact"/>
              <w:jc w:val="left"/>
            </w:pPr>
            <w:r>
              <w:t xml:space="preserve">. Группировка при перестановках внутри страт сезона / года / периода</w:t>
            </w:r>
          </w:p>
        </w:tc>
        <w:tc>
          <w:tcPr/>
          <w:p>
            <w:pPr>
              <w:pStyle w:val="Compact"/>
              <w:jc w:val="left"/>
            </w:pPr>
            <w:r>
              <w:t xml:space="preserve">окон 2017–2024 гг.</w:t>
            </w:r>
          </w:p>
        </w:tc>
        <w:tc>
          <w:tcPr/>
          <w:p>
            <w:pPr>
              <w:pStyle w:val="Compact"/>
              <w:jc w:val="left"/>
            </w:pPr>
            <m:oMath>
              <m:r>
                <m:t>P</m:t>
              </m:r>
            </m:oMath>
            <w:r>
              <w:t xml:space="preserve">, 2–5</w:t>
            </w:r>
          </w:p>
        </w:tc>
        <w:tc>
          <w:tcPr/>
          <w:p>
            <w:pPr>
              <w:pStyle w:val="Compact"/>
              <w:jc w:val="left"/>
            </w:pPr>
            <m:oMath>
              <m:r>
                <m:rPr>
                  <m:sty m:val="p"/>
                </m:rPr>
                <m:t>Δ</m:t>
              </m:r>
              <m:r>
                <m:rPr>
                  <m:sty m:val="p"/>
                </m:rPr>
                <m:t>=</m:t>
              </m:r>
              <m:r>
                <m:rPr>
                  <m:sty m:val="p"/>
                </m:rPr>
                <m:t>+</m:t>
              </m:r>
              <m:r>
                <m:t>1.00</m:t>
              </m:r>
            </m:oMath>
            <w:r>
              <w:t xml:space="preserve">;</w:t>
            </w:r>
            <w:r>
              <w:t xml:space="preserve"> </w:t>
            </w:r>
            <m:oMath>
              <m:r>
                <m:t>p</m:t>
              </m:r>
              <m:r>
                <m:rPr>
                  <m:sty m:val="p"/>
                </m:rPr>
                <m:t>=</m:t>
              </m:r>
              <m:r>
                <m:t>0.001</m:t>
              </m:r>
            </m:oMath>
            <w:r>
              <w:t xml:space="preserve"> </w:t>
            </w:r>
            <w:r>
              <w:t xml:space="preserve">для каждого фактора</w:t>
            </w:r>
          </w:p>
        </w:tc>
        <w:tc>
          <w:tcPr/>
          <w:p>
            <w:pPr>
              <w:pStyle w:val="Compact"/>
              <w:jc w:val="left"/>
            </w:pPr>
            <w:r>
              <w:t xml:space="preserve">З</w:t>
            </w:r>
          </w:p>
        </w:tc>
      </w:tr>
      <w:tr>
        <w:tc>
          <w:tcPr/>
          <w:p>
            <w:pPr>
              <w:pStyle w:val="Compact"/>
              <w:jc w:val="left"/>
            </w:pPr>
            <w:r>
              <w:t xml:space="preserve">. Только разрешенные ступени</w:t>
            </w:r>
          </w:p>
        </w:tc>
        <w:tc>
          <w:tcPr/>
          <w:p>
            <w:pPr>
              <w:pStyle w:val="Compact"/>
              <w:jc w:val="left"/>
            </w:pPr>
            <w:r>
              <w:t xml:space="preserve">окна 2021–2022 гг.</w:t>
            </w:r>
          </w:p>
        </w:tc>
        <w:tc>
          <w:tcPr/>
          <w:p>
            <w:pPr>
              <w:pStyle w:val="Compact"/>
              <w:jc w:val="left"/>
            </w:pPr>
            <m:oMath>
              <m:r>
                <m:t>P</m:t>
              </m:r>
            </m:oMath>
            <w:r>
              <w:t xml:space="preserve">, 4–5 / 5</w:t>
            </w:r>
          </w:p>
        </w:tc>
        <w:tc>
          <w:tcPr/>
          <w:p>
            <w:pPr>
              <w:pStyle w:val="Compact"/>
              <w:jc w:val="left"/>
            </w:pPr>
            <m:oMath>
              <m:r>
                <m:rPr>
                  <m:sty m:val="p"/>
                </m:rPr>
                <m:t>Δ</m:t>
              </m:r>
              <m:r>
                <m:rPr>
                  <m:sty m:val="p"/>
                </m:rPr>
                <m:t>=</m:t>
              </m:r>
              <m:r>
                <m:rPr>
                  <m:sty m:val="p"/>
                </m:rPr>
                <m:t>+</m:t>
              </m:r>
              <m:r>
                <m:t>0.52</m:t>
              </m:r>
            </m:oMath>
            <w:r>
              <w:t xml:space="preserve">;</w:t>
            </w:r>
            <w:r>
              <w:t xml:space="preserve"> </w:t>
            </w:r>
            <m:oMath>
              <m:r>
                <m:t>p</m:t>
              </m:r>
              <m:r>
                <m:rPr>
                  <m:sty m:val="p"/>
                </m:rPr>
                <m:t>=</m:t>
              </m:r>
              <m:r>
                <m:t>0.002</m:t>
              </m:r>
            </m:oMath>
            <w:r>
              <w:t xml:space="preserve"> </w:t>
            </w:r>
            <w:r>
              <w:t xml:space="preserve">/</w:t>
            </w:r>
            <w:r>
              <w:t xml:space="preserve"> </w:t>
            </w:r>
            <m:oMath>
              <m:r>
                <m:rPr>
                  <m:sty m:val="p"/>
                </m:rPr>
                <m:t>Δ</m:t>
              </m:r>
              <m:r>
                <m:rPr>
                  <m:sty m:val="p"/>
                </m:rPr>
                <m:t>=</m:t>
              </m:r>
              <m:r>
                <m:rPr>
                  <m:sty m:val="p"/>
                </m:rPr>
                <m:t>+</m:t>
              </m:r>
              <m:r>
                <m:t>0.54</m:t>
              </m:r>
            </m:oMath>
            <w:r>
              <w:t xml:space="preserve">;</w:t>
            </w:r>
            <w:r>
              <w:t xml:space="preserve"> </w:t>
            </w:r>
            <m:oMath>
              <m:r>
                <m:t>p</m:t>
              </m:r>
              <m:r>
                <m:rPr>
                  <m:sty m:val="p"/>
                </m:rPr>
                <m:t>=</m:t>
              </m:r>
              <m:r>
                <m:t>0.001</m:t>
              </m:r>
            </m:oMath>
          </w:p>
        </w:tc>
        <w:tc>
          <w:tcPr/>
          <w:p>
            <w:pPr>
              <w:pStyle w:val="Compact"/>
              <w:jc w:val="left"/>
            </w:pPr>
            <w:r>
              <w:t xml:space="preserve">З</w:t>
            </w:r>
          </w:p>
        </w:tc>
      </w:tr>
      <w:tr>
        <w:tc>
          <w:tcPr/>
          <w:p>
            <w:pPr>
              <w:pStyle w:val="Compact"/>
              <w:jc w:val="left"/>
            </w:pPr>
            <w:r>
              <w:t xml:space="preserve">. Равновеликие области: основные / отложенные окна</w:t>
            </w:r>
          </w:p>
        </w:tc>
        <w:tc>
          <w:tcPr/>
          <w:p>
            <w:pPr>
              <w:pStyle w:val="Compact"/>
              <w:jc w:val="left"/>
            </w:pPr>
            <w:r>
              <w:t xml:space="preserve">/ 32 окна</w:t>
            </w:r>
          </w:p>
        </w:tc>
        <w:tc>
          <w:tcPr/>
          <w:p>
            <w:pPr>
              <w:pStyle w:val="Compact"/>
              <w:jc w:val="left"/>
            </w:pPr>
            <m:oMath>
              <m:acc>
                <m:accPr>
                  <m:chr m:val="̃"/>
                </m:accPr>
                <m:e>
                  <m:r>
                    <m:t>P</m:t>
                  </m:r>
                </m:e>
              </m:acc>
            </m:oMath>
            <w:r>
              <w:t xml:space="preserve">, 2–5</w:t>
            </w:r>
          </w:p>
        </w:tc>
        <w:tc>
          <w:tcPr/>
          <w:p>
            <w:pPr>
              <w:pStyle w:val="Compact"/>
              <w:jc w:val="left"/>
            </w:pPr>
            <m:oMath>
              <m:r>
                <m:rPr>
                  <m:sty m:val="p"/>
                </m:rPr>
                <m:t>Δ</m:t>
              </m:r>
              <m:r>
                <m:rPr>
                  <m:sty m:val="p"/>
                </m:rPr>
                <m:t>=</m:t>
              </m:r>
              <m:r>
                <m:rPr>
                  <m:sty m:val="p"/>
                </m:rPr>
                <m:t>+</m:t>
              </m:r>
              <m:r>
                <m:t>0.75</m:t>
              </m:r>
            </m:oMath>
            <w:r>
              <w:t xml:space="preserve">;</w:t>
            </w:r>
            <w:r>
              <w:t xml:space="preserve"> </w:t>
            </w:r>
            <m:oMath>
              <m:r>
                <m:t>p</m:t>
              </m:r>
              <m:r>
                <m:rPr>
                  <m:sty m:val="p"/>
                </m:rPr>
                <m:t>=</m:t>
              </m:r>
              <m:r>
                <m:t>0.001</m:t>
              </m:r>
            </m:oMath>
            <w:r>
              <w:t xml:space="preserve"> </w:t>
            </w:r>
            <w:r>
              <w:t xml:space="preserve">/</w:t>
            </w:r>
            <w:r>
              <w:t xml:space="preserve"> </w:t>
            </w:r>
            <m:oMath>
              <m:r>
                <m:rPr>
                  <m:sty m:val="p"/>
                </m:rPr>
                <m:t>Δ</m:t>
              </m:r>
              <m:r>
                <m:rPr>
                  <m:sty m:val="p"/>
                </m:rPr>
                <m:t>=</m:t>
              </m:r>
              <m:r>
                <m:rPr>
                  <m:sty m:val="p"/>
                </m:rPr>
                <m:t>+</m:t>
              </m:r>
              <m:r>
                <m:t>1.03</m:t>
              </m:r>
            </m:oMath>
            <w:r>
              <w:t xml:space="preserve">;</w:t>
            </w:r>
            <w:r>
              <w:t xml:space="preserve"> </w:t>
            </w:r>
            <m:oMath>
              <m:r>
                <m:t>p</m:t>
              </m:r>
              <m:r>
                <m:rPr>
                  <m:sty m:val="p"/>
                </m:rPr>
                <m:t>=</m:t>
              </m:r>
              <m:r>
                <m:t>0.001</m:t>
              </m:r>
            </m:oMath>
          </w:p>
        </w:tc>
        <w:tc>
          <w:tcPr/>
          <w:p>
            <w:pPr>
              <w:pStyle w:val="Compact"/>
              <w:jc w:val="left"/>
            </w:pPr>
            <w:r>
              <w:t xml:space="preserve">З</w:t>
            </w:r>
          </w:p>
        </w:tc>
      </w:tr>
      <w:tr>
        <w:tc>
          <w:tcPr/>
          <w:p>
            <w:pPr>
              <w:pStyle w:val="Compact"/>
              <w:jc w:val="left"/>
            </w:pPr>
            <w:r>
              <w:t xml:space="preserve">. MERRA-2: группировка; согласие географии с ERA5</w:t>
            </w:r>
          </w:p>
        </w:tc>
        <w:tc>
          <w:tcPr/>
          <w:p>
            <w:pPr>
              <w:pStyle w:val="Compact"/>
              <w:jc w:val="left"/>
            </w:pPr>
            <w:r>
              <w:t xml:space="preserve">окон 2023–2024 гг.; 12 областей</w:t>
            </w:r>
          </w:p>
        </w:tc>
        <w:tc>
          <w:tcPr/>
          <w:p>
            <w:pPr>
              <w:pStyle w:val="Compact"/>
              <w:jc w:val="left"/>
            </w:pPr>
            <m:oMath>
              <m:r>
                <m:t>P</m:t>
              </m:r>
            </m:oMath>
            <w:r>
              <w:t xml:space="preserve">, 3 ступени лестницы 200–1600 км</w:t>
            </w:r>
          </w:p>
        </w:tc>
        <w:tc>
          <w:tcPr/>
          <w:p>
            <w:pPr>
              <w:pStyle w:val="Compact"/>
              <w:jc w:val="left"/>
            </w:pPr>
            <m:oMath>
              <m:r>
                <m:rPr>
                  <m:sty m:val="p"/>
                </m:rPr>
                <m:t>Δ</m:t>
              </m:r>
              <m:r>
                <m:rPr>
                  <m:sty m:val="p"/>
                </m:rPr>
                <m:t>=</m:t>
              </m:r>
              <m:r>
                <m:rPr>
                  <m:sty m:val="p"/>
                </m:rPr>
                <m:t>+</m:t>
              </m:r>
              <m:r>
                <m:t>1.09</m:t>
              </m:r>
            </m:oMath>
            <w:r>
              <w:t xml:space="preserve">;</w:t>
            </w:r>
            <w:r>
              <w:t xml:space="preserve"> </w:t>
            </w:r>
            <m:oMath>
              <m:r>
                <m:t>p</m:t>
              </m:r>
              <m:r>
                <m:rPr>
                  <m:sty m:val="p"/>
                </m:rPr>
                <m:t>=</m:t>
              </m:r>
              <m:r>
                <m:t>0.001</m:t>
              </m:r>
            </m:oMath>
            <w:r>
              <w:t xml:space="preserve"> </w:t>
            </w:r>
            <w:r>
              <w:t xml:space="preserve">/</w:t>
            </w:r>
            <w:r>
              <w:t xml:space="preserve"> </w:t>
            </w:r>
            <m:oMath>
              <m:r>
                <m:t>ρ</m:t>
              </m:r>
              <m:r>
                <m:rPr>
                  <m:sty m:val="p"/>
                </m:rPr>
                <m:t>=</m:t>
              </m:r>
              <m:r>
                <m:t>0.77</m:t>
              </m:r>
            </m:oMath>
            <w:r>
              <w:t xml:space="preserve">;</w:t>
            </w:r>
            <w:r>
              <w:t xml:space="preserve"> </w:t>
            </w:r>
            <m:oMath>
              <m:r>
                <m:t>p</m:t>
              </m:r>
              <m:r>
                <m:rPr>
                  <m:sty m:val="p"/>
                </m:rPr>
                <m:t>=</m:t>
              </m:r>
              <m:r>
                <m:t>0.003</m:t>
              </m:r>
            </m:oMath>
          </w:p>
        </w:tc>
        <w:tc>
          <w:tcPr/>
          <w:p>
            <w:pPr>
              <w:pStyle w:val="Compact"/>
              <w:jc w:val="left"/>
            </w:pPr>
            <w:r>
              <w:t xml:space="preserve">О</w:t>
            </w:r>
          </w:p>
        </w:tc>
      </w:tr>
      <w:tr>
        <w:tc>
          <w:tcPr/>
          <w:p>
            <w:pPr>
              <w:pStyle w:val="Compact"/>
              <w:jc w:val="left"/>
            </w:pPr>
            <w:r>
              <w:t xml:space="preserve">. Свободный расчет без усвоения наблюдений: согласие географии с ERA5</w:t>
            </w:r>
          </w:p>
        </w:tc>
        <w:tc>
          <w:tcPr/>
          <w:p>
            <w:pPr>
              <w:pStyle w:val="Compact"/>
              <w:jc w:val="left"/>
            </w:pPr>
            <w:r>
              <w:t xml:space="preserve">областей</w:t>
            </w:r>
          </w:p>
        </w:tc>
        <w:tc>
          <w:tcPr/>
          <w:p>
            <w:pPr>
              <w:pStyle w:val="Compact"/>
              <w:jc w:val="left"/>
            </w:pPr>
            <m:oMath>
              <m:r>
                <m:t>P</m:t>
              </m:r>
            </m:oMath>
            <w:r>
              <w:t xml:space="preserve">, 4–5</w:t>
            </w:r>
          </w:p>
        </w:tc>
        <w:tc>
          <w:tcPr/>
          <w:p>
            <w:pPr>
              <w:pStyle w:val="Compact"/>
              <w:jc w:val="left"/>
            </w:pPr>
            <m:oMath>
              <m:r>
                <m:t>ρ</m:t>
              </m:r>
              <m:r>
                <m:rPr>
                  <m:sty m:val="p"/>
                </m:rPr>
                <m:t>=</m:t>
              </m:r>
              <m:r>
                <m:t>0.72</m:t>
              </m:r>
            </m:oMath>
            <w:r>
              <w:t xml:space="preserve">;</w:t>
            </w:r>
            <w:r>
              <w:t xml:space="preserve"> </w:t>
            </w:r>
            <m:oMath>
              <m:r>
                <m:t>p</m:t>
              </m:r>
              <m:r>
                <m:rPr>
                  <m:sty m:val="p"/>
                </m:rPr>
                <m:t>=</m:t>
              </m:r>
              <m:r>
                <m:t>0.001</m:t>
              </m:r>
            </m:oMath>
            <w:r>
              <w:t xml:space="preserve">; 90%-й интервал 0.58–0.82</w:t>
            </w:r>
          </w:p>
        </w:tc>
        <w:tc>
          <w:tcPr/>
          <w:p>
            <w:pPr>
              <w:pStyle w:val="Compact"/>
              <w:jc w:val="left"/>
            </w:pPr>
            <w:r>
              <w:t xml:space="preserve">З</w:t>
            </w:r>
          </w:p>
        </w:tc>
      </w:tr>
    </w:tbl>
    <w:p>
      <w:pPr>
        <w:pStyle w:val="BodyText"/>
      </w:pPr>
      <w:r>
        <w:rPr>
          <w:rFonts w:ascii="Times New Roman" w:hAnsi="Times New Roman"/>
          <w:sz w:val="24"/>
        </w:rPr>
        <w:t xml:space="preserve">Таблица 3. Проверенные и отвергнутые интерпретации профиля сопряженности (сокращенный перечень; полный – в дополнительных материалах).</w:t>
      </w:r>
    </w:p>
    <w:tbl>
      <w:tblPr>
        <w:tblStyle w:val="Table"/>
        <w:tblW w:type="pct" w:w="4800"/>
        <w:tblLayout w:type="fixed"/>
        <w:tblLook w:firstRow="1" w:lastRow="0" w:firstColumn="0" w:lastColumn="0" w:noHBand="0" w:noVBand="0" w:val="0020"/>
      </w:tblPr>
      <w:tblGrid>
        <w:gridCol w:w="3960"/>
        <w:gridCol w:w="3643"/>
      </w:tblGrid>
      <w:tr>
        <w:trPr>
          <w:tblHeader w:val="on"/>
        </w:trPr>
        <w:tc>
          <w:tcPr/>
          <w:p>
            <w:pPr>
              <w:pStyle w:val="Compact"/>
              <w:jc w:val="left"/>
            </w:pPr>
            <w:r>
              <w:t xml:space="preserve">Проверяемое положение</w:t>
            </w:r>
          </w:p>
        </w:tc>
        <w:tc>
          <w:tcPr/>
          <w:p>
            <w:pPr>
              <w:pStyle w:val="Compact"/>
              <w:jc w:val="left"/>
            </w:pPr>
            <w:r>
              <w:t xml:space="preserve">Итог проверки</w:t>
            </w:r>
          </w:p>
        </w:tc>
      </w:tr>
      <w:tr>
        <w:tc>
          <w:tcPr/>
          <w:p>
            <w:pPr>
              <w:pStyle w:val="Compact"/>
              <w:jc w:val="left"/>
            </w:pPr>
            <w:r>
              <w:t xml:space="preserve">Профиль отслеживает межмасштабный поток кинетической энергии</w:t>
            </w:r>
          </w:p>
        </w:tc>
        <w:tc>
          <w:tcPr/>
          <w:p>
            <w:pPr>
              <w:pStyle w:val="Compact"/>
              <w:jc w:val="left"/>
            </w:pPr>
            <w:r>
              <w:t xml:space="preserve">Отвергнуто (характеристики поля деформации информативнее на два порядка)</w:t>
            </w:r>
          </w:p>
        </w:tc>
      </w:tr>
      <w:tr>
        <w:tc>
          <w:tcPr/>
          <w:p>
            <w:pPr>
              <w:pStyle w:val="Compact"/>
              <w:jc w:val="left"/>
            </w:pPr>
            <w:r>
              <w:t xml:space="preserve">Профиль вертикально универсален (перенос на 500 гПа)</w:t>
            </w:r>
          </w:p>
        </w:tc>
        <w:tc>
          <w:tcPr/>
          <w:p>
            <w:pPr>
              <w:pStyle w:val="Compact"/>
              <w:jc w:val="left"/>
            </w:pPr>
            <w:r>
              <w:t xml:space="preserve">Не подтверждено</w:t>
            </w:r>
          </w:p>
        </w:tc>
      </w:tr>
      <w:tr>
        <w:tc>
          <w:tcPr/>
          <w:p>
            <w:pPr>
              <w:pStyle w:val="Compact"/>
              <w:jc w:val="left"/>
            </w:pPr>
            <w:r>
              <w:t xml:space="preserve">Профиль предсказывает рост ошибки прогноза, мезомасштабную ошибку анализа и потерю мезомасштаба в нейросетевых моделях</w:t>
            </w:r>
          </w:p>
        </w:tc>
        <w:tc>
          <w:tcPr/>
          <w:p>
            <w:pPr>
              <w:pStyle w:val="Compact"/>
              <w:jc w:val="left"/>
            </w:pPr>
            <w:r>
              <w:t xml:space="preserve">Не подтверждено (сильнее предикторы – бароклинность, амплитуда поля, спектральная характеристика)</w:t>
            </w:r>
          </w:p>
        </w:tc>
      </w:tr>
    </w:tbl>
    <w:p>
      <w:pPr>
        <w:pStyle w:val="BodyText"/>
      </w:pPr>
      <w:r>
        <w:rPr>
          <w:rFonts w:ascii="Times New Roman" w:hAnsi="Times New Roman"/>
          <w:sz w:val="24"/>
        </w:rPr>
        <w:drawing>
          <wp:inline>
            <wp:extent cx="5334000" cy="2315594"/>
            <wp:effectExtent b="0" l="0" r="0" t="0"/>
            <wp:docPr descr="image" title="" id="27" name="Picture"/>
            <a:graphic>
              <a:graphicData uri="http://schemas.openxmlformats.org/drawingml/2006/picture">
                <pic:pic>
                  <pic:nvPicPr>
                    <pic:cNvPr descr="figures/v8/fig1_method_v8.png" id="28" name="Picture"/>
                    <pic:cNvPicPr>
                      <a:picLocks noChangeArrowheads="1" noChangeAspect="1"/>
                    </pic:cNvPicPr>
                  </pic:nvPicPr>
                  <pic:blipFill>
                    <a:blip r:embed="rId26"/>
                    <a:stretch>
                      <a:fillRect/>
                    </a:stretch>
                  </pic:blipFill>
                  <pic:spPr bwMode="auto">
                    <a:xfrm>
                      <a:off x="0" y="0"/>
                      <a:ext cx="5334000" cy="2315594"/>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1. Построение карты активности одной масштабной полосы (шаг 1 методики). Европа, область R11, ERA5, 850 гПа, 3 марта 2024 г., 12 ч ВСВ: 1 – относительный вихрь</w:t>
      </w:r>
      <w:r>
        <w:rPr>
          <w:rFonts w:ascii="Times New Roman" w:hAnsi="Times New Roman"/>
          <w:sz w:val="24"/>
        </w:rPr>
        <w:t xml:space="preserve"> </w:t>
      </w:r>
      <m:oMath>
        <m:r>
          <m:t>ω</m:t>
        </m:r>
      </m:oMath>
      <w:r>
        <w:rPr>
          <w:rFonts w:ascii="Times New Roman" w:hAnsi="Times New Roman"/>
          <w:sz w:val="24"/>
        </w:rPr>
        <w:t xml:space="preserve">; 2, 3 – гауссовы сглаживания с</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 200 и 400 км (отрезок – ширина ядра); 4 – полоса 200–400 км как разность панелей 2 и 3; 5 – ее модуль; 6 – карта активности полосы: модуль, сглаженный с</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 400 км. Серые линии – береговая линия, штриховка – узлы под рельефом, исключенные из сглаживания и корреляций, пунктир – внутренняя часть области, по узлам которой вычисляется ранговая корреляция по формуле (3).</w:t>
      </w:r>
    </w:p>
    <w:p>
      <w:pPr>
        <w:pStyle w:val="BodyText"/>
      </w:pPr>
      <w:r>
        <w:rPr>
          <w:rFonts w:ascii="Times New Roman" w:hAnsi="Times New Roman"/>
          <w:sz w:val="24"/>
        </w:rPr>
        <w:drawing>
          <wp:inline>
            <wp:extent cx="5334000" cy="2621501"/>
            <wp:effectExtent b="0" l="0" r="0" t="0"/>
            <wp:docPr descr="image" title="" id="30" name="Picture"/>
            <a:graphic>
              <a:graphicData uri="http://schemas.openxmlformats.org/drawingml/2006/picture">
                <pic:pic>
                  <pic:nvPicPr>
                    <pic:cNvPr descr="figures/v8/fig2_profiles_v8.png" id="31" name="Picture"/>
                    <pic:cNvPicPr>
                      <a:picLocks noChangeArrowheads="1" noChangeAspect="1"/>
                    </pic:cNvPicPr>
                  </pic:nvPicPr>
                  <pic:blipFill>
                    <a:blip r:embed="rId29"/>
                    <a:stretch>
                      <a:fillRect/>
                    </a:stretch>
                  </pic:blipFill>
                  <pic:spPr bwMode="auto">
                    <a:xfrm>
                      <a:off x="0" y="0"/>
                      <a:ext cx="5334000" cy="2621501"/>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2. Профили сопряженности двенадцати основных областей (коды – табл. 1) по ступеням 2–5. а – исходный профиль</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на градусных областях, медиана по восьми сезонным окнам 2017–2024 гг.; б – профиль с суррогатной поправкой</w:t>
      </w:r>
      <w:r>
        <w:rPr>
          <w:rFonts w:ascii="Times New Roman" w:hAnsi="Times New Roman"/>
          <w:sz w:val="24"/>
        </w:rPr>
        <w:t xml:space="preserve"> </w:t>
      </w:r>
      <m:oMath>
        <m:acc>
          <m:accPr>
            <m:chr m:val="̃"/>
          </m:accPr>
          <m:e>
            <m:r>
              <m:t>P</m:t>
            </m:r>
          </m:e>
        </m:acc>
      </m:oMath>
      <w:r>
        <w:rPr>
          <w:rFonts w:ascii="Times New Roman" w:hAnsi="Times New Roman"/>
          <w:sz w:val="24"/>
        </w:rPr>
        <w:t xml:space="preserve"> </w:t>
      </w:r>
      <w:r>
        <w:rPr>
          <w:rFonts w:ascii="Times New Roman" w:hAnsi="Times New Roman"/>
          <w:sz w:val="24"/>
        </w:rPr>
        <w:t xml:space="preserve">на равновеликих областях, медиана по четырем окнам 2023–2024 гг. Ступени – пары соседних полос масштаба, км.</w:t>
      </w:r>
    </w:p>
    <w:p>
      <w:pPr>
        <w:pStyle w:val="BodyText"/>
      </w:pPr>
      <w:r>
        <w:rPr>
          <w:rFonts w:ascii="Times New Roman" w:hAnsi="Times New Roman"/>
          <w:sz w:val="24"/>
        </w:rPr>
        <w:drawing>
          <wp:inline>
            <wp:extent cx="5334000" cy="2590523"/>
            <wp:effectExtent b="0" l="0" r="0" t="0"/>
            <wp:docPr descr="image" title="" id="33" name="Picture"/>
            <a:graphic>
              <a:graphicData uri="http://schemas.openxmlformats.org/drawingml/2006/picture">
                <pic:pic>
                  <pic:nvPicPr>
                    <pic:cNvPr descr="figures/v8/fig3_free_run_v8.png" id="34" name="Picture"/>
                    <pic:cNvPicPr>
                      <a:picLocks noChangeArrowheads="1" noChangeAspect="1"/>
                    </pic:cNvPicPr>
                  </pic:nvPicPr>
                  <pic:blipFill>
                    <a:blip r:embed="rId32"/>
                    <a:stretch>
                      <a:fillRect/>
                    </a:stretch>
                  </pic:blipFill>
                  <pic:spPr bwMode="auto">
                    <a:xfrm>
                      <a:off x="0" y="0"/>
                      <a:ext cx="5334000" cy="2590523"/>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3. Сопоставление региональной географии сопряженности (среднее исходного профиля по ступеням 4–5) по ERA5 (ось абсцисс; окна 2021–2024 гг.) и по свободному расчету ECMWF-IFS-HR без усвоения наблюдений (ось ординат; окна 2014 г.) для 39 областей: заполненные значки – двенадцать основных областей, полые – 27 решеточных ячеек; пунктир – линия равенства.</w:t>
      </w:r>
    </w:p>
    <w:p>
      <w:pPr>
        <w:pStyle w:val="BodyText"/>
      </w:pPr>
      <w:r>
        <w:rPr>
          <w:rFonts w:ascii="Times New Roman" w:hAnsi="Times New Roman"/>
          <w:sz w:val="24"/>
        </w:rPr>
        <w:drawing>
          <wp:inline>
            <wp:extent cx="5334000" cy="2271064"/>
            <wp:effectExtent b="0" l="0" r="0" t="0"/>
            <wp:docPr descr="image" title="" id="36" name="Picture"/>
            <a:graphic>
              <a:graphicData uri="http://schemas.openxmlformats.org/drawingml/2006/picture">
                <pic:pic>
                  <pic:nvPicPr>
                    <pic:cNvPr descr="figures/v8/fig4_map_v8.png" id="37" name="Picture"/>
                    <pic:cNvPicPr>
                      <a:picLocks noChangeArrowheads="1" noChangeAspect="1"/>
                    </pic:cNvPicPr>
                  </pic:nvPicPr>
                  <pic:blipFill>
                    <a:blip r:embed="rId35"/>
                    <a:stretch>
                      <a:fillRect/>
                    </a:stretch>
                  </pic:blipFill>
                  <pic:spPr bwMode="auto">
                    <a:xfrm>
                      <a:off x="0" y="0"/>
                      <a:ext cx="5334000" cy="2271064"/>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4. География сопряженности уровней: среднее исходного профиля по ступеням 4–5 (пары полос 200–400 | 400–800 и 400–800 | 800–1600 км) для 39 областей, ERA5, 850 гПа. Каждая область показана отдельным полигоном без интерполяции: число – медиана по сезонным окнам, под ним – размах по окнам; двенадцать основных областей (жирная рамка, коды) – окна 2021–2024 гг. (R1–R4 – 2023–2024 гг.), 27 решеточных ячеек – окна 2024 г.</w:t>
      </w:r>
    </w:p>
    <w:p>
      <w:pPr>
        <w:pStyle w:val="BodyText"/>
      </w:pPr>
      <w:r>
        <w:rPr>
          <w:rFonts w:ascii="Times New Roman" w:hAnsi="Times New Roman"/>
          <w:sz w:val="24"/>
        </w:rPr>
        <w:drawing>
          <wp:inline>
            <wp:extent cx="5334000" cy="2743476"/>
            <wp:effectExtent b="0" l="0" r="0" t="0"/>
            <wp:docPr descr="image" title="" id="39" name="Picture"/>
            <a:graphic>
              <a:graphicData uri="http://schemas.openxmlformats.org/drawingml/2006/picture">
                <pic:pic>
                  <pic:nvPicPr>
                    <pic:cNvPr descr="figures/v8/fig5_congo_amazon_v8.png" id="40" name="Picture"/>
                    <pic:cNvPicPr>
                      <a:picLocks noChangeArrowheads="1" noChangeAspect="1"/>
                    </pic:cNvPicPr>
                  </pic:nvPicPr>
                  <pic:blipFill>
                    <a:blip r:embed="rId38"/>
                    <a:stretch>
                      <a:fillRect/>
                    </a:stretch>
                  </pic:blipFill>
                  <pic:spPr bwMode="auto">
                    <a:xfrm>
                      <a:off x="0" y="0"/>
                      <a:ext cx="5334000" cy="2743476"/>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5. Бассейны Конго (1–3) и Амазонки (4–6), январь–март 2023 г. 1, 4 – карта активности полосы 800–1600 км на один срок (28 февраля 2023 г., 06 ч ВСВ и 15 марта 2023 г., 18 ч ВСВ); 2, 5 – карта активности полосы 400–800 км на тот же срок; изолинии на обеих картах ряда – активность полосы 800–1600 км; пунктир – внутренняя часть области, штриховка – узлы под рельефом. 3, 6 – совместное распределение рангов активности двух полос по узлам внутренней части за все сроки окна (темнее – чаще); пунктир – диагональ полного соответствия. В бассейне Конго мезомасштабная активность размещается там же, где активен крупный уровень, в Амазонии та же пара уровней распределена почти безразлично.</w:t>
      </w:r>
    </w:p>
    <w:p>
      <w:pPr>
        <w:pStyle w:val="BodyText"/>
      </w:pPr>
      <w:r>
        <w:rPr>
          <w:rFonts w:ascii="Times New Roman" w:hAnsi="Times New Roman"/>
          <w:b/>
          <w:bCs/>
          <w:sz w:val="24"/>
        </w:rPr>
        <w:t xml:space="preserve">Coupling of hierarchical levels of the atmospheric circulation as a regional invariant</w:t>
      </w:r>
    </w:p>
    <w:p>
      <w:pPr>
        <w:pStyle w:val="BodyText"/>
      </w:pPr>
      <w:r>
        <w:rPr>
          <w:rFonts w:ascii="Times New Roman" w:hAnsi="Times New Roman"/>
          <w:b/>
          <w:bCs/>
          <w:sz w:val="24"/>
        </w:rPr>
        <w:t xml:space="preserve">N. S. Sotiriadi</w:t>
      </w:r>
      <w:r>
        <w:rPr>
          <w:rFonts w:ascii="Times New Roman" w:hAnsi="Times New Roman"/>
          <w:b/>
          <w:bCs/>
          <w:sz w:val="24"/>
          <w:vertAlign w:val="superscript"/>
        </w:rPr>
        <w:t xml:space="preserve">*</w:t>
      </w:r>
    </w:p>
    <w:p>
      <w:pPr>
        <w:pStyle w:val="BodyText"/>
      </w:pPr>
      <w:r>
        <w:rPr>
          <w:rFonts w:ascii="Times New Roman" w:hAnsi="Times New Roman"/>
          <w:sz w:val="24"/>
        </w:rPr>
        <w:t xml:space="preserve">Independent researcher, Moscow, Russia</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Abstract.</w:t>
      </w:r>
      <w:r>
        <w:rPr>
          <w:rFonts w:ascii="Times New Roman" w:hAnsi="Times New Roman"/>
          <w:sz w:val="24"/>
        </w:rPr>
        <w:t xml:space="preserve"> </w:t>
      </w:r>
      <w:r>
        <w:rPr>
          <w:rFonts w:ascii="Times New Roman" w:hAnsi="Times New Roman"/>
          <w:sz w:val="24"/>
        </w:rPr>
        <w:t xml:space="preserve">Spectral and fractal analysis of geographical fields answers the question of the scales at which the levels of organisation of a geosystem are located. The next question concerns the relation between levels: is mesoscale variability placed where the adjacent large level is active, or independently of it? Using the relative-vorticity field at 850 hPa (ERA5 reanalysis, 2017–2024; 12 main and 27 control regions) we construct a measure of this relation, the coupling profile of adjacent octave scale bands: the spatial rank correlation of the activity maps of two adjacent bands, supplemented by its excess over phase surrogates of the field. We test the hypothesis that the profile is a regional invariant: it distinguishes circulation regimes and is reproduced across seasonal windows of different years and ENSO phases. The regional grouping of profiles is confirmed on held-out windows and under permutations within strata of season, year and period; the region accounts for 0.6–0.7 of the profile variance. The grouping survives restriction to the resolved steps, an equal-area partition, a second reanalysis and a free-running model integration without assimilation of atmospheric observations. Higher values belong to the tropical warm pool of the Pacific, the Congo basin and the extratropical storm tracks, lower values to continental regions and the Amazon; the Congo and Amazon basins, similar in standard regime characteristics, differ in the coupling of their large bands. The quantity adds to regionalisation a characteristic of inter-level relations; its limits of applicability are stated explicitly.</w:t>
      </w:r>
    </w:p>
    <w:p>
      <w:pPr>
        <w:pStyle w:val="BodyText"/>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hierarchical organisation of geosystems, invariants of a dynamic geosystem, scale, mesoscale variability, storm tracks, deep convection, reanalysis, regionalisation, falsification design.</w:t>
      </w:r>
    </w:p>
    <w:p>
      <w:pPr>
        <w:pStyle w:val="BodyText"/>
      </w:pPr>
      <w:r>
        <w:rPr>
          <w:rFonts w:ascii="Times New Roman" w:hAnsi="Times New Roman"/>
          <w:b/>
          <w:bCs/>
          <w:sz w:val="24"/>
        </w:rPr>
        <w:t xml:space="preserve">Funding.</w:t>
      </w:r>
      <w:r>
        <w:rPr>
          <w:rFonts w:ascii="Times New Roman" w:hAnsi="Times New Roman"/>
          <w:sz w:val="24"/>
        </w:rPr>
        <w:t xml:space="preserve"> </w:t>
      </w:r>
      <w:r>
        <w:rPr>
          <w:rFonts w:ascii="Times New Roman" w:hAnsi="Times New Roman"/>
          <w:sz w:val="24"/>
        </w:rPr>
        <w:t xml:space="preserve">The study received no external funding. The author declares no conflict of interest.</w:t>
      </w:r>
    </w:p>
    <w:bookmarkEnd w:id="41"/>
    <w:sectPr>
      <w:footnotePr>
        <w:numRestart w:val="eachSect"/>
      </w:footnotePr>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https://github.com/Theclimateguy/Shroedinger, релиз v6.5 (тег v6.5; дата обращения 10.10.2026); постоянный архив версий – Zenodo, doi: 10.5281/zenodo.19565769 (версия 6.5). Маршрут воспроизведения каждого числа таблицы 2 описан в файле reproducibility/article1_README.md (раздел 0); дополнительные материалы (полные рисунки и таблицы проверок) – в том же релизе.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709"/>
    </w:pPr>
    <w:rPr>
      <w:rFonts w:ascii="Times New Roman" w:hAnsi="Times New Roman" w:cs="Times New Roman" w:eastAsia="Times New Roman"/>
      <w:sz w:val="24"/>
    </w:rPr>
  </w:style>
  <w:style w:styleId="BodyText" w:type="paragraph">
    <w:name w:val="Body Text"/>
    <w:basedOn w:val="Normal"/>
    <w:link w:val="BodyTextChar"/>
    <w:qFormat/>
    <w:pPr>
      <w:spacing w:after="0" w:before="180" w:line="360" w:lineRule="auto"/>
      <w:ind w:firstLine="709"/>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after="0"/>
      <w:ind w:firstLine="709"/>
    </w:pPr>
    <w:rPr>
      <w:rFonts w:ascii="Times New Roman" w:hAnsi="Times New Roman" w:cs="Times New Roman" w:eastAsia="Times New Roman"/>
      <w:sz w:val="24"/>
    </w:rPr>
  </w:style>
  <w:style w:customStyle="1" w:styleId="Compact" w:type="paragraph">
    <w:name w:val="Compact"/>
    <w:basedOn w:val="BodyText"/>
    <w:qFormat/>
    <w:pPr>
      <w:spacing w:after="0" w:before="36" w:line="360" w:lineRule="auto"/>
      <w:ind w:firstLine="709"/>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color w:val="007020"/>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rFonts w:ascii="Times New Roman" w:hAnsi="Times New Roman" w:cs="Times New Roman" w:eastAsia="Times New Roman"/>
      <w:b/>
      <w:color w:val="008000"/>
    </w:rPr>
  </w:style>
  <w:style w:type="character" w:customStyle="1" w:styleId="CommentTok">
    <w:name w:val="CommentTok"/>
    <w:basedOn w:val="VerbatimChar"/>
    <w:rPr>
      <w:rFonts w:ascii="Times New Roman" w:hAnsi="Times New Roman" w:cs="Times New Roman" w:eastAsia="Times New Roman"/>
      <w:i/>
      <w:color w:val="60a0b0"/>
    </w:rPr>
  </w:style>
  <w:style w:type="character" w:customStyle="1" w:styleId="DocumentationTok">
    <w:name w:val="DocumentationTok"/>
    <w:basedOn w:val="VerbatimChar"/>
    <w:rPr>
      <w:rFonts w:ascii="Times New Roman" w:hAnsi="Times New Roman" w:cs="Times New Roman" w:eastAsia="Times New Roman"/>
      <w:i/>
      <w:color w:val="ba2121"/>
    </w:rPr>
  </w:style>
  <w:style w:type="character" w:customStyle="1" w:styleId="AnnotationTok">
    <w:name w:val="AnnotationTok"/>
    <w:basedOn w:val="VerbatimChar"/>
    <w:rPr>
      <w:rFonts w:ascii="Times New Roman" w:hAnsi="Times New Roman" w:cs="Times New Roman" w:eastAsia="Times New Roman"/>
      <w:b/>
      <w:i/>
      <w:color w:val="60a0b0"/>
    </w:rPr>
  </w:style>
  <w:style w:type="character" w:customStyle="1" w:styleId="CommentVarTok">
    <w:name w:val="CommentVarTok"/>
    <w:basedOn w:val="VerbatimChar"/>
    <w:rPr>
      <w:rFonts w:ascii="Times New Roman" w:hAnsi="Times New Roman" w:cs="Times New Roman" w:eastAsia="Times New Roman"/>
      <w:b/>
      <w:i/>
      <w:color w:val="60a0b0"/>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rFonts w:ascii="Times New Roman" w:hAnsi="Times New Roman" w:cs="Times New Roman" w:eastAsia="Times New Roman"/>
      <w:b/>
      <w:color w:val="007020"/>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color w:val="60a0b0"/>
    </w:rPr>
  </w:style>
  <w:style w:type="character" w:customStyle="1" w:styleId="WarningTok">
    <w:name w:val="WarningTok"/>
    <w:basedOn w:val="VerbatimChar"/>
    <w:rPr>
      <w:rFonts w:ascii="Times New Roman" w:hAnsi="Times New Roman" w:cs="Times New Roman" w:eastAsia="Times New Roman"/>
      <w:b/>
      <w:i/>
      <w:color w:val="60a0b0"/>
    </w:rPr>
  </w:style>
  <w:style w:type="character" w:customStyle="1" w:styleId="AlertTok">
    <w:name w:val="AlertTok"/>
    <w:basedOn w:val="VerbatimChar"/>
    <w:rPr>
      <w:rFonts w:ascii="Times New Roman" w:hAnsi="Times New Roman" w:cs="Times New Roman" w:eastAsia="Times New Roman"/>
      <w:b/>
      <w:color w:val="ff0000"/>
    </w:rPr>
  </w:style>
  <w:style w:type="character" w:customStyle="1" w:styleId="ErrorTok">
    <w:name w:val="ErrorTok"/>
    <w:basedOn w:val="VerbatimChar"/>
    <w:rPr>
      <w:rFonts w:ascii="Times New Roman" w:hAnsi="Times New Roman" w:cs="Times New Roman" w:eastAsia="Times New Roman"/>
      <w:b/>
      <w:color w:val="ff0000"/>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2026-10-10T12:41:35Z</dcterms:created>
  <dcterms:modified xsi:type="dcterms:W3CDTF">2026-10-10T12:41:35Z</dcterms:modified>
</cp:coreProperties>
</file>

<file path=docProps/custom.xml><?xml version="1.0" encoding="utf-8"?>
<Properties xmlns="http://schemas.openxmlformats.org/officeDocument/2006/custom-properties" xmlns:vt="http://schemas.openxmlformats.org/officeDocument/2006/docPropsVTypes"/>
</file>