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ответ-на-рецензию"/>
    <w:p>
      <w:pPr>
        <w:pStyle w:val="Heading1"/>
      </w:pPr>
      <w:r>
        <w:t xml:space="preserve">Ответ на рецензию</w:t>
      </w:r>
    </w:p>
    <w:p>
      <w:pPr>
        <w:pStyle w:val="FirstParagraph"/>
      </w:pPr>
      <w:r>
        <w:rPr>
          <w:b/>
          <w:bCs/>
        </w:rPr>
        <w:t xml:space="preserve">Рукопись № 3209</w:t>
      </w:r>
      <w:r>
        <w:t xml:space="preserve"> </w:t>
      </w:r>
      <w:r>
        <w:t xml:space="preserve">«Сопряженность иерархических уровней атмосферной циркуляции как региональный инвариант»</w:t>
      </w:r>
      <w:r>
        <w:t xml:space="preserve"> </w:t>
      </w:r>
      <w:r>
        <w:rPr>
          <w:b/>
          <w:bCs/>
        </w:rPr>
        <w:t xml:space="preserve">Автор:</w:t>
      </w:r>
      <w:r>
        <w:t xml:space="preserve"> </w:t>
      </w:r>
      <w:r>
        <w:t xml:space="preserve">Н. С. Сотириади</w:t>
      </w:r>
      <w:r>
        <w:t xml:space="preserve"> </w:t>
      </w:r>
      <w:r>
        <w:rPr>
          <w:b/>
          <w:bCs/>
        </w:rPr>
        <w:t xml:space="preserve">Рецензент:</w:t>
      </w:r>
      <w:r>
        <w:t xml:space="preserve"> </w:t>
      </w:r>
      <w:r>
        <w:t xml:space="preserve">А. Н. Кренке</w:t>
      </w:r>
      <w:r>
        <w:t xml:space="preserve"> </w:t>
      </w:r>
      <w:r>
        <w:rPr>
          <w:b/>
          <w:bCs/>
        </w:rPr>
        <w:t xml:space="preserve">Дата ответа:</w:t>
      </w:r>
      <w:r>
        <w:t xml:space="preserve"> </w:t>
      </w:r>
      <w:r>
        <w:t xml:space="preserve">10 октября 2026 г.</w:t>
      </w:r>
    </w:p>
    <w:p>
      <w:pPr>
        <w:pStyle w:val="BodyText"/>
      </w:pPr>
      <w:r>
        <w:t xml:space="preserve">Благодарю рецензента за внимательное чтение не только рукописи, но и кода в открытом репозитории: два замечания по расчету (сферическая формула вихря и маска уровня 850 гПа) были обнаружены именно в коде и привели к пересчету всех чисел статьи. Все замечания приняты; ниже — ответ по каждому пункту с указанием места в исправленной рукописи. Исправленная версия построена на пересчитанных данных (релиз v6.5 репозитория); ни один качественный вывод не изменился, числа заменены везде.</w:t>
      </w:r>
    </w:p>
    <w:bookmarkStart w:id="15" w:name="основные-замечания"/>
    <w:p>
      <w:pPr>
        <w:pStyle w:val="Heading2"/>
      </w:pPr>
      <w:r>
        <w:t xml:space="preserve">Основные замечания</w:t>
      </w:r>
    </w:p>
    <w:bookmarkStart w:id="9" w:name="X8b29d5d37bfa32369865803abd2c4db605f74ba"/>
    <w:p>
      <w:pPr>
        <w:pStyle w:val="Heading3"/>
      </w:pPr>
      <w:r>
        <w:t xml:space="preserve">1. Наблюдаемый эффект и его направленная интерпретация</w:t>
      </w:r>
    </w:p>
    <w:p>
      <w:pPr>
        <w:pStyle w:val="FirstParagraph"/>
      </w:pPr>
      <w:r>
        <w:t xml:space="preserve">Принято, выбран «более экономичный вариант». Слова «предопределено», «предопределяет», «подчиненность» удалены из аннотации, введения, раздела «Что измеряет величина» и заключения; везде используются «пространственно сопряжено», «совместное размещение», «статистическая связь размещений». В подразделе «Гипотеза и границы утверждения» добавлена фраза о симметричности используемых мер (корреляция, взаимная информация), которые фиксируют совместное размещение, а не причину; в «Что измеряет величина» — прямое указание, что направления влияния дескриптор не устанавливает. «Архитектура иерархии» заменена на «устройство межуровневых связей» с операциональным определением. Направленный анализ в статью не добавлялся.</w:t>
      </w:r>
    </w:p>
    <w:bookmarkEnd w:id="9"/>
    <w:bookmarkStart w:id="10" w:name="расчет-завихренности-и-уровень-850-гпа"/>
    <w:p>
      <w:pPr>
        <w:pStyle w:val="Heading3"/>
      </w:pPr>
      <w:r>
        <w:t xml:space="preserve">2. Расчет завихренности и уровень 850 гПа</w:t>
      </w:r>
    </w:p>
    <w:p>
      <w:pPr>
        <w:pStyle w:val="FirstParagraph"/>
      </w:pPr>
      <w:r>
        <w:t xml:space="preserve">Принято полностью; выполнен пересчет.</w:t>
      </w:r>
    </w:p>
    <w:p>
      <w:pPr>
        <w:pStyle w:val="BodyText"/>
      </w:pPr>
      <w:r>
        <w:rPr>
          <w:i/>
          <w:iCs/>
        </w:rPr>
        <w:t xml:space="preserve">Сферический ротор.</w:t>
      </w:r>
      <w:r>
        <w:t xml:space="preserve"> </w:t>
      </w:r>
      <w:r>
        <w:t xml:space="preserve">В функцию расчета вихря добавлено метрическое слагаемое</w:t>
      </w:r>
      <w:r>
        <w:t xml:space="preserve"> </w:t>
      </w:r>
      <m:oMath>
        <m:r>
          <m:t>u</m:t>
        </m:r>
        <m:r>
          <m:rPr>
            <m:sty m:val="p"/>
          </m:rPr>
          <m:t>tan</m:t>
        </m:r>
        <m:r>
          <m:t>φ</m:t>
        </m:r>
        <m:r>
          <m:rPr>
            <m:sty m:val="p"/>
          </m:rPr>
          <m:t>/</m:t>
        </m:r>
        <m:r>
          <m:t>a</m:t>
        </m:r>
      </m:oMath>
      <w:r>
        <w:t xml:space="preserve">; формула (2) рукописи приведена в сферической форме с оценкой величины слагаемого (ℓ·tanφ/(2πa): менее 1.5 % в полосах мельче 400 км и около 6 % в полосе 800–1600 км на 55°). Прямая проверка на 48 регион-окнах 2023–2024 гг.: изменение профиля не превышает 0.009 на любой ступени, статистика группировки меняется в третьем знаке.</w:t>
      </w:r>
    </w:p>
    <w:p>
      <w:pPr>
        <w:pStyle w:val="BodyText"/>
      </w:pPr>
      <w:r>
        <w:rPr>
          <w:i/>
          <w:iCs/>
        </w:rPr>
        <w:t xml:space="preserve">Маска уровня 850 гПа.</w:t>
      </w:r>
      <w:r>
        <w:t xml:space="preserve"> </w:t>
      </w:r>
      <w:r>
        <w:t xml:space="preserve">Введена статическая маска по орографии ERA5 (высота поверхности более 1457 м — высота 850 гПа в стандартной атмосфере): такие узлы не участвуют в сглаживании (нормированная свертка) и в корреляциях. Доля замаскированных узлов во внутренней части области: Центральная Азия 29 %, бассейн Конго 7 %, Европа 5 %, остальные менее 1 % (раздел «Материал»). Для MERRA-2 обнаружено и устранено более серьезное упущение: заполнители ниже поверхности (34 % узлов над Центральной Азией) превращались в нули; теперь они исключаются так же, как в ERA5. Чувствительность: профиль Центральной Азии на ступенях 4–5 сдвинулся до 0.08 (в среднем 0.02–0.04), Амазонии и юга Южной Америки — до 0.05 (Анды в краевой полосе), бассейна Конго и Европы — до 0.03, остальных — менее 0.01; порядок областей сохранился (ранговая корреляция старой и новой географии по 12 областям 0.98). Все строки таблицы 2, рисунки и описательные величины пересчитаны по новому определению; согласие географии ERA5–MERRA-2 снизилось с 0.86 до 0.77 (</w:t>
      </w:r>
      <m:oMath>
        <m:r>
          <m:t>p</m:t>
        </m:r>
      </m:oMath>
      <w:r>
        <w:t xml:space="preserve"> </w:t>
      </w:r>
      <w:r>
        <w:t xml:space="preserve">= 0.003), и это число приведено в рукописи. Схема метода (новый рис. 1) построена по фактическому пайплайну и показывает маску штриховкой.</w:t>
      </w:r>
    </w:p>
    <w:bookmarkEnd w:id="10"/>
    <w:bookmarkStart w:id="11" w:name="X50a21d33069efee23e8ed3ea6ad81c3d55372f9"/>
    <w:p>
      <w:pPr>
        <w:pStyle w:val="Heading3"/>
      </w:pPr>
      <w:r>
        <w:t xml:space="preserve">3. Масштабные полосы и эффективное разрешение</w:t>
      </w:r>
    </w:p>
    <w:p>
      <w:pPr>
        <w:pStyle w:val="FirstParagraph"/>
      </w:pPr>
      <w:r>
        <w:t xml:space="preserve">Принято. Известное ограничение первой пары полос перенесено в рукопись (шаг 2 методики) с числами: связь ступени 1 с широтой падает с 0.87 до 0.65 на изотропной сетке, ступени 2–5 воспроизводятся с согласием 0.97–0.99. Ступень 1 исключена из содержательных выводов, таблицы 2 и основных рисунков; она показана только в приложении как диагностическая. Основные строки таблицы 2 даны по ступеням 2–5 (отложенные окна: Δ = +0.81, p = 0.001). Расхождение оценок эффективного разрешения учтено отдельной чувствительностью: группировка сохраняется при ограничении ступенями 4–5 (Δ = +0.52, p = 0.002), только ступенью 5 (Δ = +0.54, p = 0.001) и при регионально зависимом выборе — ступень 5 в тропиках, 4–5 вне тропиков (Δ = +0.53, p = 0.001); строка 3 таблицы 2. Порог 200 км при этом назван заявленным выбором, а не следствием оценок разрешения.</w:t>
      </w:r>
    </w:p>
    <w:p>
      <w:pPr>
        <w:pStyle w:val="BodyText"/>
      </w:pPr>
      <w:r>
        <w:t xml:space="preserve">Фраза о «тонких полосах» («штормовые пути первые, влажно-конвективные последние») без первой пары не подтверждается и заменена описанием фактического порядка на ступенях 2–3 (бассейн Конго и океанические области выше, Европа и Амазония ниже).</w:t>
      </w:r>
    </w:p>
    <w:bookmarkEnd w:id="11"/>
    <w:bookmarkStart w:id="12" w:name="Xc745ee832c1d85b351824f146f0cbbca72f1bc6"/>
    <w:p>
      <w:pPr>
        <w:pStyle w:val="Heading3"/>
      </w:pPr>
      <w:r>
        <w:t xml:space="preserve">4. Статистический смысл региональной устойчивости</w:t>
      </w:r>
    </w:p>
    <w:p>
      <w:pPr>
        <w:pStyle w:val="FirstParagraph"/>
      </w:pPr>
      <w:r>
        <w:t xml:space="preserve">Принято; выполнен дополнительный анализ, а формулировки приведены в соответствие с дизайном.</w:t>
      </w:r>
    </w:p>
    <w:p>
      <w:pPr>
        <w:pStyle w:val="BodyText"/>
      </w:pPr>
      <w:r>
        <w:t xml:space="preserve">Добавлены блочные перестановки: метки регионов переставляются внутри страт сезона, года и периода по отдельности (96 регион-окон); для каждого фактора Δ = +1.00, p = 0.001; при ограничении статистики парами окон из разных сезонов Δ = +0.37, из разных лет +1.04, из разных периодов +1.08 (все p = 0.001). Добавлено разложение дисперсии профиля по ступеням: доля региона 0.61–0.70 на ступенях 2–5 (ICC 0.58–0.68), сезона внутри региона 0.17–0.28, года и остатка 0.03–0.16. Эти результаты — новая строка 2 таблицы 2 и первый подраздел результатов. Строка 1 и заключение переформулированы: «региональная группировка воспроизводится между окнами, охватывающими разные сезоны, годы и фазы ЭНСО»; дизайн прямо назван неполным факторным (раздел «Материал»). В «Схеме статистического вывода» сказано, что попарные расстояния строятся из повторяющихся окон и не независимы, что число независимых единиц лежит между числом областей и числом окон, и что ключевые утверждения дублируются проверкой на уровне целых областей (межпериодная воспроизводимость географии 0.95 по 12 областям).</w:t>
      </w:r>
    </w:p>
    <w:p>
      <w:pPr>
        <w:pStyle w:val="BodyText"/>
      </w:pPr>
      <w:r>
        <w:t xml:space="preserve">Карта 39 областей перерисована как мозаика дискретных полигонов (рис. 4) с размахом по окнам в каждом полигоне; основные и решеточные области различены. Для сравнения со свободным расчетом добавлен блочный бутстреп по долготным секторам: ρ = 0.72, 90 %-й интервал 0.58–0.82 (строка 6).</w:t>
      </w:r>
    </w:p>
    <w:bookmarkEnd w:id="12"/>
    <w:bookmarkStart w:id="13" w:name="X887bd082226a968367b614b1eff7b2670d7487a"/>
    <w:p>
      <w:pPr>
        <w:pStyle w:val="Heading3"/>
      </w:pPr>
      <w:r>
        <w:t xml:space="preserve">5. Определение профиля и его физическое содержание</w:t>
      </w:r>
    </w:p>
    <w:p>
      <w:pPr>
        <w:pStyle w:val="FirstParagraph"/>
      </w:pPr>
      <w:r>
        <w:t xml:space="preserve">Принято. Введены раздельные обозначения: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— исходный профиль,</w:t>
      </w:r>
      <w:r>
        <w:t xml:space="preserve"> </w:t>
      </w:r>
      <m:oMath>
        <m:acc>
          <m:accPr>
            <m:chr m:val="̃"/>
          </m:accPr>
          <m:e>
            <m:r>
              <m:t>P</m:t>
            </m:r>
          </m:e>
        </m:acc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r</m:t>
            </m:r>
          </m:sub>
        </m:sSub>
      </m:oMath>
      <w:r>
        <w:t xml:space="preserve"> </w:t>
      </w:r>
      <w:r>
        <w:t xml:space="preserve">— профиль с суррогатной поправкой; в каждой строке таблицы 2 и в каждой подписи указано, какой профиль и какие ступени используются. Формулировка о том, что поправка «удаляет весь вклад второго порядка», заменена на «превышение над конкретной нуль-моделью — гауссовым полем с тем же спектром». Довод о логарифме исправлен: ранговая корреляция нечувствительна к монотонным преобразованиям, логарифм относится к линейному варианту (0.99). Во введении разграничены спектр кинетической энергии и спектр вихря (множитель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: положение перелома сохраняется, наклоны нет).</w:t>
      </w:r>
    </w:p>
    <w:p>
      <w:pPr>
        <w:pStyle w:val="BodyText"/>
      </w:pPr>
      <w:r>
        <w:t xml:space="preserve">Физическая трактовка дана как гипотеза: в «Материале» указано, что вихрь на 850 гПа не является прямой мерой глубокой конвекции; пример Конго–Амазония сохранен как демонстрация различительной способности (с пересчитанными числами: ступень 5 — 0.72 против 0.44, размахи 0.59–0.82 и 0.38–0.54), на рис. 5 отчетливо разделены карты одного срока (панели 1, 2, 4, 5) и статистика по всем срокам окна (панели 3, 6).</w:t>
      </w:r>
    </w:p>
    <w:bookmarkEnd w:id="13"/>
    <w:bookmarkStart w:id="14" w:name="композиция-статьи-и-воспроизводимость"/>
    <w:p>
      <w:pPr>
        <w:pStyle w:val="Heading3"/>
      </w:pPr>
      <w:r>
        <w:t xml:space="preserve">6. Композиция статьи и воспроизводимость</w:t>
      </w:r>
    </w:p>
    <w:p>
      <w:pPr>
        <w:pStyle w:val="FirstParagraph"/>
      </w:pPr>
      <w:r>
        <w:t xml:space="preserve">Принято. Каждый подраздел результатов теперь начинается с содержательного тезиса (заголовки подразделов переформулированы как утверждения), доказательства следуют за ним, технические подробности сокращены. Из основного текста удалены: развернутый обзор формальных аналогов (сокращен до одного абзаца), история индекса невзаимности (одно предложение в обсуждении), каталог прикладных отрицательных проверок (одна строка таблицы 3), регрессионные контроли «сверх спектра» (см. ниже). Полные профили 12 областей, контроль геометрии (градусы–километры) и дополнительные панели свободного расчета перенесены в дополнительные материалы; из двух авторских схем оставлена одна — шаг 1 методики (построение полос и карт активности), наиболее трудоемкая часть анализа; шаги 2–3 описаны формулой (3) и текстом, чтобы не перегружать рисунок (рис. 1 построен по фактическому пайплайну с маской). Число рисунков в основном тексте — 5.</w:t>
      </w:r>
    </w:p>
    <w:p>
      <w:pPr>
        <w:pStyle w:val="BodyText"/>
      </w:pPr>
      <w:r>
        <w:t xml:space="preserve">Об «информации сверх спектра». При пересчете без первой пары полос и с проверкой на разных выборках этот результат оказался неустойчивым: регрессионные остатки группируются по регионам на отложенных окнах (Δ = +0.33, p = 0.011) и на всех 96 окнах (Δ = +0.40, p = 0.001), но не на 48 основных окнах 2023–2024 гг. (Δ ≈ 0, p = 0.56), а проверка на уровне целых областей для отложенных окон результата не подтверждает (p = 0.61). Соответствующие строки таблицы 2 (бывшие 2, 3, 6) удалены, из аннотации и заключения утверждение убрано; в результатах оставлен абзац с честным описанием и формулировкой «открытый вопрос». Заодно обнаружены и исправлены две ошибки в прежней таблице 2: число строки 7 (+0.61) относилось к ступеням 3–5, а не 4–5 (верное значение по ступеням 4–5 — +0.50 в старом определении, +0.52 в новом); число строки 2 (+0.65, «сверх полуфрактальных характеристик») не воспроизводилось из архивных результатов, поскольку порождавший его скрипт не сохранился, — строка удалена.</w:t>
      </w:r>
    </w:p>
    <w:p>
      <w:pPr>
        <w:pStyle w:val="BodyText"/>
      </w:pPr>
      <w:r>
        <w:t xml:space="preserve">Воспроизводимость: в ссылке на репозиторий указаны тег релиза (v6.5) и DOI архива Zenodo с номером версии, соответствующие исправленной рукописи; недостающий рисунок контроля равновеликими областями включен в релиз; скрипт проверки маршрута теперь сверяет SHA-256 каждого артефакта с эталоном и завершается с ошибкой при пропуске или несовпадении.</w:t>
      </w:r>
    </w:p>
    <w:bookmarkEnd w:id="14"/>
    <w:bookmarkEnd w:id="15"/>
    <w:bookmarkStart w:id="16" w:name="язык-и-заглавие"/>
    <w:p>
      <w:pPr>
        <w:pStyle w:val="Heading2"/>
      </w:pPr>
      <w:r>
        <w:t xml:space="preserve">Язык и заглавие</w:t>
      </w:r>
    </w:p>
    <w:p>
      <w:pPr>
        <w:pStyle w:val="FirstParagraph"/>
      </w:pPr>
      <w:r>
        <w:t xml:space="preserve">Структура «тезис — доказательство — оговорка» введена во все подразделы результатов. Термины «предопределенность» и «подчиненность» заменены (см. п. 1). «Уровни» определены явно как заранее заданные октавные полосы масштаба (шаг 1 методики: «словом „уровень” далее обозначаются заранее заданные октавные полосы, а не эмпирически выделенные уровни организации»). Заглавие сохранено, поскольку дополнительные проверки (блочные перестановки, разложение дисперсии, маска, сферическая формула, региональное разрешение) подтвердили устойчивость результата; автор готов принять вариант рецензента «Региональная устойчивость профиля сопряженности масштабных полос атмосферной циркуляции», если редакция сочтет его предпочтительным.</w:t>
      </w:r>
    </w:p>
    <w:bookmarkEnd w:id="16"/>
    <w:bookmarkStart w:id="17" w:name="аннотация"/>
    <w:p>
      <w:pPr>
        <w:pStyle w:val="Heading2"/>
      </w:pPr>
      <w:r>
        <w:t xml:space="preserve">Аннотация</w:t>
      </w:r>
    </w:p>
    <w:p>
      <w:pPr>
        <w:pStyle w:val="FirstParagraph"/>
      </w:pPr>
      <w:r>
        <w:t xml:space="preserve">Сокращена до постановки, определения показателя, основного результата, двух ключевых контролей и географии; перечень контролей и большинство чисел убраны. Русская и английская версии сверены построчно.</w:t>
      </w:r>
    </w:p>
    <w:bookmarkEnd w:id="17"/>
    <w:bookmarkStart w:id="18" w:name="иллюстрации-и-таблицы"/>
    <w:p>
      <w:pPr>
        <w:pStyle w:val="Heading2"/>
      </w:pPr>
      <w:r>
        <w:t xml:space="preserve">Иллюстрации и таблицы</w:t>
      </w:r>
    </w:p>
    <w:p>
      <w:pPr>
        <w:pStyle w:val="FirstParagraph"/>
      </w:pPr>
      <w:r>
        <w:t xml:space="preserve">Рис. 1 — новый методический рисунок: шаг 1 (полосы и карты активности) на реальном поле с маской 850 гПа. Рис. 2 — компактные профили 12 областей (два варианта профиля, ступени 2–5); полные 12-панельные профили — в дополнительных материалах. Рис. 3 — свободный расчет, только панель профиля; остальные панели — в дополнительных материалах. Рис. 4 — мозаика дискретных полигонов с размахом по окнам. Рис. 5 — Конго и Амазония с явным разделением одного срока и всего окна. Все рисунки выполнены по требованиям журнала (17.5 см, 400 dpi, читаемость в черно-белой печати, подписи без заголовка на поле рисунка).</w:t>
      </w:r>
    </w:p>
    <w:p>
      <w:pPr>
        <w:pStyle w:val="BodyText"/>
      </w:pPr>
      <w:r>
        <w:t xml:space="preserve">Таблица 2 переработана: добавлены столбцы «Выборка», «Профиль, ступени» и «Статус» (заявлена заранее / описательная); для сравнения со свободным расчетом дан доверительный интервал; пограничные строки удалены. Таблица 3 сокращена до трех строк, полная версия — в дополнительных материалах.</w:t>
      </w:r>
    </w:p>
    <w:bookmarkEnd w:id="18"/>
    <w:bookmarkStart w:id="19" w:name="литература"/>
    <w:p>
      <w:pPr>
        <w:pStyle w:val="Heading2"/>
      </w:pPr>
      <w:r>
        <w:t xml:space="preserve">Литература</w:t>
      </w:r>
    </w:p>
    <w:p>
      <w:pPr>
        <w:pStyle w:val="FirstParagraph"/>
      </w:pPr>
      <w:r>
        <w:t xml:space="preserve">Разграничение спектра кинетической энергии и спектра вихря внесено во введение. Ссылка на код и данные дополнена тегом релиза и номером версии архива Zenodo.</w:t>
      </w:r>
    </w:p>
    <w:bookmarkEnd w:id="19"/>
    <w:bookmarkStart w:id="20" w:name="частные-замечания"/>
    <w:p>
      <w:pPr>
        <w:pStyle w:val="Heading2"/>
      </w:pPr>
      <w:r>
        <w:t xml:space="preserve">Частные замечания</w:t>
      </w:r>
    </w:p>
    <w:p>
      <w:pPr>
        <w:pStyle w:val="Compact"/>
        <w:numPr>
          <w:ilvl w:val="0"/>
          <w:numId w:val="1001"/>
        </w:numPr>
      </w:pPr>
      <w:r>
        <w:t xml:space="preserve">«Уровни» — определены как заранее заданные октавные полосы (шаг 1 методики).</w:t>
      </w:r>
    </w:p>
    <w:p>
      <w:pPr>
        <w:pStyle w:val="Compact"/>
        <w:numPr>
          <w:ilvl w:val="0"/>
          <w:numId w:val="1001"/>
        </w:numPr>
      </w:pPr>
      <w:r>
        <w:t xml:space="preserve">Оговорки о квазинезависимости MERRA-2 и климатологическом характере сопоставления со свободным расчетом сохранены.</w:t>
      </w:r>
    </w:p>
    <w:p>
      <w:pPr>
        <w:pStyle w:val="Compact"/>
        <w:numPr>
          <w:ilvl w:val="0"/>
          <w:numId w:val="1001"/>
        </w:numPr>
      </w:pPr>
      <w:r>
        <w:t xml:space="preserve">«Решающая проверка» заменена на «наиболее сильный из представленных контролей».</w:t>
      </w:r>
    </w:p>
    <w:p>
      <w:pPr>
        <w:pStyle w:val="Compact"/>
        <w:numPr>
          <w:ilvl w:val="0"/>
          <w:numId w:val="1001"/>
        </w:numPr>
      </w:pPr>
      <w:r>
        <w:t xml:space="preserve">Значение 0.93 заменено на пересчитанный «эмпирический ориентир межпериодной воспроизводимости ERA5» (0.90 по восьми областям, 0.95 по двенадцати); слова «внутренний предел метода» удалены.</w:t>
      </w:r>
    </w:p>
    <w:p>
      <w:pPr>
        <w:pStyle w:val="Compact"/>
        <w:numPr>
          <w:ilvl w:val="0"/>
          <w:numId w:val="1001"/>
        </w:numPr>
      </w:pPr>
      <w:r>
        <w:t xml:space="preserve">Для пограничных значений p были вычислены бутстреп-интервалы и альтернативная схема (тест на уровне регионов); поскольку результат не воспроизводится между выборками и не подтверждается тестом на уровне областей, эти строки удалены из таблицы 2, а результат описан в тексте как неустойчивый.</w:t>
      </w:r>
    </w:p>
    <w:p>
      <w:pPr>
        <w:pStyle w:val="Compact"/>
        <w:numPr>
          <w:ilvl w:val="0"/>
          <w:numId w:val="1001"/>
        </w:numPr>
      </w:pPr>
      <w:r>
        <w:t xml:space="preserve">Русская и английская аннотации сверены на содержательную тождественность.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2026-10-10T13:15:55Z</dcterms:created>
  <dcterms:modified xsi:type="dcterms:W3CDTF">2026-10-10T13:15:55Z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