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eastAsia="黑体"/>
          <w:b/>
          <w:i w:val="0"/>
          <w:color w:val="1F3864"/>
          <w:sz w:val="48"/>
        </w:rPr>
        <w:t>第四章 多模态多智能体协同预警方法</w:t>
      </w:r>
    </w:p>
    <w:p>
      <w:pPr>
        <w:jc w:val="center"/>
      </w:pPr>
      <w:r>
        <w:rPr>
          <w:rFonts w:ascii="Times New Roman" w:hAnsi="Times New Roman" w:eastAsia="宋体"/>
          <w:b w:val="0"/>
          <w:i w:val="0"/>
          <w:color w:val="595959"/>
          <w:sz w:val="28"/>
        </w:rPr>
        <w:t>技术文档 · 论文方向2</w:t>
      </w:r>
    </w:p>
    <w:p/>
    <w:p/>
    <w:p/>
    <w:p>
      <w:pPr>
        <w:jc w:val="center"/>
      </w:pPr>
      <w:r>
        <w:rPr>
          <w:rFonts w:ascii="Times New Roman" w:hAnsi="Times New Roman" w:eastAsia="宋体"/>
          <w:b w:val="0"/>
          <w:i w:val="0"/>
          <w:color w:val="404040"/>
          <w:sz w:val="22"/>
        </w:rPr>
        <w:t>跨境金融风险的多智能体协同预警：多模态信息融合视角</w:t>
      </w:r>
    </w:p>
    <w:p>
      <w:pPr>
        <w:jc w:val="center"/>
      </w:pPr>
      <w:r>
        <w:rPr>
          <w:rFonts w:ascii="Times New Roman" w:hAnsi="Times New Roman" w:eastAsia="宋体"/>
          <w:b w:val="0"/>
          <w:i w:val="0"/>
          <w:color w:val="404040"/>
          <w:sz w:val="22"/>
        </w:rPr>
        <w:t>版本：v0.4（与实现同步）    日期：2026-10-18</w:t>
      </w:r>
    </w:p>
    <w:p>
      <w:pPr>
        <w:jc w:val="center"/>
      </w:pPr>
      <w:r>
        <w:rPr>
          <w:rFonts w:ascii="Times New Roman" w:hAnsi="Times New Roman" w:eastAsia="宋体"/>
          <w:b w:val="0"/>
          <w:i w:val="0"/>
          <w:color w:val="404040"/>
          <w:sz w:val="22"/>
        </w:rPr>
        <w:t>系统实现：CBR-MAW 原型（六层两横切架构）</w:t>
      </w:r>
    </w:p>
    <w:p>
      <w:pPr>
        <w:jc w:val="center"/>
      </w:pPr>
      <w:r>
        <w:rPr>
          <w:rFonts w:ascii="Times New Roman" w:hAnsi="Times New Roman" w:eastAsia="宋体"/>
          <w:b w:val="0"/>
          <w:i w:val="0"/>
          <w:color w:val="404040"/>
          <w:sz w:val="22"/>
        </w:rPr>
      </w:r>
    </w:p>
    <w:p>
      <w:pPr>
        <w:jc w:val="center"/>
      </w:pPr>
      <w:r>
        <w:rPr>
          <w:rFonts w:ascii="Times New Roman" w:hAnsi="Times New Roman" w:eastAsia="宋体"/>
          <w:b w:val="0"/>
          <w:i w:val="0"/>
          <w:color w:val="404040"/>
          <w:sz w:val="22"/>
        </w:rPr>
        <w:t>说明：本文件为方法章技术文档，正文不包含实验结果；</w:t>
      </w:r>
    </w:p>
    <w:p>
      <w:pPr>
        <w:jc w:val="center"/>
      </w:pPr>
      <w:r>
        <w:rPr>
          <w:rFonts w:ascii="Times New Roman" w:hAnsi="Times New Roman" w:eastAsia="宋体"/>
          <w:b w:val="0"/>
          <w:i w:val="0"/>
          <w:color w:val="404040"/>
          <w:sz w:val="22"/>
        </w:rPr>
        <w:t>实验设计与结果分别见论文第五章、第六章。</w:t>
      </w:r>
    </w:p>
    <w:p>
      <w:r>
        <w:br w:type="page"/>
      </w:r>
    </w:p>
    <w:p>
      <w:pPr>
        <w:jc w:val="center"/>
      </w:pPr>
      <w:r>
        <w:rPr>
          <w:rFonts w:ascii="黑体" w:hAnsi="黑体" w:eastAsia="黑体"/>
          <w:b/>
          <w:i w:val="0"/>
          <w:color w:val="1F3864"/>
          <w:sz w:val="32"/>
        </w:rPr>
        <w:t>目  录</w:t>
      </w:r>
    </w:p>
    <w:p/>
    <w:p>
      <w:pPr>
        <w:spacing w:after="40"/>
        <w:ind w:left="454"/>
      </w:pPr>
      <w:r>
        <w:rPr>
          <w:rFonts w:ascii="Times New Roman" w:hAnsi="Times New Roman" w:eastAsia="宋体"/>
          <w:b w:val="0"/>
          <w:i w:val="0"/>
          <w:sz w:val="21"/>
        </w:rPr>
        <w:t>4.0 方法总览与设计原则</w:t>
      </w:r>
    </w:p>
    <w:p>
      <w:pPr>
        <w:spacing w:after="40"/>
        <w:ind w:left="454"/>
      </w:pPr>
      <w:r>
        <w:rPr>
          <w:rFonts w:ascii="Times New Roman" w:hAnsi="Times New Roman" w:eastAsia="宋体"/>
          <w:b w:val="0"/>
          <w:i w:val="0"/>
          <w:sz w:val="21"/>
        </w:rPr>
        <w:t>4.1 多模态风险信息融合</w:t>
      </w:r>
    </w:p>
    <w:p>
      <w:pPr>
        <w:spacing w:after="40"/>
        <w:ind w:left="454"/>
      </w:pPr>
      <w:r>
        <w:rPr>
          <w:rFonts w:ascii="Times New Roman" w:hAnsi="Times New Roman" w:eastAsia="宋体"/>
          <w:b w:val="0"/>
          <w:i w:val="0"/>
          <w:sz w:val="21"/>
        </w:rPr>
        <w:t>4.2 金融知识增强与专业工具调用</w:t>
      </w:r>
    </w:p>
    <w:p>
      <w:pPr>
        <w:spacing w:after="40"/>
        <w:ind w:left="454"/>
      </w:pPr>
      <w:r>
        <w:rPr>
          <w:rFonts w:ascii="Times New Roman" w:hAnsi="Times New Roman" w:eastAsia="宋体"/>
          <w:b w:val="0"/>
          <w:i w:val="0"/>
          <w:sz w:val="21"/>
        </w:rPr>
        <w:t>4.3 监管、投资与融资预警智能体设计</w:t>
      </w:r>
    </w:p>
    <w:p>
      <w:pPr>
        <w:spacing w:after="40"/>
        <w:ind w:left="454"/>
      </w:pPr>
      <w:r>
        <w:rPr>
          <w:rFonts w:ascii="Times New Roman" w:hAnsi="Times New Roman" w:eastAsia="宋体"/>
          <w:b w:val="0"/>
          <w:i w:val="0"/>
          <w:sz w:val="21"/>
        </w:rPr>
        <w:t>4.4 多智能体协同与决策支持机制</w:t>
      </w:r>
    </w:p>
    <w:p>
      <w:pPr>
        <w:spacing w:after="40"/>
        <w:ind w:left="454"/>
      </w:pPr>
      <w:r>
        <w:rPr>
          <w:rFonts w:ascii="Times New Roman" w:hAnsi="Times New Roman" w:eastAsia="宋体"/>
          <w:b w:val="0"/>
          <w:i w:val="0"/>
          <w:sz w:val="21"/>
        </w:rPr>
        <w:t>4.5 实现与可复现性</w:t>
      </w:r>
    </w:p>
    <w:p>
      <w:pPr>
        <w:spacing w:after="40"/>
        <w:ind w:left="0"/>
      </w:pPr>
      <w:r>
        <w:rPr>
          <w:rFonts w:ascii="Times New Roman" w:hAnsi="Times New Roman" w:eastAsia="宋体"/>
          <w:b/>
          <w:i w:val="0"/>
          <w:sz w:val="22"/>
        </w:rPr>
        <w:t>附录</w:t>
      </w:r>
    </w:p>
    <w:p>
      <w:pPr>
        <w:spacing w:after="40"/>
        <w:ind w:left="454"/>
      </w:pPr>
      <w:r>
        <w:rPr>
          <w:rFonts w:ascii="Times New Roman" w:hAnsi="Times New Roman" w:eastAsia="宋体"/>
          <w:b w:val="0"/>
          <w:i w:val="0"/>
          <w:sz w:val="21"/>
        </w:rPr>
        <w:t>附录 A 关键接口清单</w:t>
      </w:r>
    </w:p>
    <w:p>
      <w:pPr>
        <w:spacing w:after="40"/>
        <w:ind w:left="454"/>
      </w:pPr>
      <w:r>
        <w:rPr>
          <w:rFonts w:ascii="Times New Roman" w:hAnsi="Times New Roman" w:eastAsia="宋体"/>
          <w:b w:val="0"/>
          <w:i w:val="0"/>
          <w:sz w:val="21"/>
        </w:rPr>
        <w:t>附录 B 配置示例</w:t>
      </w:r>
    </w:p>
    <w:p>
      <w:pPr>
        <w:spacing w:after="40"/>
        <w:ind w:left="454"/>
      </w:pPr>
      <w:r>
        <w:rPr>
          <w:rFonts w:ascii="Times New Roman" w:hAnsi="Times New Roman" w:eastAsia="宋体"/>
          <w:b w:val="0"/>
          <w:i w:val="0"/>
          <w:sz w:val="21"/>
        </w:rPr>
        <w:t>附录 C 术语表</w:t>
      </w:r>
    </w:p>
    <w:p>
      <w:r>
        <w:br w:type="page"/>
      </w:r>
    </w:p>
    <w:p>
      <w:pPr>
        <w:pStyle w:val="Heading1"/>
      </w:pPr>
      <w:r>
        <w:rPr>
          <w:rFonts w:ascii="Times New Roman" w:hAnsi="Times New Roman" w:eastAsia="宋体"/>
          <w:b w:val="0"/>
          <w:i w:val="0"/>
          <w:sz w:val="32"/>
        </w:rPr>
        <w:t>第四章 多模态多智能体协同预警方法</w:t>
      </w:r>
    </w:p>
    <w:p>
      <w:pPr>
        <w:ind w:left="340"/>
      </w:pPr>
      <w:r>
        <w:rPr>
          <w:rFonts w:ascii="Times New Roman" w:hAnsi="Times New Roman" w:eastAsia="宋体"/>
          <w:b w:val="0"/>
          <w:i w:val="0"/>
          <w:color w:val="595959"/>
          <w:sz w:val="19"/>
        </w:rPr>
        <w:t xml:space="preserve">本章为 CBR-MAW 技术文档的方法章。文中类名、字段名、工具名与配置项以 </w:t>
      </w:r>
      <w:r>
        <w:rPr>
          <w:rFonts w:ascii="Consolas" w:hAnsi="Consolas" w:eastAsia="Consolas"/>
          <w:b w:val="0"/>
          <w:i w:val="0"/>
          <w:color w:val="8B1E3F"/>
          <w:sz w:val="18"/>
        </w:rPr>
        <w:t>src/cbr/</w:t>
      </w:r>
      <w:r>
        <w:rPr>
          <w:rFonts w:ascii="Times New Roman" w:hAnsi="Times New Roman" w:eastAsia="宋体"/>
          <w:b w:val="0"/>
          <w:i w:val="0"/>
          <w:color w:val="595959"/>
          <w:sz w:val="19"/>
        </w:rPr>
        <w:t xml:space="preserve"> 实现与 </w:t>
      </w:r>
      <w:r>
        <w:rPr>
          <w:rFonts w:ascii="Consolas" w:hAnsi="Consolas" w:eastAsia="Consolas"/>
          <w:b w:val="0"/>
          <w:i w:val="0"/>
          <w:color w:val="8B1E3F"/>
          <w:sz w:val="18"/>
        </w:rPr>
        <w:t>configs/</w:t>
      </w:r>
      <w:r>
        <w:rPr>
          <w:rFonts w:ascii="Times New Roman" w:hAnsi="Times New Roman" w:eastAsia="宋体"/>
          <w:b w:val="0"/>
          <w:i w:val="0"/>
          <w:color w:val="595959"/>
          <w:sz w:val="19"/>
        </w:rPr>
        <w:t xml:space="preserve"> 配置为准；凡涉及实证结论之处，仅陈述可检验含义与评价口径，实测结果见第五章实验设计与第六章结果分析。</w:t>
      </w:r>
    </w:p>
    <w:p>
      <w:pPr>
        <w:ind w:left="340"/>
      </w:pPr>
    </w:p>
    <w:p>
      <w:pPr>
        <w:ind w:left="340"/>
      </w:pPr>
      <w:r>
        <w:rPr>
          <w:rFonts w:ascii="Times New Roman" w:hAnsi="Times New Roman" w:eastAsia="宋体"/>
          <w:b w:val="0"/>
          <w:i w:val="0"/>
          <w:color w:val="595959"/>
          <w:sz w:val="19"/>
        </w:rPr>
        <w:t xml:space="preserve">版本：v0.7（2026-10-18）。v0.7 变更：L6 交互升级为 </w:t>
      </w:r>
      <w:r>
        <w:rPr>
          <w:rFonts w:ascii="Times New Roman" w:hAnsi="Times New Roman" w:eastAsia="宋体"/>
          <w:b/>
          <w:i w:val="0"/>
          <w:color w:val="595959"/>
          <w:sz w:val="19"/>
        </w:rPr>
        <w:t>AI-native 协同工作台</w:t>
      </w:r>
      <w:r>
        <w:rPr>
          <w:rFonts w:ascii="Times New Roman" w:hAnsi="Times New Roman" w:eastAsia="宋体"/>
          <w:b w:val="0"/>
          <w:i w:val="0"/>
          <w:color w:val="595959"/>
          <w:sz w:val="19"/>
        </w:rPr>
        <w:t>——新增 SSE 流式端点（</w:t>
      </w:r>
      <w:r>
        <w:rPr>
          <w:rFonts w:ascii="Consolas" w:hAnsi="Consolas" w:eastAsia="Consolas"/>
          <w:b w:val="0"/>
          <w:i w:val="0"/>
          <w:color w:val="8B1E3F"/>
          <w:sz w:val="18"/>
        </w:rPr>
        <w:t>/api/decision/stream</w:t>
      </w:r>
      <w:r>
        <w:rPr>
          <w:rFonts w:ascii="Times New Roman" w:hAnsi="Times New Roman" w:eastAsia="宋体"/>
          <w:b w:val="0"/>
          <w:i w:val="0"/>
          <w:color w:val="595959"/>
          <w:sz w:val="19"/>
        </w:rPr>
        <w:t>、</w:t>
      </w:r>
      <w:r>
        <w:rPr>
          <w:rFonts w:ascii="Consolas" w:hAnsi="Consolas" w:eastAsia="Consolas"/>
          <w:b w:val="0"/>
          <w:i w:val="0"/>
          <w:color w:val="8B1E3F"/>
          <w:sz w:val="18"/>
        </w:rPr>
        <w:t>/api/chat/stream</w:t>
      </w:r>
      <w:r>
        <w:rPr>
          <w:rFonts w:ascii="Times New Roman" w:hAnsi="Times New Roman" w:eastAsia="宋体"/>
          <w:b w:val="0"/>
          <w:i w:val="0"/>
          <w:color w:val="595959"/>
          <w:sz w:val="19"/>
        </w:rPr>
        <w:t xml:space="preserve">，实时推送 </w:t>
      </w:r>
      <w:r>
        <w:rPr>
          <w:rFonts w:ascii="Consolas" w:hAnsi="Consolas" w:eastAsia="Consolas"/>
          <w:b w:val="0"/>
          <w:i w:val="0"/>
          <w:color w:val="8B1E3F"/>
          <w:sz w:val="18"/>
        </w:rPr>
        <w:t>run/stage/trace/decision|chat</w:t>
      </w:r>
      <w:r>
        <w:rPr>
          <w:rFonts w:ascii="Times New Roman" w:hAnsi="Times New Roman" w:eastAsia="宋体"/>
          <w:b w:val="0"/>
          <w:i w:val="0"/>
          <w:color w:val="595959"/>
          <w:sz w:val="19"/>
        </w:rPr>
        <w:t xml:space="preserve">），前端实现流式运行进度（R0–R5 阶段与活动流）、⌘K 命令面板、对话流式阶段与上下文 AI 追问（智能体卡/证据/冲突一键跳转提问）、协同过程时间线与克制动效；4.5.1 与附录 A.2 同步。v0.6：L6 前端重构为 React 19 + Vite + Tailwind v4（shadcn/ui + Linear 规范，light/dark 双主题，FastAPI </w:t>
      </w:r>
      <w:r>
        <w:rPr>
          <w:rFonts w:ascii="Consolas" w:hAnsi="Consolas" w:eastAsia="Consolas"/>
          <w:b w:val="0"/>
          <w:i w:val="0"/>
          <w:color w:val="8B1E3F"/>
          <w:sz w:val="18"/>
        </w:rPr>
        <w:t>/ui</w:t>
      </w:r>
      <w:r>
        <w:rPr>
          <w:rFonts w:ascii="Times New Roman" w:hAnsi="Times New Roman" w:eastAsia="宋体"/>
          <w:b w:val="0"/>
          <w:i w:val="0"/>
          <w:color w:val="595959"/>
          <w:sz w:val="19"/>
        </w:rPr>
        <w:t xml:space="preserve"> 托管，Streamlit 回退）。v0.5：数据卡 27 条、PIT 快照 </w:t>
      </w:r>
      <w:r>
        <w:rPr>
          <w:rFonts w:ascii="Consolas" w:hAnsi="Consolas" w:eastAsia="Consolas"/>
          <w:b w:val="0"/>
          <w:i w:val="0"/>
          <w:color w:val="8B1E3F"/>
          <w:sz w:val="18"/>
        </w:rPr>
        <w:t>ds_1beab3f3ffd9e31a4c5b</w:t>
      </w:r>
      <w:r>
        <w:rPr>
          <w:rFonts w:ascii="Times New Roman" w:hAnsi="Times New Roman" w:eastAsia="宋体"/>
          <w:b w:val="0"/>
          <w:i w:val="0"/>
          <w:color w:val="595959"/>
          <w:sz w:val="19"/>
        </w:rPr>
        <w:t>（41,367 观测 / 2,207 文档 / 27 序列）、</w:t>
      </w:r>
      <w:r>
        <w:rPr>
          <w:rFonts w:ascii="Consolas" w:hAnsi="Consolas" w:eastAsia="Consolas"/>
          <w:b w:val="0"/>
          <w:i w:val="0"/>
          <w:color w:val="8B1E3F"/>
          <w:sz w:val="18"/>
        </w:rPr>
        <w:t>label_mode</w:t>
      </w:r>
      <w:r>
        <w:rPr>
          <w:rFonts w:ascii="Times New Roman" w:hAnsi="Times New Roman" w:eastAsia="宋体"/>
          <w:b w:val="0"/>
          <w:i w:val="0"/>
          <w:color w:val="595959"/>
          <w:sz w:val="19"/>
        </w:rPr>
        <w:t>/</w:t>
      </w:r>
      <w:r>
        <w:rPr>
          <w:rFonts w:ascii="Consolas" w:hAnsi="Consolas" w:eastAsia="Consolas"/>
          <w:b w:val="0"/>
          <w:i w:val="0"/>
          <w:color w:val="8B1E3F"/>
          <w:sz w:val="18"/>
        </w:rPr>
        <w:t>threshold_mode</w:t>
      </w:r>
      <w:r>
        <w:rPr>
          <w:rFonts w:ascii="Times New Roman" w:hAnsi="Times New Roman" w:eastAsia="宋体"/>
          <w:b w:val="0"/>
          <w:i w:val="0"/>
          <w:color w:val="595959"/>
          <w:sz w:val="19"/>
        </w:rPr>
        <w:t xml:space="preserve"> 与 R2/HITL 触发口径按实现修订。真实模型复跑记录见 </w:t>
      </w:r>
      <w:r>
        <w:rPr>
          <w:rFonts w:ascii="Consolas" w:hAnsi="Consolas" w:eastAsia="Consolas"/>
          <w:b w:val="0"/>
          <w:i w:val="0"/>
          <w:color w:val="8B1E3F"/>
          <w:sz w:val="18"/>
        </w:rPr>
        <w:t>pilot_results_real_llm.md</w:t>
      </w:r>
      <w:r>
        <w:rPr>
          <w:rFonts w:ascii="Times New Roman" w:hAnsi="Times New Roman" w:eastAsia="宋体"/>
          <w:b w:val="0"/>
          <w:i w:val="0"/>
          <w:color w:val="595959"/>
          <w:sz w:val="19"/>
        </w:rPr>
        <w:t>，不写入方法章结果。</w:t>
      </w:r>
    </w:p>
    <w:p>
      <w:r>
        <w:rPr>
          <w:rFonts w:ascii="Times New Roman" w:hAnsi="Times New Roman" w:eastAsia="宋体"/>
          <w:b w:val="0"/>
          <w:i w:val="0"/>
          <w:sz w:val="21"/>
        </w:rPr>
        <w:t>本章提出面向跨境金融风险预警的多模态多智能体协同方法，把预警理解为三个相互衔接的层次：由数值—文本多模态信息融合形成三类主体共享的风险基础信号；由金融知识检索与确定性金融工具提供可溯源、可重算的证据支撑；由监管、投资与融资三类专业化智能体的分工、共享与协调，把公共风险信号转化为主体差异化的预警与决策支持信息。方法设计对应三个研究命题：多模态信息是否带来增量预警能力（P1）、知识与工具能否降低数值错误与无依据断言（P2）、专业化分工与协同能否在可比资源预算下降低预警与决策损失（P3）。</w:t>
      </w:r>
    </w:p>
    <w:p>
      <w:r>
        <w:rPr>
          <w:rFonts w:ascii="Times New Roman" w:hAnsi="Times New Roman" w:eastAsia="宋体"/>
          <w:b w:val="0"/>
          <w:i w:val="0"/>
          <w:sz w:val="21"/>
        </w:rPr>
        <w:t>本章结构如下：4.0 给出方法总览与设计原则；4.1 界定多模态风险信息融合；4.2 讨论金融知识增强与专业工具调用；4.3 设计三类预警智能体；4.4 给出多智能体协同与决策支持机制；4.5 说明实现组织与可复现性；附录给出接口清单、配置示例与术语表。各方法模块均标注其对应命题与实验章节；凡涉及实证结论之处，仅陈述可检验含义。</w:t>
      </w:r>
    </w:p>
    <w:p>
      <w:pPr>
        <w:pStyle w:val="Heading2"/>
      </w:pPr>
      <w:r>
        <w:rPr>
          <w:rFonts w:ascii="Times New Roman" w:hAnsi="Times New Roman" w:eastAsia="宋体"/>
          <w:b w:val="0"/>
          <w:i w:val="0"/>
          <w:sz w:val="26"/>
        </w:rPr>
        <w:t>4.0 方法总览与设计原则</w:t>
      </w:r>
    </w:p>
    <w:p>
      <w:pPr>
        <w:pStyle w:val="Heading3"/>
      </w:pPr>
      <w:r>
        <w:rPr>
          <w:rFonts w:ascii="Times New Roman" w:hAnsi="Times New Roman" w:eastAsia="宋体"/>
          <w:b w:val="0"/>
          <w:i w:val="0"/>
          <w:sz w:val="23"/>
        </w:rPr>
        <w:t>4.0.1 预警任务的形式化</w:t>
      </w:r>
    </w:p>
    <w:p>
      <w:r>
        <w:rPr>
          <w:rFonts w:ascii="Times New Roman" w:hAnsi="Times New Roman" w:eastAsia="宋体"/>
          <w:b w:val="0"/>
          <w:i w:val="0"/>
          <w:sz w:val="21"/>
        </w:rPr>
        <w:t xml:space="preserve">跨境金融风险预警的困难不在于单点预测，而在于风险信息异构、主体目标差异与结果难以核验三者叠加。为此，本章将预警任务形式化为一个受时点约束的映射：对任意评估日 </w:t>
      </w:r>
      <w:r>
        <w:rPr>
          <w:rFonts w:ascii="Times New Roman" w:hAnsi="Times New Roman" w:eastAsia="宋体"/>
          <w:b w:val="0"/>
          <w:i/>
          <w:color w:val="1F3864"/>
          <w:sz w:val="21"/>
        </w:rPr>
        <w:t>t</w:t>
      </w:r>
      <w:r>
        <w:rPr>
          <w:rFonts w:ascii="Times New Roman" w:hAnsi="Times New Roman" w:eastAsia="宋体"/>
          <w:b w:val="0"/>
          <w:i w:val="0"/>
          <w:sz w:val="21"/>
        </w:rPr>
        <w:t xml:space="preserve">，方法在 </w:t>
      </w:r>
      <w:r>
        <w:rPr>
          <w:rFonts w:ascii="Times New Roman" w:hAnsi="Times New Roman" w:eastAsia="宋体"/>
          <w:b w:val="0"/>
          <w:i/>
          <w:color w:val="1F3864"/>
          <w:sz w:val="21"/>
        </w:rPr>
        <w:t>t</w:t>
      </w:r>
      <w:r>
        <w:rPr>
          <w:rFonts w:ascii="Times New Roman" w:hAnsi="Times New Roman" w:eastAsia="宋体"/>
          <w:b w:val="0"/>
          <w:i w:val="0"/>
          <w:sz w:val="21"/>
        </w:rPr>
        <w:t xml:space="preserve"> 时点实际可得的信息集 </w:t>
      </w:r>
      <w:r>
        <w:rPr>
          <w:rFonts w:ascii="Times New Roman" w:hAnsi="Times New Roman" w:eastAsia="宋体"/>
          <w:b w:val="0"/>
          <w:i/>
          <w:color w:val="1F3864"/>
          <w:sz w:val="21"/>
        </w:rPr>
        <w:t>I_t</w:t>
      </w:r>
      <w:r>
        <w:rPr>
          <w:rFonts w:ascii="Times New Roman" w:hAnsi="Times New Roman" w:eastAsia="宋体"/>
          <w:b w:val="0"/>
          <w:i w:val="0"/>
          <w:sz w:val="21"/>
        </w:rPr>
        <w:t xml:space="preserve"> 下，生成面向三类主体的决策支持产物 </w:t>
      </w:r>
      <w:r>
        <w:rPr>
          <w:rFonts w:ascii="Times New Roman" w:hAnsi="Times New Roman" w:eastAsia="宋体"/>
          <w:b w:val="0"/>
          <w:i/>
          <w:color w:val="1F3864"/>
          <w:sz w:val="21"/>
        </w:rPr>
        <w:t>D_t</w:t>
      </w:r>
      <w:r>
        <w:rPr>
          <w:rFonts w:ascii="Times New Roman" w:hAnsi="Times New Roman" w:eastAsia="宋体"/>
          <w:b w:val="0"/>
          <w:i w:val="0"/>
          <w:sz w:val="21"/>
        </w:rPr>
        <w:t xml:space="preserve">。记主体集合 </w:t>
      </w:r>
      <w:r>
        <w:rPr>
          <w:rFonts w:ascii="Times New Roman" w:hAnsi="Times New Roman" w:eastAsia="宋体"/>
          <w:b w:val="0"/>
          <w:i/>
          <w:color w:val="1F3864"/>
          <w:sz w:val="21"/>
        </w:rPr>
        <w:t>R=regulator,investor,financing</w:t>
      </w:r>
      <w:r>
        <w:rPr>
          <w:rFonts w:ascii="Times New Roman" w:hAnsi="Times New Roman" w:eastAsia="宋体"/>
          <w:b w:val="0"/>
          <w:i w:val="0"/>
          <w:sz w:val="21"/>
        </w:rPr>
        <w:t>，则</w:t>
      </w:r>
    </w:p>
    <w:p>
      <w:pPr>
        <w:spacing w:before="80" w:after="80"/>
        <w:jc w:val="center"/>
      </w:pPr>
      <w:r>
        <w:rPr>
          <w:rFonts w:ascii="Times New Roman" w:hAnsi="Times New Roman" w:eastAsia="宋体"/>
          <w:b w:val="0"/>
          <w:i/>
          <w:color w:val="1F3864"/>
          <w:sz w:val="21"/>
        </w:rPr>
        <w:t>M: I_t × R → D_t, I_t=x_k,s, doc_j: release _time≤ t, publish _time≤ t 4-1</w:t>
      </w:r>
    </w:p>
    <w:p>
      <w:r>
        <w:rPr>
          <w:rFonts w:ascii="Times New Roman" w:hAnsi="Times New Roman" w:eastAsia="宋体"/>
          <w:b w:val="0"/>
          <w:i w:val="0"/>
          <w:sz w:val="21"/>
        </w:rPr>
        <w:t xml:space="preserve">其中 </w:t>
      </w:r>
      <w:r>
        <w:rPr>
          <w:rFonts w:ascii="Times New Roman" w:hAnsi="Times New Roman" w:eastAsia="宋体"/>
          <w:b w:val="0"/>
          <w:i/>
          <w:color w:val="1F3864"/>
          <w:sz w:val="21"/>
        </w:rPr>
        <w:t>x_k,s</w:t>
      </w:r>
      <w:r>
        <w:rPr>
          <w:rFonts w:ascii="Times New Roman" w:hAnsi="Times New Roman" w:eastAsia="宋体"/>
          <w:b w:val="0"/>
          <w:i w:val="0"/>
          <w:sz w:val="21"/>
        </w:rPr>
        <w:t xml:space="preserve"> 为第 </w:t>
      </w:r>
      <w:r>
        <w:rPr>
          <w:rFonts w:ascii="Times New Roman" w:hAnsi="Times New Roman" w:eastAsia="宋体"/>
          <w:b w:val="0"/>
          <w:i/>
          <w:color w:val="1F3864"/>
          <w:sz w:val="21"/>
        </w:rPr>
        <w:t>k</w:t>
      </w:r>
      <w:r>
        <w:rPr>
          <w:rFonts w:ascii="Times New Roman" w:hAnsi="Times New Roman" w:eastAsia="宋体"/>
          <w:b w:val="0"/>
          <w:i w:val="0"/>
          <w:sz w:val="21"/>
        </w:rPr>
        <w:t xml:space="preserve"> 个数值序列在日期 </w:t>
      </w:r>
      <w:r>
        <w:rPr>
          <w:rFonts w:ascii="Times New Roman" w:hAnsi="Times New Roman" w:eastAsia="宋体"/>
          <w:b w:val="0"/>
          <w:i/>
          <w:color w:val="1F3864"/>
          <w:sz w:val="21"/>
        </w:rPr>
        <w:t>s</w:t>
      </w:r>
      <w:r>
        <w:rPr>
          <w:rFonts w:ascii="Times New Roman" w:hAnsi="Times New Roman" w:eastAsia="宋体"/>
          <w:b w:val="0"/>
          <w:i w:val="0"/>
          <w:sz w:val="21"/>
        </w:rPr>
        <w:t xml:space="preserve"> 的取值，</w:t>
      </w:r>
      <w:r>
        <w:rPr>
          <w:rFonts w:ascii="Times New Roman" w:hAnsi="Times New Roman" w:eastAsia="宋体"/>
          <w:b w:val="0"/>
          <w:i/>
          <w:color w:val="1F3864"/>
          <w:sz w:val="21"/>
        </w:rPr>
        <w:t>doc_j</w:t>
      </w:r>
      <w:r>
        <w:rPr>
          <w:rFonts w:ascii="Times New Roman" w:hAnsi="Times New Roman" w:eastAsia="宋体"/>
          <w:b w:val="0"/>
          <w:i w:val="0"/>
          <w:sz w:val="21"/>
        </w:rPr>
        <w:t xml:space="preserve"> 为第 </w:t>
      </w:r>
      <w:r>
        <w:rPr>
          <w:rFonts w:ascii="Times New Roman" w:hAnsi="Times New Roman" w:eastAsia="宋体"/>
          <w:b w:val="0"/>
          <w:i/>
          <w:color w:val="1F3864"/>
          <w:sz w:val="21"/>
        </w:rPr>
        <w:t>j</w:t>
      </w:r>
      <w:r>
        <w:rPr>
          <w:rFonts w:ascii="Times New Roman" w:hAnsi="Times New Roman" w:eastAsia="宋体"/>
          <w:b w:val="0"/>
          <w:i w:val="0"/>
          <w:sz w:val="21"/>
        </w:rPr>
        <w:t xml:space="preserve"> 篇政策或新闻文本。式（4-1）的实质约束在于信息集的时点下标：任何进入 </w:t>
      </w:r>
      <w:r>
        <w:rPr>
          <w:rFonts w:ascii="Times New Roman" w:hAnsi="Times New Roman" w:eastAsia="宋体"/>
          <w:b w:val="0"/>
          <w:i/>
          <w:color w:val="1F3864"/>
          <w:sz w:val="21"/>
        </w:rPr>
        <w:t>I_t</w:t>
      </w:r>
      <w:r>
        <w:rPr>
          <w:rFonts w:ascii="Times New Roman" w:hAnsi="Times New Roman" w:eastAsia="宋体"/>
          <w:b w:val="0"/>
          <w:i w:val="0"/>
          <w:sz w:val="21"/>
        </w:rPr>
        <w:t xml:space="preserve"> 的数据、文本、知识片段与模型版本，都必须在 </w:t>
      </w:r>
      <w:r>
        <w:rPr>
          <w:rFonts w:ascii="Times New Roman" w:hAnsi="Times New Roman" w:eastAsia="宋体"/>
          <w:b w:val="0"/>
          <w:i/>
          <w:color w:val="1F3864"/>
          <w:sz w:val="21"/>
        </w:rPr>
        <w:t>t</w:t>
      </w:r>
      <w:r>
        <w:rPr>
          <w:rFonts w:ascii="Times New Roman" w:hAnsi="Times New Roman" w:eastAsia="宋体"/>
          <w:b w:val="0"/>
          <w:i w:val="0"/>
          <w:sz w:val="21"/>
        </w:rPr>
        <w:t xml:space="preserve"> 时点已经可得。该约束由 4.1 数据层与 4.2 知识库过滤共同实现，并由 4.4 的验证机制以泄漏事件计数监督。</w:t>
      </w:r>
    </w:p>
    <w:p>
      <w:r>
        <w:rPr>
          <w:rFonts w:ascii="Times New Roman" w:hAnsi="Times New Roman" w:eastAsia="宋体"/>
          <w:b w:val="0"/>
          <w:i w:val="0"/>
          <w:sz w:val="21"/>
        </w:rPr>
        <w:t xml:space="preserve">预警任务的输出 </w:t>
      </w:r>
      <w:r>
        <w:rPr>
          <w:rFonts w:ascii="Times New Roman" w:hAnsi="Times New Roman" w:eastAsia="宋体"/>
          <w:b w:val="0"/>
          <w:i/>
          <w:color w:val="1F3864"/>
          <w:sz w:val="21"/>
        </w:rPr>
        <w:t>D_t</w:t>
      </w:r>
      <w:r>
        <w:rPr>
          <w:rFonts w:ascii="Times New Roman" w:hAnsi="Times New Roman" w:eastAsia="宋体"/>
          <w:b w:val="0"/>
          <w:i w:val="0"/>
          <w:sz w:val="21"/>
        </w:rPr>
        <w:t xml:space="preserve"> 不是单一风险等级，而是包含三层次信息的结构化决策卡：①公共风险基础信号，即 5、10、20 个交易日高压力概率、历史分位、驱动因子归因与模态贡献；②三类主体各自的风险等级、关键证据、建议与局限；③协同过程信息，包括冲突、核验状态、人工复核标记与协同成本。三层次分别对应 P1、P3 与 P2 的可检验对象，从而避免以预警准确率替代解释可靠性与决策价值的评价。本章主要符号见表 4-1。</w:t>
      </w:r>
    </w:p>
    <w:p>
      <w:pPr>
        <w:keepNext/>
        <w:spacing w:before="120" w:after="40"/>
        <w:jc w:val="center"/>
      </w:pPr>
      <w:r>
        <w:rPr>
          <w:rFonts w:ascii="Times New Roman" w:hAnsi="Times New Roman" w:eastAsia="宋体"/>
          <w:b/>
          <w:i w:val="0"/>
          <w:color w:val="1F3864"/>
          <w:sz w:val="19"/>
        </w:rPr>
        <w:t>表 4-1 本章符号表</w:t>
      </w:r>
    </w:p>
    <w:tbl>
      <w:tblPr>
        <w:tblStyle w:val="TableGrid"/>
        <w:tblW w:type="auto" w:w="0"/>
        <w:jc w:val="center"/>
        <w:tblLayout w:type="autofit"/>
        <w:tblLook w:firstColumn="1" w:firstRow="1" w:lastColumn="0" w:lastRow="0" w:noHBand="0" w:noVBand="1" w:val="04A0"/>
      </w:tblPr>
      <w:tblGrid>
        <w:gridCol w:w="2324"/>
        <w:gridCol w:w="2324"/>
        <w:gridCol w:w="2324"/>
        <w:gridCol w:w="2324"/>
      </w:tblGrid>
      <w:tr>
        <w:tc>
          <w:tcPr>
            <w:tcW w:type="dxa" w:w="2324"/>
          </w:tcPr>
          <w:p>
            <w:pPr>
              <w:spacing w:after="20" w:line="276" w:lineRule="auto"/>
            </w:pPr>
            <w:r>
              <w:rPr>
                <w:b/>
              </w:rPr>
            </w:r>
            <w:r>
              <w:rPr>
                <w:rFonts w:ascii="Times New Roman" w:hAnsi="Times New Roman" w:eastAsia="宋体"/>
                <w:b/>
                <w:i w:val="0"/>
                <w:sz w:val="17"/>
              </w:rPr>
              <w:t>符号</w:t>
            </w:r>
          </w:p>
        </w:tc>
        <w:tc>
          <w:tcPr>
            <w:tcW w:type="dxa" w:w="2324"/>
          </w:tcPr>
          <w:p>
            <w:pPr>
              <w:spacing w:after="20" w:line="276" w:lineRule="auto"/>
            </w:pPr>
            <w:r>
              <w:rPr>
                <w:b/>
              </w:rPr>
            </w:r>
            <w:r>
              <w:rPr>
                <w:rFonts w:ascii="Times New Roman" w:hAnsi="Times New Roman" w:eastAsia="宋体"/>
                <w:b/>
                <w:i w:val="0"/>
                <w:sz w:val="17"/>
              </w:rPr>
              <w:t>含义</w:t>
            </w:r>
          </w:p>
        </w:tc>
        <w:tc>
          <w:tcPr>
            <w:tcW w:type="dxa" w:w="2324"/>
          </w:tcPr>
          <w:p>
            <w:pPr>
              <w:spacing w:after="20" w:line="276" w:lineRule="auto"/>
            </w:pPr>
            <w:r>
              <w:rPr>
                <w:b/>
              </w:rPr>
            </w:r>
            <w:r>
              <w:rPr>
                <w:rFonts w:ascii="Times New Roman" w:hAnsi="Times New Roman" w:eastAsia="宋体"/>
                <w:b/>
                <w:i w:val="0"/>
                <w:sz w:val="17"/>
              </w:rPr>
              <w:t>取值/维度</w:t>
            </w:r>
          </w:p>
        </w:tc>
        <w:tc>
          <w:tcPr>
            <w:tcW w:type="dxa" w:w="2324"/>
          </w:tcPr>
          <w:p>
            <w:pPr>
              <w:spacing w:after="20" w:line="276" w:lineRule="auto"/>
            </w:pPr>
            <w:r>
              <w:rPr>
                <w:b/>
              </w:rPr>
            </w:r>
            <w:r>
              <w:rPr>
                <w:rFonts w:ascii="Times New Roman" w:hAnsi="Times New Roman" w:eastAsia="宋体"/>
                <w:b/>
                <w:i w:val="0"/>
                <w:sz w:val="17"/>
              </w:rPr>
              <w:t>主要出现位置</w:t>
            </w:r>
          </w:p>
        </w:tc>
      </w:tr>
      <w:tr>
        <w:tc>
          <w:tcPr>
            <w:tcW w:type="dxa" w:w="2324"/>
          </w:tcPr>
          <w:p>
            <w:pPr>
              <w:spacing w:after="20" w:line="276" w:lineRule="auto"/>
            </w:pPr>
            <w:r/>
            <w:r>
              <w:rPr>
                <w:rFonts w:ascii="Times New Roman" w:hAnsi="Times New Roman" w:eastAsia="宋体"/>
                <w:b w:val="0"/>
                <w:i/>
                <w:color w:val="1F3864"/>
                <w:sz w:val="17"/>
              </w:rPr>
              <w:t>t</w:t>
            </w:r>
          </w:p>
        </w:tc>
        <w:tc>
          <w:tcPr>
            <w:tcW w:type="dxa" w:w="2324"/>
          </w:tcPr>
          <w:p>
            <w:pPr>
              <w:spacing w:after="20" w:line="276" w:lineRule="auto"/>
            </w:pPr>
            <w:r/>
            <w:r>
              <w:rPr>
                <w:rFonts w:ascii="Times New Roman" w:hAnsi="Times New Roman" w:eastAsia="宋体"/>
                <w:b w:val="0"/>
                <w:i w:val="0"/>
                <w:sz w:val="17"/>
              </w:rPr>
              <w:t>评估日（as_of 时点）</w:t>
            </w:r>
          </w:p>
        </w:tc>
        <w:tc>
          <w:tcPr>
            <w:tcW w:type="dxa" w:w="2324"/>
          </w:tcPr>
          <w:p>
            <w:pPr>
              <w:spacing w:after="20" w:line="276" w:lineRule="auto"/>
            </w:pPr>
            <w:r/>
            <w:r>
              <w:rPr>
                <w:rFonts w:ascii="Times New Roman" w:hAnsi="Times New Roman" w:eastAsia="宋体"/>
                <w:b w:val="0"/>
                <w:i w:val="0"/>
                <w:sz w:val="17"/>
              </w:rPr>
              <w:t>交易日</w:t>
            </w:r>
          </w:p>
        </w:tc>
        <w:tc>
          <w:tcPr>
            <w:tcW w:type="dxa" w:w="2324"/>
          </w:tcPr>
          <w:p>
            <w:pPr>
              <w:spacing w:after="20" w:line="276" w:lineRule="auto"/>
            </w:pPr>
            <w:r/>
            <w:r>
              <w:rPr>
                <w:rFonts w:ascii="Times New Roman" w:hAnsi="Times New Roman" w:eastAsia="宋体"/>
                <w:b w:val="0"/>
                <w:i w:val="0"/>
                <w:sz w:val="17"/>
              </w:rPr>
              <w:t>全文</w:t>
            </w:r>
          </w:p>
        </w:tc>
      </w:tr>
      <w:tr>
        <w:tc>
          <w:tcPr>
            <w:tcW w:type="dxa" w:w="2324"/>
          </w:tcPr>
          <w:p>
            <w:pPr>
              <w:spacing w:after="20" w:line="276" w:lineRule="auto"/>
            </w:pPr>
            <w:r/>
            <w:r>
              <w:rPr>
                <w:rFonts w:ascii="Times New Roman" w:hAnsi="Times New Roman" w:eastAsia="宋体"/>
                <w:b w:val="0"/>
                <w:i/>
                <w:color w:val="1F3864"/>
                <w:sz w:val="17"/>
              </w:rPr>
              <w:t>h</w:t>
            </w:r>
          </w:p>
        </w:tc>
        <w:tc>
          <w:tcPr>
            <w:tcW w:type="dxa" w:w="2324"/>
          </w:tcPr>
          <w:p>
            <w:pPr>
              <w:spacing w:after="20" w:line="276" w:lineRule="auto"/>
            </w:pPr>
            <w:r/>
            <w:r>
              <w:rPr>
                <w:rFonts w:ascii="Times New Roman" w:hAnsi="Times New Roman" w:eastAsia="宋体"/>
                <w:b w:val="0"/>
                <w:i w:val="0"/>
                <w:sz w:val="17"/>
              </w:rPr>
              <w:t>预测期限</w:t>
            </w:r>
          </w:p>
        </w:tc>
        <w:tc>
          <w:tcPr>
            <w:tcW w:type="dxa" w:w="2324"/>
          </w:tcPr>
          <w:p>
            <w:pPr>
              <w:spacing w:after="20" w:line="276" w:lineRule="auto"/>
            </w:pPr>
            <w:r/>
            <w:r>
              <w:rPr>
                <w:rFonts w:ascii="Times New Roman" w:hAnsi="Times New Roman" w:eastAsia="宋体"/>
                <w:b w:val="0"/>
                <w:i/>
                <w:color w:val="1F3864"/>
                <w:sz w:val="17"/>
              </w:rPr>
              <w:t>h∈5,10,20</w:t>
            </w:r>
            <w:r>
              <w:rPr>
                <w:rFonts w:ascii="Times New Roman" w:hAnsi="Times New Roman" w:eastAsia="宋体"/>
                <w:b w:val="0"/>
                <w:i w:val="0"/>
                <w:sz w:val="17"/>
              </w:rPr>
              <w:t xml:space="preserve"> 个交易日</w:t>
            </w:r>
          </w:p>
        </w:tc>
        <w:tc>
          <w:tcPr>
            <w:tcW w:type="dxa" w:w="2324"/>
          </w:tcPr>
          <w:p>
            <w:pPr>
              <w:spacing w:after="20" w:line="276" w:lineRule="auto"/>
            </w:pPr>
            <w:r/>
            <w:r>
              <w:rPr>
                <w:rFonts w:ascii="Times New Roman" w:hAnsi="Times New Roman" w:eastAsia="宋体"/>
                <w:b w:val="0"/>
                <w:i w:val="0"/>
                <w:sz w:val="17"/>
              </w:rPr>
              <w:t>4.1、4.5</w:t>
            </w:r>
          </w:p>
        </w:tc>
      </w:tr>
      <w:tr>
        <w:tc>
          <w:tcPr>
            <w:tcW w:type="dxa" w:w="2324"/>
          </w:tcPr>
          <w:p>
            <w:pPr>
              <w:spacing w:after="20" w:line="276" w:lineRule="auto"/>
            </w:pPr>
            <w:r/>
            <w:r>
              <w:rPr>
                <w:rFonts w:ascii="Times New Roman" w:hAnsi="Times New Roman" w:eastAsia="宋体"/>
                <w:b w:val="0"/>
                <w:i/>
                <w:color w:val="1F3864"/>
                <w:sz w:val="17"/>
              </w:rPr>
              <w:t>W</w:t>
            </w:r>
          </w:p>
        </w:tc>
        <w:tc>
          <w:tcPr>
            <w:tcW w:type="dxa" w:w="2324"/>
          </w:tcPr>
          <w:p>
            <w:pPr>
              <w:spacing w:after="20" w:line="276" w:lineRule="auto"/>
            </w:pPr>
            <w:r/>
            <w:r>
              <w:rPr>
                <w:rFonts w:ascii="Times New Roman" w:hAnsi="Times New Roman" w:eastAsia="宋体"/>
                <w:b w:val="0"/>
                <w:i w:val="0"/>
                <w:sz w:val="17"/>
              </w:rPr>
              <w:t>特征滚动估计窗口</w:t>
            </w:r>
          </w:p>
        </w:tc>
        <w:tc>
          <w:tcPr>
            <w:tcW w:type="dxa" w:w="2324"/>
          </w:tcPr>
          <w:p>
            <w:pPr>
              <w:spacing w:after="20" w:line="276" w:lineRule="auto"/>
            </w:pPr>
            <w:r/>
            <w:r>
              <w:rPr>
                <w:rFonts w:ascii="Times New Roman" w:hAnsi="Times New Roman" w:eastAsia="宋体"/>
                <w:b w:val="0"/>
                <w:i w:val="0"/>
                <w:sz w:val="17"/>
              </w:rPr>
              <w:t>默认 500 个交易日</w:t>
            </w:r>
          </w:p>
        </w:tc>
        <w:tc>
          <w:tcPr>
            <w:tcW w:type="dxa" w:w="2324"/>
          </w:tcPr>
          <w:p>
            <w:pPr>
              <w:spacing w:after="20" w:line="276" w:lineRule="auto"/>
            </w:pPr>
            <w:r/>
            <w:r>
              <w:rPr>
                <w:rFonts w:ascii="Times New Roman" w:hAnsi="Times New Roman" w:eastAsia="宋体"/>
                <w:b w:val="0"/>
                <w:i w:val="0"/>
                <w:sz w:val="17"/>
              </w:rPr>
              <w:t>4.1</w:t>
            </w:r>
          </w:p>
        </w:tc>
      </w:tr>
      <w:tr>
        <w:tc>
          <w:tcPr>
            <w:tcW w:type="dxa" w:w="2324"/>
          </w:tcPr>
          <w:p>
            <w:pPr>
              <w:spacing w:after="20" w:line="276" w:lineRule="auto"/>
            </w:pPr>
            <w:r/>
            <w:r>
              <w:rPr>
                <w:rFonts w:ascii="Times New Roman" w:hAnsi="Times New Roman" w:eastAsia="宋体"/>
                <w:b w:val="0"/>
                <w:i/>
                <w:color w:val="1F3864"/>
                <w:sz w:val="17"/>
              </w:rPr>
              <w:t>W_τ</w:t>
            </w:r>
          </w:p>
        </w:tc>
        <w:tc>
          <w:tcPr>
            <w:tcW w:type="dxa" w:w="2324"/>
          </w:tcPr>
          <w:p>
            <w:pPr>
              <w:spacing w:after="20" w:line="276" w:lineRule="auto"/>
            </w:pPr>
            <w:r/>
            <w:r>
              <w:rPr>
                <w:rFonts w:ascii="Times New Roman" w:hAnsi="Times New Roman" w:eastAsia="宋体"/>
                <w:b w:val="0"/>
                <w:i w:val="0"/>
                <w:sz w:val="17"/>
              </w:rPr>
              <w:t>标签阈值估计窗口</w:t>
            </w:r>
          </w:p>
        </w:tc>
        <w:tc>
          <w:tcPr>
            <w:tcW w:type="dxa" w:w="2324"/>
          </w:tcPr>
          <w:p>
            <w:pPr>
              <w:spacing w:after="20" w:line="276" w:lineRule="auto"/>
            </w:pPr>
            <w:r/>
            <w:r>
              <w:rPr>
                <w:rFonts w:ascii="Times New Roman" w:hAnsi="Times New Roman" w:eastAsia="宋体"/>
                <w:b w:val="0"/>
                <w:i w:val="0"/>
                <w:sz w:val="17"/>
              </w:rPr>
              <w:t>默认 1250 个交易日（rolling 模式）</w:t>
            </w:r>
          </w:p>
        </w:tc>
        <w:tc>
          <w:tcPr>
            <w:tcW w:type="dxa" w:w="2324"/>
          </w:tcPr>
          <w:p>
            <w:pPr>
              <w:spacing w:after="20" w:line="276" w:lineRule="auto"/>
            </w:pPr>
            <w:r/>
            <w:r>
              <w:rPr>
                <w:rFonts w:ascii="Times New Roman" w:hAnsi="Times New Roman" w:eastAsia="宋体"/>
                <w:b w:val="0"/>
                <w:i w:val="0"/>
                <w:sz w:val="17"/>
              </w:rPr>
              <w:t>4.1</w:t>
            </w:r>
          </w:p>
        </w:tc>
      </w:tr>
      <w:tr>
        <w:tc>
          <w:tcPr>
            <w:tcW w:type="dxa" w:w="2324"/>
          </w:tcPr>
          <w:p>
            <w:pPr>
              <w:spacing w:after="20" w:line="276" w:lineRule="auto"/>
            </w:pPr>
            <w:r/>
            <w:r>
              <w:rPr>
                <w:rFonts w:ascii="Times New Roman" w:hAnsi="Times New Roman" w:eastAsia="宋体"/>
                <w:b w:val="0"/>
                <w:i/>
                <w:color w:val="1F3864"/>
                <w:sz w:val="17"/>
              </w:rPr>
              <w:t>q</w:t>
            </w:r>
          </w:p>
        </w:tc>
        <w:tc>
          <w:tcPr>
            <w:tcW w:type="dxa" w:w="2324"/>
          </w:tcPr>
          <w:p>
            <w:pPr>
              <w:spacing w:after="20" w:line="276" w:lineRule="auto"/>
            </w:pPr>
            <w:r/>
            <w:r>
              <w:rPr>
                <w:rFonts w:ascii="Times New Roman" w:hAnsi="Times New Roman" w:eastAsia="宋体"/>
                <w:b w:val="0"/>
                <w:i w:val="0"/>
                <w:sz w:val="17"/>
              </w:rPr>
              <w:t>高位状态分位阈值</w:t>
            </w:r>
          </w:p>
        </w:tc>
        <w:tc>
          <w:tcPr>
            <w:tcW w:type="dxa" w:w="2324"/>
          </w:tcPr>
          <w:p>
            <w:pPr>
              <w:spacing w:after="20" w:line="276" w:lineRule="auto"/>
            </w:pPr>
            <w:r/>
            <w:r>
              <w:rPr>
                <w:rFonts w:ascii="Times New Roman" w:hAnsi="Times New Roman" w:eastAsia="宋体"/>
                <w:b w:val="0"/>
                <w:i w:val="0"/>
                <w:sz w:val="17"/>
              </w:rPr>
              <w:t>默认 0.90</w:t>
            </w:r>
          </w:p>
        </w:tc>
        <w:tc>
          <w:tcPr>
            <w:tcW w:type="dxa" w:w="2324"/>
          </w:tcPr>
          <w:p>
            <w:pPr>
              <w:spacing w:after="20" w:line="276" w:lineRule="auto"/>
            </w:pPr>
            <w:r/>
            <w:r>
              <w:rPr>
                <w:rFonts w:ascii="Times New Roman" w:hAnsi="Times New Roman" w:eastAsia="宋体"/>
                <w:b w:val="0"/>
                <w:i w:val="0"/>
                <w:sz w:val="17"/>
              </w:rPr>
              <w:t>4.1</w:t>
            </w:r>
          </w:p>
        </w:tc>
      </w:tr>
      <w:tr>
        <w:tc>
          <w:tcPr>
            <w:tcW w:type="dxa" w:w="2324"/>
          </w:tcPr>
          <w:p>
            <w:pPr>
              <w:spacing w:after="20" w:line="276" w:lineRule="auto"/>
            </w:pPr>
            <w:r/>
            <w:r>
              <w:rPr>
                <w:rFonts w:ascii="Times New Roman" w:hAnsi="Times New Roman" w:eastAsia="宋体"/>
                <w:b w:val="0"/>
                <w:i/>
                <w:color w:val="1F3864"/>
                <w:sz w:val="17"/>
              </w:rPr>
              <w:t>SPI_t</w:t>
            </w:r>
          </w:p>
        </w:tc>
        <w:tc>
          <w:tcPr>
            <w:tcW w:type="dxa" w:w="2324"/>
          </w:tcPr>
          <w:p>
            <w:pPr>
              <w:spacing w:after="20" w:line="276" w:lineRule="auto"/>
            </w:pPr>
            <w:r/>
            <w:r>
              <w:rPr>
                <w:rFonts w:ascii="Times New Roman" w:hAnsi="Times New Roman" w:eastAsia="宋体"/>
                <w:b w:val="0"/>
                <w:i w:val="0"/>
                <w:sz w:val="17"/>
              </w:rPr>
              <w:t>跨境金融压力指数</w:t>
            </w:r>
          </w:p>
        </w:tc>
        <w:tc>
          <w:tcPr>
            <w:tcW w:type="dxa" w:w="2324"/>
          </w:tcPr>
          <w:p>
            <w:pPr>
              <w:spacing w:after="20" w:line="276" w:lineRule="auto"/>
            </w:pPr>
            <w:r/>
            <w:r>
              <w:rPr>
                <w:rFonts w:ascii="Times New Roman" w:hAnsi="Times New Roman" w:eastAsia="宋体"/>
                <w:b w:val="0"/>
                <w:i w:val="0"/>
                <w:sz w:val="17"/>
              </w:rPr>
              <w:t>实数</w:t>
            </w:r>
          </w:p>
        </w:tc>
        <w:tc>
          <w:tcPr>
            <w:tcW w:type="dxa" w:w="2324"/>
          </w:tcPr>
          <w:p>
            <w:pPr>
              <w:spacing w:after="20" w:line="276" w:lineRule="auto"/>
            </w:pPr>
            <w:r/>
            <w:r>
              <w:rPr>
                <w:rFonts w:ascii="Times New Roman" w:hAnsi="Times New Roman" w:eastAsia="宋体"/>
                <w:b w:val="0"/>
                <w:i w:val="0"/>
                <w:sz w:val="17"/>
              </w:rPr>
              <w:t>4.1</w:t>
            </w:r>
          </w:p>
        </w:tc>
      </w:tr>
      <w:tr>
        <w:tc>
          <w:tcPr>
            <w:tcW w:type="dxa" w:w="2324"/>
          </w:tcPr>
          <w:p>
            <w:pPr>
              <w:spacing w:after="20" w:line="276" w:lineRule="auto"/>
            </w:pPr>
            <w:r/>
            <w:r>
              <w:rPr>
                <w:rFonts w:ascii="Times New Roman" w:hAnsi="Times New Roman" w:eastAsia="宋体"/>
                <w:b w:val="0"/>
                <w:i/>
                <w:color w:val="1F3864"/>
                <w:sz w:val="17"/>
              </w:rPr>
              <w:t>τ_t</w:t>
            </w:r>
          </w:p>
        </w:tc>
        <w:tc>
          <w:tcPr>
            <w:tcW w:type="dxa" w:w="2324"/>
          </w:tcPr>
          <w:p>
            <w:pPr>
              <w:spacing w:after="20" w:line="276" w:lineRule="auto"/>
            </w:pPr>
            <w:r/>
            <w:r>
              <w:rPr>
                <w:rFonts w:ascii="Times New Roman" w:hAnsi="Times New Roman" w:eastAsia="宋体"/>
                <w:b w:val="0"/>
                <w:i w:val="0"/>
                <w:sz w:val="17"/>
              </w:rPr>
              <w:t>标签阈值（训练期冻结或滚动分位）</w:t>
            </w:r>
          </w:p>
        </w:tc>
        <w:tc>
          <w:tcPr>
            <w:tcW w:type="dxa" w:w="2324"/>
          </w:tcPr>
          <w:p>
            <w:pPr>
              <w:spacing w:after="20" w:line="276" w:lineRule="auto"/>
            </w:pPr>
            <w:r/>
            <w:r>
              <w:rPr>
                <w:rFonts w:ascii="Times New Roman" w:hAnsi="Times New Roman" w:eastAsia="宋体"/>
                <w:b w:val="0"/>
                <w:i w:val="0"/>
                <w:sz w:val="17"/>
              </w:rPr>
              <w:t>实数</w:t>
            </w:r>
          </w:p>
        </w:tc>
        <w:tc>
          <w:tcPr>
            <w:tcW w:type="dxa" w:w="2324"/>
          </w:tcPr>
          <w:p>
            <w:pPr>
              <w:spacing w:after="20" w:line="276" w:lineRule="auto"/>
            </w:pPr>
            <w:r/>
            <w:r>
              <w:rPr>
                <w:rFonts w:ascii="Times New Roman" w:hAnsi="Times New Roman" w:eastAsia="宋体"/>
                <w:b w:val="0"/>
                <w:i w:val="0"/>
                <w:sz w:val="17"/>
              </w:rPr>
              <w:t>4.1</w:t>
            </w:r>
          </w:p>
        </w:tc>
      </w:tr>
      <w:tr>
        <w:tc>
          <w:tcPr>
            <w:tcW w:type="dxa" w:w="2324"/>
          </w:tcPr>
          <w:p>
            <w:pPr>
              <w:spacing w:after="20" w:line="276" w:lineRule="auto"/>
            </w:pPr>
            <w:r/>
            <w:r>
              <w:rPr>
                <w:rFonts w:ascii="Times New Roman" w:hAnsi="Times New Roman" w:eastAsia="宋体"/>
                <w:b w:val="0"/>
                <w:i/>
                <w:color w:val="1F3864"/>
                <w:sz w:val="17"/>
              </w:rPr>
              <w:t>y_t,h</w:t>
            </w:r>
          </w:p>
        </w:tc>
        <w:tc>
          <w:tcPr>
            <w:tcW w:type="dxa" w:w="2324"/>
          </w:tcPr>
          <w:p>
            <w:pPr>
              <w:spacing w:after="20" w:line="276" w:lineRule="auto"/>
            </w:pPr>
            <w:r/>
            <w:r>
              <w:rPr>
                <w:rFonts w:ascii="Times New Roman" w:hAnsi="Times New Roman" w:eastAsia="宋体"/>
                <w:b w:val="0"/>
                <w:i w:val="0"/>
                <w:sz w:val="17"/>
              </w:rPr>
              <w:t>高压力状态标签</w:t>
            </w:r>
          </w:p>
        </w:tc>
        <w:tc>
          <w:tcPr>
            <w:tcW w:type="dxa" w:w="2324"/>
          </w:tcPr>
          <w:p>
            <w:pPr>
              <w:spacing w:after="20" w:line="276" w:lineRule="auto"/>
            </w:pPr>
            <w:r/>
            <w:r>
              <w:rPr>
                <w:rFonts w:ascii="Times New Roman" w:hAnsi="Times New Roman" w:eastAsia="宋体"/>
                <w:b w:val="0"/>
                <w:i/>
                <w:color w:val="1F3864"/>
                <w:sz w:val="17"/>
              </w:rPr>
              <w:t>0,1</w:t>
            </w:r>
          </w:p>
        </w:tc>
        <w:tc>
          <w:tcPr>
            <w:tcW w:type="dxa" w:w="2324"/>
          </w:tcPr>
          <w:p>
            <w:pPr>
              <w:spacing w:after="20" w:line="276" w:lineRule="auto"/>
            </w:pPr>
            <w:r/>
            <w:r>
              <w:rPr>
                <w:rFonts w:ascii="Times New Roman" w:hAnsi="Times New Roman" w:eastAsia="宋体"/>
                <w:b w:val="0"/>
                <w:i w:val="0"/>
                <w:sz w:val="17"/>
              </w:rPr>
              <w:t>4.1、4.5</w:t>
            </w:r>
          </w:p>
        </w:tc>
      </w:tr>
      <w:tr>
        <w:tc>
          <w:tcPr>
            <w:tcW w:type="dxa" w:w="2324"/>
          </w:tcPr>
          <w:p>
            <w:pPr>
              <w:spacing w:after="20" w:line="276" w:lineRule="auto"/>
            </w:pPr>
            <w:r/>
            <w:r>
              <w:rPr>
                <w:rFonts w:ascii="Times New Roman" w:hAnsi="Times New Roman" w:eastAsia="宋体"/>
                <w:b w:val="0"/>
                <w:i/>
                <w:color w:val="1F3864"/>
                <w:sz w:val="17"/>
              </w:rPr>
              <w:t>x_t</w:t>
            </w:r>
          </w:p>
        </w:tc>
        <w:tc>
          <w:tcPr>
            <w:tcW w:type="dxa" w:w="2324"/>
          </w:tcPr>
          <w:p>
            <w:pPr>
              <w:spacing w:after="20" w:line="276" w:lineRule="auto"/>
            </w:pPr>
            <w:r/>
            <w:r>
              <w:rPr>
                <w:rFonts w:ascii="Times New Roman" w:hAnsi="Times New Roman" w:eastAsia="宋体"/>
                <w:b w:val="0"/>
                <w:i w:val="0"/>
                <w:sz w:val="17"/>
              </w:rPr>
              <w:t>数值特征向量</w:t>
            </w:r>
          </w:p>
        </w:tc>
        <w:tc>
          <w:tcPr>
            <w:tcW w:type="dxa" w:w="2324"/>
          </w:tcPr>
          <w:p>
            <w:pPr>
              <w:spacing w:after="20" w:line="276" w:lineRule="auto"/>
            </w:pPr>
            <w:r/>
            <w:r>
              <w:rPr>
                <w:rFonts w:ascii="Times New Roman" w:hAnsi="Times New Roman" w:eastAsia="宋体"/>
                <w:b w:val="0"/>
                <w:i/>
                <w:color w:val="1F3864"/>
                <w:sz w:val="17"/>
              </w:rPr>
              <w:t>Rd_n</w:t>
            </w:r>
          </w:p>
        </w:tc>
        <w:tc>
          <w:tcPr>
            <w:tcW w:type="dxa" w:w="2324"/>
          </w:tcPr>
          <w:p>
            <w:pPr>
              <w:spacing w:after="20" w:line="276" w:lineRule="auto"/>
            </w:pPr>
            <w:r/>
            <w:r>
              <w:rPr>
                <w:rFonts w:ascii="Times New Roman" w:hAnsi="Times New Roman" w:eastAsia="宋体"/>
                <w:b w:val="0"/>
                <w:i w:val="0"/>
                <w:sz w:val="17"/>
              </w:rPr>
              <w:t>4.1</w:t>
            </w:r>
          </w:p>
        </w:tc>
      </w:tr>
      <w:tr>
        <w:tc>
          <w:tcPr>
            <w:tcW w:type="dxa" w:w="2324"/>
          </w:tcPr>
          <w:p>
            <w:pPr>
              <w:spacing w:after="20" w:line="276" w:lineRule="auto"/>
            </w:pPr>
            <w:r/>
            <w:r>
              <w:rPr>
                <w:rFonts w:ascii="Times New Roman" w:hAnsi="Times New Roman" w:eastAsia="宋体"/>
                <w:b w:val="0"/>
                <w:i/>
                <w:color w:val="1F3864"/>
                <w:sz w:val="17"/>
              </w:rPr>
              <w:t>z_t</w:t>
            </w:r>
          </w:p>
        </w:tc>
        <w:tc>
          <w:tcPr>
            <w:tcW w:type="dxa" w:w="2324"/>
          </w:tcPr>
          <w:p>
            <w:pPr>
              <w:spacing w:after="20" w:line="276" w:lineRule="auto"/>
            </w:pPr>
            <w:r/>
            <w:r>
              <w:rPr>
                <w:rFonts w:ascii="Times New Roman" w:hAnsi="Times New Roman" w:eastAsia="宋体"/>
                <w:b w:val="0"/>
                <w:i w:val="0"/>
                <w:sz w:val="17"/>
              </w:rPr>
              <w:t>文本特征向量</w:t>
            </w:r>
          </w:p>
        </w:tc>
        <w:tc>
          <w:tcPr>
            <w:tcW w:type="dxa" w:w="2324"/>
          </w:tcPr>
          <w:p>
            <w:pPr>
              <w:spacing w:after="20" w:line="276" w:lineRule="auto"/>
            </w:pPr>
            <w:r/>
            <w:r>
              <w:rPr>
                <w:rFonts w:ascii="Times New Roman" w:hAnsi="Times New Roman" w:eastAsia="宋体"/>
                <w:b w:val="0"/>
                <w:i/>
                <w:color w:val="1F3864"/>
                <w:sz w:val="17"/>
              </w:rPr>
              <w:t>Rd_t</w:t>
            </w:r>
          </w:p>
        </w:tc>
        <w:tc>
          <w:tcPr>
            <w:tcW w:type="dxa" w:w="2324"/>
          </w:tcPr>
          <w:p>
            <w:pPr>
              <w:spacing w:after="20" w:line="276" w:lineRule="auto"/>
            </w:pPr>
            <w:r/>
            <w:r>
              <w:rPr>
                <w:rFonts w:ascii="Times New Roman" w:hAnsi="Times New Roman" w:eastAsia="宋体"/>
                <w:b w:val="0"/>
                <w:i w:val="0"/>
                <w:sz w:val="17"/>
              </w:rPr>
              <w:t>4.1</w:t>
            </w:r>
          </w:p>
        </w:tc>
      </w:tr>
      <w:tr>
        <w:tc>
          <w:tcPr>
            <w:tcW w:type="dxa" w:w="2324"/>
          </w:tcPr>
          <w:p>
            <w:pPr>
              <w:spacing w:after="20" w:line="276" w:lineRule="auto"/>
            </w:pPr>
            <w:r/>
            <w:r>
              <w:rPr>
                <w:rFonts w:ascii="Times New Roman" w:hAnsi="Times New Roman" w:eastAsia="宋体"/>
                <w:b w:val="0"/>
                <w:i/>
                <w:color w:val="1F3864"/>
                <w:sz w:val="17"/>
              </w:rPr>
              <w:t>p_t,h</w:t>
            </w:r>
          </w:p>
        </w:tc>
        <w:tc>
          <w:tcPr>
            <w:tcW w:type="dxa" w:w="2324"/>
          </w:tcPr>
          <w:p>
            <w:pPr>
              <w:spacing w:after="20" w:line="276" w:lineRule="auto"/>
            </w:pPr>
            <w:r/>
            <w:r>
              <w:rPr>
                <w:rFonts w:ascii="Times New Roman" w:hAnsi="Times New Roman" w:eastAsia="宋体"/>
                <w:b w:val="0"/>
                <w:i w:val="0"/>
                <w:sz w:val="17"/>
              </w:rPr>
              <w:t>高压力概率预测</w:t>
            </w:r>
          </w:p>
        </w:tc>
        <w:tc>
          <w:tcPr>
            <w:tcW w:type="dxa" w:w="2324"/>
          </w:tcPr>
          <w:p>
            <w:pPr>
              <w:spacing w:after="20" w:line="276" w:lineRule="auto"/>
            </w:pPr>
            <w:r/>
            <w:r>
              <w:rPr>
                <w:rFonts w:ascii="Times New Roman" w:hAnsi="Times New Roman" w:eastAsia="宋体"/>
                <w:b w:val="0"/>
                <w:i/>
                <w:color w:val="1F3864"/>
                <w:sz w:val="17"/>
              </w:rPr>
              <w:t>[0,1]</w:t>
            </w:r>
          </w:p>
        </w:tc>
        <w:tc>
          <w:tcPr>
            <w:tcW w:type="dxa" w:w="2324"/>
          </w:tcPr>
          <w:p>
            <w:pPr>
              <w:spacing w:after="20" w:line="276" w:lineRule="auto"/>
            </w:pPr>
            <w:r/>
            <w:r>
              <w:rPr>
                <w:rFonts w:ascii="Times New Roman" w:hAnsi="Times New Roman" w:eastAsia="宋体"/>
                <w:b w:val="0"/>
                <w:i w:val="0"/>
                <w:sz w:val="17"/>
              </w:rPr>
              <w:t>4.1</w:t>
            </w:r>
          </w:p>
        </w:tc>
      </w:tr>
      <w:tr>
        <w:tc>
          <w:tcPr>
            <w:tcW w:type="dxa" w:w="2324"/>
          </w:tcPr>
          <w:p>
            <w:pPr>
              <w:spacing w:after="20" w:line="276" w:lineRule="auto"/>
            </w:pPr>
            <w:r/>
            <w:r>
              <w:rPr>
                <w:rFonts w:ascii="Times New Roman" w:hAnsi="Times New Roman" w:eastAsia="宋体"/>
                <w:b w:val="0"/>
                <w:i/>
                <w:color w:val="1F3864"/>
                <w:sz w:val="17"/>
              </w:rPr>
              <w:t>φ_m</w:t>
            </w:r>
          </w:p>
        </w:tc>
        <w:tc>
          <w:tcPr>
            <w:tcW w:type="dxa" w:w="2324"/>
          </w:tcPr>
          <w:p>
            <w:pPr>
              <w:spacing w:after="20" w:line="276" w:lineRule="auto"/>
            </w:pPr>
            <w:r/>
            <w:r>
              <w:rPr>
                <w:rFonts w:ascii="Times New Roman" w:hAnsi="Times New Roman" w:eastAsia="宋体"/>
                <w:b w:val="0"/>
                <w:i w:val="0"/>
                <w:sz w:val="17"/>
              </w:rPr>
              <w:t xml:space="preserve">模态 </w:t>
            </w:r>
            <w:r>
              <w:rPr>
                <w:rFonts w:ascii="Times New Roman" w:hAnsi="Times New Roman" w:eastAsia="宋体"/>
                <w:b w:val="0"/>
                <w:i/>
                <w:color w:val="1F3864"/>
                <w:sz w:val="17"/>
              </w:rPr>
              <w:t>m</w:t>
            </w:r>
            <w:r>
              <w:rPr>
                <w:rFonts w:ascii="Times New Roman" w:hAnsi="Times New Roman" w:eastAsia="宋体"/>
                <w:b w:val="0"/>
                <w:i w:val="0"/>
                <w:sz w:val="17"/>
              </w:rPr>
              <w:t xml:space="preserve"> 的归因贡献</w:t>
            </w:r>
          </w:p>
        </w:tc>
        <w:tc>
          <w:tcPr>
            <w:tcW w:type="dxa" w:w="2324"/>
          </w:tcPr>
          <w:p>
            <w:pPr>
              <w:spacing w:after="20" w:line="276" w:lineRule="auto"/>
            </w:pPr>
            <w:r/>
            <w:r>
              <w:rPr>
                <w:rFonts w:ascii="Times New Roman" w:hAnsi="Times New Roman" w:eastAsia="宋体"/>
                <w:b w:val="0"/>
                <w:i w:val="0"/>
                <w:sz w:val="17"/>
              </w:rPr>
              <w:t>实数</w:t>
            </w:r>
          </w:p>
        </w:tc>
        <w:tc>
          <w:tcPr>
            <w:tcW w:type="dxa" w:w="2324"/>
          </w:tcPr>
          <w:p>
            <w:pPr>
              <w:spacing w:after="20" w:line="276" w:lineRule="auto"/>
            </w:pPr>
            <w:r/>
            <w:r>
              <w:rPr>
                <w:rFonts w:ascii="Times New Roman" w:hAnsi="Times New Roman" w:eastAsia="宋体"/>
                <w:b w:val="0"/>
                <w:i w:val="0"/>
                <w:sz w:val="17"/>
              </w:rPr>
              <w:t>4.1</w:t>
            </w:r>
          </w:p>
        </w:tc>
      </w:tr>
      <w:tr>
        <w:tc>
          <w:tcPr>
            <w:tcW w:type="dxa" w:w="2324"/>
          </w:tcPr>
          <w:p>
            <w:pPr>
              <w:spacing w:after="20" w:line="276" w:lineRule="auto"/>
            </w:pPr>
            <w:r/>
            <w:r>
              <w:rPr>
                <w:rFonts w:ascii="Times New Roman" w:hAnsi="Times New Roman" w:eastAsia="宋体"/>
                <w:b w:val="0"/>
                <w:i/>
                <w:color w:val="1F3864"/>
                <w:sz w:val="17"/>
              </w:rPr>
              <w:t>e</w:t>
            </w:r>
          </w:p>
        </w:tc>
        <w:tc>
          <w:tcPr>
            <w:tcW w:type="dxa" w:w="2324"/>
          </w:tcPr>
          <w:p>
            <w:pPr>
              <w:spacing w:after="20" w:line="276" w:lineRule="auto"/>
            </w:pPr>
            <w:r/>
            <w:r>
              <w:rPr>
                <w:rFonts w:ascii="Times New Roman" w:hAnsi="Times New Roman" w:eastAsia="宋体"/>
                <w:b w:val="0"/>
                <w:i w:val="0"/>
                <w:sz w:val="17"/>
              </w:rPr>
              <w:t>证据（Evidence）</w:t>
            </w:r>
          </w:p>
        </w:tc>
        <w:tc>
          <w:tcPr>
            <w:tcW w:type="dxa" w:w="2324"/>
          </w:tcPr>
          <w:p>
            <w:pPr>
              <w:spacing w:after="20" w:line="276" w:lineRule="auto"/>
            </w:pPr>
            <w:r/>
            <w:r>
              <w:rPr>
                <w:rFonts w:ascii="Times New Roman" w:hAnsi="Times New Roman" w:eastAsia="宋体"/>
                <w:b w:val="0"/>
                <w:i w:val="0"/>
                <w:sz w:val="17"/>
              </w:rPr>
              <w:t>证据对象</w:t>
            </w:r>
          </w:p>
        </w:tc>
        <w:tc>
          <w:tcPr>
            <w:tcW w:type="dxa" w:w="2324"/>
          </w:tcPr>
          <w:p>
            <w:pPr>
              <w:spacing w:after="20" w:line="276" w:lineRule="auto"/>
            </w:pPr>
            <w:r/>
            <w:r>
              <w:rPr>
                <w:rFonts w:ascii="Times New Roman" w:hAnsi="Times New Roman" w:eastAsia="宋体"/>
                <w:b w:val="0"/>
                <w:i w:val="0"/>
                <w:sz w:val="17"/>
              </w:rPr>
              <w:t>4.2、4.4</w:t>
            </w:r>
          </w:p>
        </w:tc>
      </w:tr>
      <w:tr>
        <w:tc>
          <w:tcPr>
            <w:tcW w:type="dxa" w:w="2324"/>
          </w:tcPr>
          <w:p>
            <w:pPr>
              <w:spacing w:after="20" w:line="276" w:lineRule="auto"/>
            </w:pPr>
            <w:r/>
            <w:r>
              <w:rPr>
                <w:rFonts w:ascii="Times New Roman" w:hAnsi="Times New Roman" w:eastAsia="宋体"/>
                <w:b w:val="0"/>
                <w:i/>
                <w:color w:val="1F3864"/>
                <w:sz w:val="17"/>
              </w:rPr>
              <w:t>c</w:t>
            </w:r>
          </w:p>
        </w:tc>
        <w:tc>
          <w:tcPr>
            <w:tcW w:type="dxa" w:w="2324"/>
          </w:tcPr>
          <w:p>
            <w:pPr>
              <w:spacing w:after="20" w:line="276" w:lineRule="auto"/>
            </w:pPr>
            <w:r/>
            <w:r>
              <w:rPr>
                <w:rFonts w:ascii="Times New Roman" w:hAnsi="Times New Roman" w:eastAsia="宋体"/>
                <w:b w:val="0"/>
                <w:i w:val="0"/>
                <w:sz w:val="17"/>
              </w:rPr>
              <w:t>主张（Claim）</w:t>
            </w:r>
          </w:p>
        </w:tc>
        <w:tc>
          <w:tcPr>
            <w:tcW w:type="dxa" w:w="2324"/>
          </w:tcPr>
          <w:p>
            <w:pPr>
              <w:spacing w:after="20" w:line="276" w:lineRule="auto"/>
            </w:pPr>
            <w:r/>
            <w:r>
              <w:rPr>
                <w:rFonts w:ascii="Times New Roman" w:hAnsi="Times New Roman" w:eastAsia="宋体"/>
                <w:b w:val="0"/>
                <w:i w:val="0"/>
                <w:sz w:val="17"/>
              </w:rPr>
              <w:t>主张对象</w:t>
            </w:r>
          </w:p>
        </w:tc>
        <w:tc>
          <w:tcPr>
            <w:tcW w:type="dxa" w:w="2324"/>
          </w:tcPr>
          <w:p>
            <w:pPr>
              <w:spacing w:after="20" w:line="276" w:lineRule="auto"/>
            </w:pPr>
            <w:r/>
            <w:r>
              <w:rPr>
                <w:rFonts w:ascii="Times New Roman" w:hAnsi="Times New Roman" w:eastAsia="宋体"/>
                <w:b w:val="0"/>
                <w:i w:val="0"/>
                <w:sz w:val="17"/>
              </w:rPr>
              <w:t>4.2、4.3</w:t>
            </w:r>
          </w:p>
        </w:tc>
      </w:tr>
      <w:tr>
        <w:tc>
          <w:tcPr>
            <w:tcW w:type="dxa" w:w="2324"/>
          </w:tcPr>
          <w:p>
            <w:pPr>
              <w:spacing w:after="20" w:line="276" w:lineRule="auto"/>
            </w:pPr>
            <w:r/>
            <w:r>
              <w:rPr>
                <w:rFonts w:ascii="Times New Roman" w:hAnsi="Times New Roman" w:eastAsia="宋体"/>
                <w:b w:val="0"/>
                <w:i/>
                <w:color w:val="1F3864"/>
                <w:sz w:val="17"/>
              </w:rPr>
              <w:t>ρ_r</w:t>
            </w:r>
          </w:p>
        </w:tc>
        <w:tc>
          <w:tcPr>
            <w:tcW w:type="dxa" w:w="2324"/>
          </w:tcPr>
          <w:p>
            <w:pPr>
              <w:spacing w:after="20" w:line="276" w:lineRule="auto"/>
            </w:pPr>
            <w:r/>
            <w:r>
              <w:rPr>
                <w:rFonts w:ascii="Times New Roman" w:hAnsi="Times New Roman" w:eastAsia="宋体"/>
                <w:b w:val="0"/>
                <w:i w:val="0"/>
                <w:sz w:val="17"/>
              </w:rPr>
              <w:t xml:space="preserve">主体 </w:t>
            </w:r>
            <w:r>
              <w:rPr>
                <w:rFonts w:ascii="Times New Roman" w:hAnsi="Times New Roman" w:eastAsia="宋体"/>
                <w:b w:val="0"/>
                <w:i/>
                <w:color w:val="1F3864"/>
                <w:sz w:val="17"/>
              </w:rPr>
              <w:t>r</w:t>
            </w:r>
            <w:r>
              <w:rPr>
                <w:rFonts w:ascii="Times New Roman" w:hAnsi="Times New Roman" w:eastAsia="宋体"/>
                <w:b w:val="0"/>
                <w:i w:val="0"/>
                <w:sz w:val="17"/>
              </w:rPr>
              <w:t xml:space="preserve"> 的角色规范</w:t>
            </w:r>
          </w:p>
        </w:tc>
        <w:tc>
          <w:tcPr>
            <w:tcW w:type="dxa" w:w="2324"/>
          </w:tcPr>
          <w:p>
            <w:pPr>
              <w:spacing w:after="20" w:line="276" w:lineRule="auto"/>
            </w:pPr>
            <w:r/>
            <w:r>
              <w:rPr>
                <w:rFonts w:ascii="Times New Roman" w:hAnsi="Times New Roman" w:eastAsia="宋体"/>
                <w:b w:val="0"/>
                <w:i w:val="0"/>
                <w:sz w:val="17"/>
              </w:rPr>
              <w:t>RoleSpec</w:t>
            </w:r>
          </w:p>
        </w:tc>
        <w:tc>
          <w:tcPr>
            <w:tcW w:type="dxa" w:w="2324"/>
          </w:tcPr>
          <w:p>
            <w:pPr>
              <w:spacing w:after="20" w:line="276" w:lineRule="auto"/>
            </w:pPr>
            <w:r/>
            <w:r>
              <w:rPr>
                <w:rFonts w:ascii="Times New Roman" w:hAnsi="Times New Roman" w:eastAsia="宋体"/>
                <w:b w:val="0"/>
                <w:i w:val="0"/>
                <w:sz w:val="17"/>
              </w:rPr>
              <w:t>4.3</w:t>
            </w:r>
          </w:p>
        </w:tc>
      </w:tr>
      <w:tr>
        <w:tc>
          <w:tcPr>
            <w:tcW w:type="dxa" w:w="2324"/>
          </w:tcPr>
          <w:p>
            <w:pPr>
              <w:spacing w:after="20" w:line="276" w:lineRule="auto"/>
            </w:pPr>
            <w:r/>
            <w:r>
              <w:rPr>
                <w:rFonts w:ascii="Times New Roman" w:hAnsi="Times New Roman" w:eastAsia="宋体"/>
                <w:b w:val="0"/>
                <w:i/>
                <w:color w:val="1F3864"/>
                <w:sz w:val="17"/>
              </w:rPr>
              <w:t>I_r,T_r</w:t>
            </w:r>
          </w:p>
        </w:tc>
        <w:tc>
          <w:tcPr>
            <w:tcW w:type="dxa" w:w="2324"/>
          </w:tcPr>
          <w:p>
            <w:pPr>
              <w:spacing w:after="20" w:line="276" w:lineRule="auto"/>
            </w:pPr>
            <w:r/>
            <w:r>
              <w:rPr>
                <w:rFonts w:ascii="Times New Roman" w:hAnsi="Times New Roman" w:eastAsia="宋体"/>
                <w:b w:val="0"/>
                <w:i w:val="0"/>
                <w:sz w:val="17"/>
              </w:rPr>
              <w:t>角色信息权限、工具权限</w:t>
            </w:r>
          </w:p>
        </w:tc>
        <w:tc>
          <w:tcPr>
            <w:tcW w:type="dxa" w:w="2324"/>
          </w:tcPr>
          <w:p>
            <w:pPr>
              <w:spacing w:after="20" w:line="276" w:lineRule="auto"/>
            </w:pPr>
            <w:r/>
            <w:r>
              <w:rPr>
                <w:rFonts w:ascii="Times New Roman" w:hAnsi="Times New Roman" w:eastAsia="宋体"/>
                <w:b w:val="0"/>
                <w:i w:val="0"/>
                <w:sz w:val="17"/>
              </w:rPr>
              <w:t>集合</w:t>
            </w:r>
          </w:p>
        </w:tc>
        <w:tc>
          <w:tcPr>
            <w:tcW w:type="dxa" w:w="2324"/>
          </w:tcPr>
          <w:p>
            <w:pPr>
              <w:spacing w:after="20" w:line="276" w:lineRule="auto"/>
            </w:pPr>
            <w:r/>
            <w:r>
              <w:rPr>
                <w:rFonts w:ascii="Times New Roman" w:hAnsi="Times New Roman" w:eastAsia="宋体"/>
                <w:b w:val="0"/>
                <w:i w:val="0"/>
                <w:sz w:val="17"/>
              </w:rPr>
              <w:t>4.3</w:t>
            </w:r>
          </w:p>
        </w:tc>
      </w:tr>
      <w:tr>
        <w:tc>
          <w:tcPr>
            <w:tcW w:type="dxa" w:w="2324"/>
          </w:tcPr>
          <w:p>
            <w:pPr>
              <w:spacing w:after="20" w:line="276" w:lineRule="auto"/>
            </w:pPr>
            <w:r/>
            <w:r>
              <w:rPr>
                <w:rFonts w:ascii="Times New Roman" w:hAnsi="Times New Roman" w:eastAsia="宋体"/>
                <w:b w:val="0"/>
                <w:i/>
                <w:color w:val="1F3864"/>
                <w:sz w:val="17"/>
              </w:rPr>
              <w:t>Θ_r,λ_r</w:t>
            </w:r>
          </w:p>
        </w:tc>
        <w:tc>
          <w:tcPr>
            <w:tcW w:type="dxa" w:w="2324"/>
          </w:tcPr>
          <w:p>
            <w:pPr>
              <w:spacing w:after="20" w:line="276" w:lineRule="auto"/>
            </w:pPr>
            <w:r/>
            <w:r>
              <w:rPr>
                <w:rFonts w:ascii="Times New Roman" w:hAnsi="Times New Roman" w:eastAsia="宋体"/>
                <w:b w:val="0"/>
                <w:i w:val="0"/>
                <w:sz w:val="17"/>
              </w:rPr>
              <w:t>角色阈值、决策损失权重</w:t>
            </w:r>
          </w:p>
        </w:tc>
        <w:tc>
          <w:tcPr>
            <w:tcW w:type="dxa" w:w="2324"/>
          </w:tcPr>
          <w:p>
            <w:pPr>
              <w:spacing w:after="20" w:line="276" w:lineRule="auto"/>
            </w:pPr>
            <w:r/>
            <w:r>
              <w:rPr>
                <w:rFonts w:ascii="Times New Roman" w:hAnsi="Times New Roman" w:eastAsia="宋体"/>
                <w:b w:val="0"/>
                <w:i w:val="0"/>
                <w:sz w:val="17"/>
              </w:rPr>
              <w:t>字典</w:t>
            </w:r>
          </w:p>
        </w:tc>
        <w:tc>
          <w:tcPr>
            <w:tcW w:type="dxa" w:w="2324"/>
          </w:tcPr>
          <w:p>
            <w:pPr>
              <w:spacing w:after="20" w:line="276" w:lineRule="auto"/>
            </w:pPr>
            <w:r/>
            <w:r>
              <w:rPr>
                <w:rFonts w:ascii="Times New Roman" w:hAnsi="Times New Roman" w:eastAsia="宋体"/>
                <w:b w:val="0"/>
                <w:i w:val="0"/>
                <w:sz w:val="17"/>
              </w:rPr>
              <w:t>4.3</w:t>
            </w:r>
          </w:p>
        </w:tc>
      </w:tr>
      <w:tr>
        <w:tc>
          <w:tcPr>
            <w:tcW w:type="dxa" w:w="2324"/>
          </w:tcPr>
          <w:p>
            <w:pPr>
              <w:spacing w:after="20" w:line="276" w:lineRule="auto"/>
            </w:pPr>
            <w:r/>
            <w:r>
              <w:rPr>
                <w:rFonts w:ascii="Times New Roman" w:hAnsi="Times New Roman" w:eastAsia="宋体"/>
                <w:b w:val="0"/>
                <w:i/>
                <w:color w:val="1F3864"/>
                <w:sz w:val="17"/>
              </w:rPr>
              <w:t>a_r,t</w:t>
            </w:r>
          </w:p>
        </w:tc>
        <w:tc>
          <w:tcPr>
            <w:tcW w:type="dxa" w:w="2324"/>
          </w:tcPr>
          <w:p>
            <w:pPr>
              <w:spacing w:after="20" w:line="276" w:lineRule="auto"/>
            </w:pPr>
            <w:r/>
            <w:r>
              <w:rPr>
                <w:rFonts w:ascii="Times New Roman" w:hAnsi="Times New Roman" w:eastAsia="宋体"/>
                <w:b w:val="0"/>
                <w:i w:val="0"/>
                <w:sz w:val="17"/>
              </w:rPr>
              <w:t xml:space="preserve">角色 </w:t>
            </w:r>
            <w:r>
              <w:rPr>
                <w:rFonts w:ascii="Times New Roman" w:hAnsi="Times New Roman" w:eastAsia="宋体"/>
                <w:b w:val="0"/>
                <w:i/>
                <w:color w:val="1F3864"/>
                <w:sz w:val="17"/>
              </w:rPr>
              <w:t>r</w:t>
            </w:r>
            <w:r>
              <w:rPr>
                <w:rFonts w:ascii="Times New Roman" w:hAnsi="Times New Roman" w:eastAsia="宋体"/>
                <w:b w:val="0"/>
                <w:i w:val="0"/>
                <w:sz w:val="17"/>
              </w:rPr>
              <w:t xml:space="preserve"> 在 </w:t>
            </w:r>
            <w:r>
              <w:rPr>
                <w:rFonts w:ascii="Times New Roman" w:hAnsi="Times New Roman" w:eastAsia="宋体"/>
                <w:b w:val="0"/>
                <w:i/>
                <w:color w:val="1F3864"/>
                <w:sz w:val="17"/>
              </w:rPr>
              <w:t>t</w:t>
            </w:r>
            <w:r>
              <w:rPr>
                <w:rFonts w:ascii="Times New Roman" w:hAnsi="Times New Roman" w:eastAsia="宋体"/>
                <w:b w:val="0"/>
                <w:i w:val="0"/>
                <w:sz w:val="17"/>
              </w:rPr>
              <w:t xml:space="preserve"> 的预警动作</w:t>
            </w:r>
          </w:p>
        </w:tc>
        <w:tc>
          <w:tcPr>
            <w:tcW w:type="dxa" w:w="2324"/>
          </w:tcPr>
          <w:p>
            <w:pPr>
              <w:spacing w:after="20" w:line="276" w:lineRule="auto"/>
            </w:pPr>
            <w:r/>
            <w:r>
              <w:rPr>
                <w:rFonts w:ascii="Times New Roman" w:hAnsi="Times New Roman" w:eastAsia="宋体"/>
                <w:b w:val="0"/>
                <w:i/>
                <w:color w:val="1F3864"/>
                <w:sz w:val="17"/>
              </w:rPr>
              <w:t>0,1</w:t>
            </w:r>
          </w:p>
        </w:tc>
        <w:tc>
          <w:tcPr>
            <w:tcW w:type="dxa" w:w="2324"/>
          </w:tcPr>
          <w:p>
            <w:pPr>
              <w:spacing w:after="20" w:line="276" w:lineRule="auto"/>
            </w:pPr>
            <w:r/>
            <w:r>
              <w:rPr>
                <w:rFonts w:ascii="Times New Roman" w:hAnsi="Times New Roman" w:eastAsia="宋体"/>
                <w:b w:val="0"/>
                <w:i w:val="0"/>
                <w:sz w:val="17"/>
              </w:rPr>
              <w:t>4.3、4.5</w:t>
            </w:r>
          </w:p>
        </w:tc>
      </w:tr>
      <w:tr>
        <w:tc>
          <w:tcPr>
            <w:tcW w:type="dxa" w:w="2324"/>
          </w:tcPr>
          <w:p>
            <w:pPr>
              <w:spacing w:after="20" w:line="276" w:lineRule="auto"/>
            </w:pPr>
            <w:r/>
            <w:r>
              <w:rPr>
                <w:rFonts w:ascii="Times New Roman" w:hAnsi="Times New Roman" w:eastAsia="宋体"/>
                <w:b w:val="0"/>
                <w:i/>
                <w:color w:val="1F3864"/>
                <w:sz w:val="17"/>
              </w:rPr>
              <w:t>L_r</w:t>
            </w:r>
          </w:p>
        </w:tc>
        <w:tc>
          <w:tcPr>
            <w:tcW w:type="dxa" w:w="2324"/>
          </w:tcPr>
          <w:p>
            <w:pPr>
              <w:spacing w:after="20" w:line="276" w:lineRule="auto"/>
            </w:pPr>
            <w:r/>
            <w:r>
              <w:rPr>
                <w:rFonts w:ascii="Times New Roman" w:hAnsi="Times New Roman" w:eastAsia="宋体"/>
                <w:b w:val="0"/>
                <w:i w:val="0"/>
                <w:sz w:val="17"/>
              </w:rPr>
              <w:t xml:space="preserve">角色 </w:t>
            </w:r>
            <w:r>
              <w:rPr>
                <w:rFonts w:ascii="Times New Roman" w:hAnsi="Times New Roman" w:eastAsia="宋体"/>
                <w:b w:val="0"/>
                <w:i/>
                <w:color w:val="1F3864"/>
                <w:sz w:val="17"/>
              </w:rPr>
              <w:t>r</w:t>
            </w:r>
            <w:r>
              <w:rPr>
                <w:rFonts w:ascii="Times New Roman" w:hAnsi="Times New Roman" w:eastAsia="宋体"/>
                <w:b w:val="0"/>
                <w:i w:val="0"/>
                <w:sz w:val="17"/>
              </w:rPr>
              <w:t xml:space="preserve"> 的决策损失</w:t>
            </w:r>
          </w:p>
        </w:tc>
        <w:tc>
          <w:tcPr>
            <w:tcW w:type="dxa" w:w="2324"/>
          </w:tcPr>
          <w:p>
            <w:pPr>
              <w:spacing w:after="20" w:line="276" w:lineRule="auto"/>
            </w:pPr>
            <w:r/>
            <w:r>
              <w:rPr>
                <w:rFonts w:ascii="Times New Roman" w:hAnsi="Times New Roman" w:eastAsia="宋体"/>
                <w:b w:val="0"/>
                <w:i w:val="0"/>
                <w:sz w:val="17"/>
              </w:rPr>
              <w:t>非负实数</w:t>
            </w:r>
          </w:p>
        </w:tc>
        <w:tc>
          <w:tcPr>
            <w:tcW w:type="dxa" w:w="2324"/>
          </w:tcPr>
          <w:p>
            <w:pPr>
              <w:spacing w:after="20" w:line="276" w:lineRule="auto"/>
            </w:pPr>
            <w:r/>
            <w:r>
              <w:rPr>
                <w:rFonts w:ascii="Times New Roman" w:hAnsi="Times New Roman" w:eastAsia="宋体"/>
                <w:b w:val="0"/>
                <w:i w:val="0"/>
                <w:sz w:val="17"/>
              </w:rPr>
              <w:t>4.3、4.4</w:t>
            </w:r>
          </w:p>
        </w:tc>
      </w:tr>
      <w:tr>
        <w:tc>
          <w:tcPr>
            <w:tcW w:type="dxa" w:w="2324"/>
          </w:tcPr>
          <w:p>
            <w:pPr>
              <w:spacing w:after="20" w:line="276" w:lineRule="auto"/>
            </w:pPr>
            <w:r/>
            <w:r>
              <w:rPr>
                <w:rFonts w:ascii="Times New Roman" w:hAnsi="Times New Roman" w:eastAsia="宋体"/>
                <w:b w:val="0"/>
                <w:i/>
                <w:color w:val="1F3864"/>
                <w:sz w:val="17"/>
              </w:rPr>
              <w:t>C</w:t>
            </w:r>
          </w:p>
        </w:tc>
        <w:tc>
          <w:tcPr>
            <w:tcW w:type="dxa" w:w="2324"/>
          </w:tcPr>
          <w:p>
            <w:pPr>
              <w:spacing w:after="20" w:line="276" w:lineRule="auto"/>
            </w:pPr>
            <w:r/>
            <w:r>
              <w:rPr>
                <w:rFonts w:ascii="Times New Roman" w:hAnsi="Times New Roman" w:eastAsia="宋体"/>
                <w:b w:val="0"/>
                <w:i w:val="0"/>
                <w:sz w:val="17"/>
              </w:rPr>
              <w:t>协同成本</w:t>
            </w:r>
          </w:p>
        </w:tc>
        <w:tc>
          <w:tcPr>
            <w:tcW w:type="dxa" w:w="2324"/>
          </w:tcPr>
          <w:p>
            <w:pPr>
              <w:spacing w:after="20" w:line="276" w:lineRule="auto"/>
            </w:pPr>
            <w:r/>
            <w:r>
              <w:rPr>
                <w:rFonts w:ascii="Times New Roman" w:hAnsi="Times New Roman" w:eastAsia="宋体"/>
                <w:b w:val="0"/>
                <w:i w:val="0"/>
                <w:sz w:val="17"/>
              </w:rPr>
              <w:t>非负实数</w:t>
            </w:r>
          </w:p>
        </w:tc>
        <w:tc>
          <w:tcPr>
            <w:tcW w:type="dxa" w:w="2324"/>
          </w:tcPr>
          <w:p>
            <w:pPr>
              <w:spacing w:after="20" w:line="276" w:lineRule="auto"/>
            </w:pPr>
            <w:r/>
            <w:r>
              <w:rPr>
                <w:rFonts w:ascii="Times New Roman" w:hAnsi="Times New Roman" w:eastAsia="宋体"/>
                <w:b w:val="0"/>
                <w:i w:val="0"/>
                <w:sz w:val="17"/>
              </w:rPr>
              <w:t>4.4、4.5</w:t>
            </w:r>
          </w:p>
        </w:tc>
      </w:tr>
      <w:tr>
        <w:tc>
          <w:tcPr>
            <w:tcW w:type="dxa" w:w="2324"/>
          </w:tcPr>
          <w:p>
            <w:pPr>
              <w:spacing w:after="20" w:line="276" w:lineRule="auto"/>
            </w:pPr>
            <w:r/>
            <w:r>
              <w:rPr>
                <w:rFonts w:ascii="Times New Roman" w:hAnsi="Times New Roman" w:eastAsia="宋体"/>
                <w:b w:val="0"/>
                <w:i/>
                <w:color w:val="1F3864"/>
                <w:sz w:val="17"/>
              </w:rPr>
              <w:t>E</w:t>
            </w:r>
          </w:p>
        </w:tc>
        <w:tc>
          <w:tcPr>
            <w:tcW w:type="dxa" w:w="2324"/>
          </w:tcPr>
          <w:p>
            <w:pPr>
              <w:spacing w:after="20" w:line="276" w:lineRule="auto"/>
            </w:pPr>
            <w:r/>
            <w:r>
              <w:rPr>
                <w:rFonts w:ascii="Times New Roman" w:hAnsi="Times New Roman" w:eastAsia="宋体"/>
                <w:b w:val="0"/>
                <w:i w:val="0"/>
                <w:sz w:val="17"/>
              </w:rPr>
              <w:t>评估日集合</w:t>
            </w:r>
          </w:p>
        </w:tc>
        <w:tc>
          <w:tcPr>
            <w:tcW w:type="dxa" w:w="2324"/>
          </w:tcPr>
          <w:p>
            <w:pPr>
              <w:spacing w:after="20" w:line="276" w:lineRule="auto"/>
            </w:pPr>
            <w:r/>
            <w:r>
              <w:rPr>
                <w:rFonts w:ascii="Times New Roman" w:hAnsi="Times New Roman" w:eastAsia="宋体"/>
                <w:b w:val="0"/>
                <w:i w:val="0"/>
                <w:sz w:val="17"/>
              </w:rPr>
              <w:t>交易日集合</w:t>
            </w:r>
          </w:p>
        </w:tc>
        <w:tc>
          <w:tcPr>
            <w:tcW w:type="dxa" w:w="2324"/>
          </w:tcPr>
          <w:p>
            <w:pPr>
              <w:spacing w:after="20" w:line="276" w:lineRule="auto"/>
            </w:pPr>
            <w:r/>
            <w:r>
              <w:rPr>
                <w:rFonts w:ascii="Times New Roman" w:hAnsi="Times New Roman" w:eastAsia="宋体"/>
                <w:b w:val="0"/>
                <w:i w:val="0"/>
                <w:sz w:val="17"/>
              </w:rPr>
              <w:t>4.5</w:t>
            </w:r>
          </w:p>
        </w:tc>
      </w:tr>
      <w:tr>
        <w:tc>
          <w:tcPr>
            <w:tcW w:type="dxa" w:w="2324"/>
          </w:tcPr>
          <w:p>
            <w:pPr>
              <w:spacing w:after="20" w:line="276" w:lineRule="auto"/>
            </w:pPr>
            <w:r/>
            <w:r>
              <w:rPr>
                <w:rFonts w:ascii="Times New Roman" w:hAnsi="Times New Roman" w:eastAsia="宋体"/>
                <w:b w:val="0"/>
                <w:i/>
                <w:color w:val="1F3864"/>
                <w:sz w:val="17"/>
              </w:rPr>
              <w:t>B</w:t>
            </w:r>
          </w:p>
        </w:tc>
        <w:tc>
          <w:tcPr>
            <w:tcW w:type="dxa" w:w="2324"/>
          </w:tcPr>
          <w:p>
            <w:pPr>
              <w:spacing w:after="20" w:line="276" w:lineRule="auto"/>
            </w:pPr>
            <w:r/>
            <w:r>
              <w:rPr>
                <w:rFonts w:ascii="Times New Roman" w:hAnsi="Times New Roman" w:eastAsia="宋体"/>
                <w:b w:val="0"/>
                <w:i w:val="0"/>
                <w:sz w:val="17"/>
              </w:rPr>
              <w:t>重复抽样次数</w:t>
            </w:r>
          </w:p>
        </w:tc>
        <w:tc>
          <w:tcPr>
            <w:tcW w:type="dxa" w:w="2324"/>
          </w:tcPr>
          <w:p>
            <w:pPr>
              <w:spacing w:after="20" w:line="276" w:lineRule="auto"/>
            </w:pPr>
            <w:r/>
            <w:r>
              <w:rPr>
                <w:rFonts w:ascii="Times New Roman" w:hAnsi="Times New Roman" w:eastAsia="宋体"/>
                <w:b w:val="0"/>
                <w:i w:val="0"/>
                <w:sz w:val="17"/>
              </w:rPr>
              <w:t>默认 1000</w:t>
            </w:r>
          </w:p>
        </w:tc>
        <w:tc>
          <w:tcPr>
            <w:tcW w:type="dxa" w:w="2324"/>
          </w:tcPr>
          <w:p>
            <w:pPr>
              <w:spacing w:after="20" w:line="276" w:lineRule="auto"/>
            </w:pPr>
            <w:r/>
            <w:r>
              <w:rPr>
                <w:rFonts w:ascii="Times New Roman" w:hAnsi="Times New Roman" w:eastAsia="宋体"/>
                <w:b w:val="0"/>
                <w:i w:val="0"/>
                <w:sz w:val="17"/>
              </w:rPr>
              <w:t>4.5</w:t>
            </w:r>
          </w:p>
        </w:tc>
      </w:tr>
    </w:tbl>
    <w:p>
      <w:pPr>
        <w:spacing w:after="40"/>
      </w:pPr>
    </w:p>
    <w:p>
      <w:pPr>
        <w:pStyle w:val="Heading3"/>
      </w:pPr>
      <w:r>
        <w:rPr>
          <w:rFonts w:ascii="Times New Roman" w:hAnsi="Times New Roman" w:eastAsia="宋体"/>
          <w:b w:val="0"/>
          <w:i w:val="0"/>
          <w:sz w:val="23"/>
        </w:rPr>
        <w:t>4.0.2 五条设计原则</w:t>
      </w:r>
    </w:p>
    <w:p>
      <w:r>
        <w:rPr>
          <w:rFonts w:ascii="Times New Roman" w:hAnsi="Times New Roman" w:eastAsia="宋体"/>
          <w:b w:val="0"/>
          <w:i w:val="0"/>
          <w:sz w:val="21"/>
        </w:rPr>
        <w:t>为使方法可独立消融、严格比较与复现，本文方法在结构上遵守五条设计原则。五条原则并非工程偏好，而是分别对应论文命题的可检验性条件；违反其中任何一条，都会使相应命题的检验失去解释力。</w:t>
      </w:r>
    </w:p>
    <w:p>
      <w:r>
        <w:rPr>
          <w:rFonts w:ascii="Times New Roman" w:hAnsi="Times New Roman" w:eastAsia="宋体"/>
          <w:b/>
          <w:i w:val="0"/>
          <w:sz w:val="21"/>
        </w:rPr>
        <w:t>原则一：单一风险锚。</w:t>
      </w:r>
      <w:r>
        <w:rPr>
          <w:rFonts w:ascii="Times New Roman" w:hAnsi="Times New Roman" w:eastAsia="宋体"/>
          <w:b w:val="0"/>
          <w:i w:val="0"/>
          <w:sz w:val="21"/>
        </w:rPr>
        <w:t xml:space="preserve"> 三类主体共享同一基础风险信号，角色差异只体现在目标函数、信息权限、工具权限、阈值、输出与决策损失上。该原则保证 P1 与 P3 的可比性：若各角色自行构造风险标签，则主体间差异将混入信号差异，无法区分协同增益与标签差异。实现上，融合预测器输出唯一的 RiskSignal，三份 RiskCard 均通过 </w:t>
      </w:r>
      <w:r>
        <w:rPr>
          <w:rFonts w:ascii="Consolas" w:hAnsi="Consolas" w:eastAsia="Consolas"/>
          <w:b w:val="0"/>
          <w:i w:val="0"/>
          <w:color w:val="8B1E3F"/>
          <w:sz w:val="20"/>
        </w:rPr>
        <w:t>base_signal_ref</w:t>
      </w:r>
      <w:r>
        <w:rPr>
          <w:rFonts w:ascii="Times New Roman" w:hAnsi="Times New Roman" w:eastAsia="宋体"/>
          <w:b w:val="0"/>
          <w:i w:val="0"/>
          <w:sz w:val="21"/>
        </w:rPr>
        <w:t xml:space="preserve"> 引用同一 </w:t>
      </w:r>
      <w:r>
        <w:rPr>
          <w:rFonts w:ascii="Consolas" w:hAnsi="Consolas" w:eastAsia="Consolas"/>
          <w:b w:val="0"/>
          <w:i w:val="0"/>
          <w:color w:val="8B1E3F"/>
          <w:sz w:val="20"/>
        </w:rPr>
        <w:t>evidence_id</w:t>
      </w:r>
      <w:r>
        <w:rPr>
          <w:rFonts w:ascii="Times New Roman" w:hAnsi="Times New Roman" w:eastAsia="宋体"/>
          <w:b w:val="0"/>
          <w:i w:val="0"/>
          <w:sz w:val="21"/>
        </w:rPr>
        <w:t>。</w:t>
      </w:r>
    </w:p>
    <w:p>
      <w:r>
        <w:rPr>
          <w:rFonts w:ascii="Times New Roman" w:hAnsi="Times New Roman" w:eastAsia="宋体"/>
          <w:b/>
          <w:i w:val="0"/>
          <w:sz w:val="21"/>
        </w:rPr>
        <w:t>原则二：数值不由大语言模型生成。</w:t>
      </w:r>
      <w:r>
        <w:rPr>
          <w:rFonts w:ascii="Times New Roman" w:hAnsi="Times New Roman" w:eastAsia="宋体"/>
          <w:b w:val="0"/>
          <w:i w:val="0"/>
          <w:sz w:val="21"/>
        </w:rPr>
        <w:t xml:space="preserve"> 所有进入预警结论的数值均来自版本化的确定性工具或融合预测器；大语言模型只负责任务规划、工具选择、结果解释与跨证据比较。该原则服务 P2：每条数值主张必须绑定工具证据并可重算，从而使数值错误率成为可观测、可优化的指标，而非不可验证的文本质量判断。</w:t>
      </w:r>
    </w:p>
    <w:p>
      <w:r>
        <w:rPr>
          <w:rFonts w:ascii="Times New Roman" w:hAnsi="Times New Roman" w:eastAsia="宋体"/>
          <w:b/>
          <w:i w:val="0"/>
          <w:sz w:val="21"/>
        </w:rPr>
        <w:t>原则三：证据是一等数据结构。</w:t>
      </w:r>
      <w:r>
        <w:rPr>
          <w:rFonts w:ascii="Times New Roman" w:hAnsi="Times New Roman" w:eastAsia="宋体"/>
          <w:b w:val="0"/>
          <w:i w:val="0"/>
          <w:sz w:val="21"/>
        </w:rPr>
        <w:t xml:space="preserve"> 系统以统一的 Evidence 与 Claim 结构承载证据与主张，证据携带来源、发布时间、口径、单位、工具版本与输入哈希。文本证据强制满足 </w:t>
      </w:r>
      <w:r>
        <w:rPr>
          <w:rFonts w:ascii="Consolas" w:hAnsi="Consolas" w:eastAsia="Consolas"/>
          <w:b w:val="0"/>
          <w:i w:val="0"/>
          <w:color w:val="8B1E3F"/>
          <w:sz w:val="20"/>
        </w:rPr>
        <w:t>publish_time &lt;= as_of</w:t>
      </w:r>
      <w:r>
        <w:rPr>
          <w:rFonts w:ascii="Times New Roman" w:hAnsi="Times New Roman" w:eastAsia="宋体"/>
          <w:b w:val="0"/>
          <w:i w:val="0"/>
          <w:sz w:val="21"/>
        </w:rPr>
        <w:t>。该原则既是 P2 引文核验的前提，也是 4.4 冲突仲裁“以证据等级而非角色权威定胜负”的基础。</w:t>
      </w:r>
    </w:p>
    <w:p>
      <w:r>
        <w:rPr>
          <w:rFonts w:ascii="Times New Roman" w:hAnsi="Times New Roman" w:eastAsia="宋体"/>
          <w:b/>
          <w:i w:val="0"/>
          <w:sz w:val="21"/>
        </w:rPr>
        <w:t>原则四：协同是开关式、可消融的模块。</w:t>
      </w:r>
      <w:r>
        <w:rPr>
          <w:rFonts w:ascii="Times New Roman" w:hAnsi="Times New Roman" w:eastAsia="宋体"/>
          <w:b w:val="0"/>
          <w:i w:val="0"/>
          <w:sz w:val="21"/>
        </w:rPr>
        <w:t xml:space="preserve"> 单智能体、三个独立智能体与完整协同系统共享同一代码路径，仅通过实验配置切换；工具调用次数、token 预算与信息集在三个模式间保持一致。该原则使 P3 的协同增益能够被识别为“分工、共享、协调”三类机制的独立贡献，而非资源投入差异的副产品。</w:t>
      </w:r>
    </w:p>
    <w:p>
      <w:r>
        <w:rPr>
          <w:rFonts w:ascii="Times New Roman" w:hAnsi="Times New Roman" w:eastAsia="宋体"/>
          <w:b/>
          <w:i w:val="0"/>
          <w:sz w:val="21"/>
        </w:rPr>
        <w:t>原则五：时点回放是一等公民。</w:t>
      </w:r>
      <w:r>
        <w:rPr>
          <w:rFonts w:ascii="Times New Roman" w:hAnsi="Times New Roman" w:eastAsia="宋体"/>
          <w:b w:val="0"/>
          <w:i w:val="0"/>
          <w:sz w:val="21"/>
        </w:rPr>
        <w:t xml:space="preserve"> 所有数据访问统一经由带 </w:t>
      </w:r>
      <w:r>
        <w:rPr>
          <w:rFonts w:ascii="Consolas" w:hAnsi="Consolas" w:eastAsia="Consolas"/>
          <w:b w:val="0"/>
          <w:i w:val="0"/>
          <w:color w:val="8B1E3F"/>
          <w:sz w:val="20"/>
        </w:rPr>
        <w:t>as_of</w:t>
      </w:r>
      <w:r>
        <w:rPr>
          <w:rFonts w:ascii="Times New Roman" w:hAnsi="Times New Roman" w:eastAsia="宋体"/>
          <w:b w:val="0"/>
          <w:i w:val="0"/>
          <w:sz w:val="21"/>
        </w:rPr>
        <w:t xml:space="preserve"> 参数的时点接口完成，滚动重训按固定频率执行，文本检索在知识与数据两层分别做时点过滤。该原则使 5.1 时点回放与 6.4 稳健性分析可复现，并把“未来信息泄漏”转化为可计数事件。</w:t>
      </w:r>
    </w:p>
    <w:p>
      <w:pPr>
        <w:pStyle w:val="Heading3"/>
      </w:pPr>
      <w:r>
        <w:rPr>
          <w:rFonts w:ascii="Times New Roman" w:hAnsi="Times New Roman" w:eastAsia="宋体"/>
          <w:b w:val="0"/>
          <w:i w:val="0"/>
          <w:sz w:val="23"/>
        </w:rPr>
        <w:t>4.0.3 总体架构</w:t>
      </w:r>
    </w:p>
    <w:p>
      <w:r>
        <w:rPr>
          <w:rFonts w:ascii="Times New Roman" w:hAnsi="Times New Roman" w:eastAsia="宋体"/>
          <w:b w:val="0"/>
          <w:i w:val="0"/>
          <w:sz w:val="21"/>
        </w:rPr>
        <w:t>方法的总体架构由六个功能层与两条横切机制构成（图 4-1）。L1 数据与时点层负责采集、清洗、对齐与点对点存储，承载信息可得性约束；L2 多模态融合层由数值与文本分支构成，输出带归因的共享风险信号；L3 知识与工具层提供时点过滤的知识库检索与确定性金融工具，是数值与引文的唯一来源；L4 智能体层以同一 Agent Loop、不同 RoleSpec 实例化监管、投资与融资三类智能体；L5 协同编排层负责证据黑板、R0–R5 协同轮次、冲突仲裁与人工接管；L6 决策支持层把决策卡转化为可审查简报与驾驶台界面。</w:t>
      </w:r>
    </w:p>
    <w:p>
      <w:r>
        <w:rPr>
          <w:rFonts w:ascii="Times New Roman" w:hAnsi="Times New Roman" w:eastAsia="宋体"/>
          <w:b w:val="0"/>
          <w:i w:val="0"/>
          <w:sz w:val="21"/>
        </w:rPr>
        <w:t>两条横切机制贯穿所有层：横切 A（验证与审计）实施数值核验、引文溯源、时点核验、越权阻断、schema 校验与审计留痕，是 P2 指标的运行时来源；横切 B（实验与评估）负责配置化消融、时点回放、指标计算、统计检验与运行注册表，是第五章实验设计的软件化表达。</w:t>
      </w:r>
    </w:p>
    <w:p>
      <w:pPr>
        <w:jc w:val="center"/>
      </w:pPr>
      <w:r>
        <w:drawing>
          <wp:inline xmlns:a="http://schemas.openxmlformats.org/drawingml/2006/main" xmlns:pic="http://schemas.openxmlformats.org/drawingml/2006/picture">
            <wp:extent cx="5760000" cy="12142080"/>
            <wp:docPr id="1" name="Picture 1"/>
            <wp:cNvGraphicFramePr>
              <a:graphicFrameLocks noChangeAspect="1"/>
            </wp:cNvGraphicFramePr>
            <a:graphic>
              <a:graphicData uri="http://schemas.openxmlformats.org/drawingml/2006/picture">
                <pic:pic>
                  <pic:nvPicPr>
                    <pic:cNvPr id="0" name="fig_01.png"/>
                    <pic:cNvPicPr/>
                  </pic:nvPicPr>
                  <pic:blipFill>
                    <a:blip r:embed="rId10"/>
                    <a:stretch>
                      <a:fillRect/>
                    </a:stretch>
                  </pic:blipFill>
                  <pic:spPr>
                    <a:xfrm>
                      <a:off x="0" y="0"/>
                      <a:ext cx="5760000" cy="12142080"/>
                    </a:xfrm>
                    <a:prstGeom prst="rect"/>
                  </pic:spPr>
                </pic:pic>
              </a:graphicData>
            </a:graphic>
          </wp:inline>
        </w:drawing>
      </w:r>
    </w:p>
    <w:p>
      <w:pPr>
        <w:spacing w:after="160"/>
        <w:jc w:val="center"/>
      </w:pPr>
      <w:r>
        <w:rPr>
          <w:rFonts w:ascii="Times New Roman" w:hAnsi="Times New Roman" w:eastAsia="宋体"/>
          <w:b/>
          <w:i w:val="0"/>
          <w:color w:val="1F3864"/>
          <w:sz w:val="19"/>
        </w:rPr>
        <w:t>图 4-1 CBR-MAW 总体架构（六层两横切）</w:t>
      </w:r>
    </w:p>
    <w:p>
      <w:r>
        <w:rPr>
          <w:rFonts w:ascii="Times New Roman" w:hAnsi="Times New Roman" w:eastAsia="宋体"/>
          <w:b w:val="0"/>
          <w:i w:val="0"/>
          <w:sz w:val="21"/>
        </w:rPr>
        <w:t>需要强调的是，图 4-1 中箭头的方向表达的是“依赖”而非“替换”：L5 的协调机制可以要求补充证据、发起重算或升级人工，但不能覆盖工具输出的确定性数值；L6 的界面可以改变呈现方式，但不能改变证据内容。这一约束把“可解释”落实为“可追溯、可重算、可审计”，而非停留于自然语言说明的层面。</w:t>
      </w:r>
    </w:p>
    <w:p>
      <w:pPr>
        <w:pStyle w:val="Heading3"/>
      </w:pPr>
      <w:r>
        <w:rPr>
          <w:rFonts w:ascii="Times New Roman" w:hAnsi="Times New Roman" w:eastAsia="宋体"/>
          <w:b w:val="0"/>
          <w:i w:val="0"/>
          <w:sz w:val="23"/>
        </w:rPr>
        <w:t>4.0.4 方法—命题—实验的对应关系</w:t>
      </w:r>
    </w:p>
    <w:p>
      <w:pPr>
        <w:keepNext/>
        <w:spacing w:before="120" w:after="40"/>
        <w:jc w:val="center"/>
      </w:pPr>
      <w:r>
        <w:rPr>
          <w:rFonts w:ascii="Times New Roman" w:hAnsi="Times New Roman" w:eastAsia="宋体"/>
          <w:b/>
          <w:i w:val="0"/>
          <w:color w:val="1F3864"/>
          <w:sz w:val="19"/>
        </w:rPr>
        <w:t>表 4-2 方法模块、研究命题与实验检验的对应关系</w:t>
      </w:r>
    </w:p>
    <w:tbl>
      <w:tblPr>
        <w:tblStyle w:val="TableGrid"/>
        <w:tblW w:type="auto" w:w="0"/>
        <w:jc w:val="center"/>
        <w:tblLayout w:type="autofit"/>
        <w:tblLook w:firstColumn="1" w:firstRow="1" w:lastColumn="0" w:lastRow="0" w:noHBand="0" w:noVBand="1" w:val="04A0"/>
      </w:tblPr>
      <w:tblGrid>
        <w:gridCol w:w="1328"/>
        <w:gridCol w:w="1328"/>
        <w:gridCol w:w="1328"/>
        <w:gridCol w:w="1328"/>
        <w:gridCol w:w="1328"/>
        <w:gridCol w:w="1328"/>
        <w:gridCol w:w="1328"/>
      </w:tblGrid>
      <w:tr>
        <w:tc>
          <w:tcPr>
            <w:tcW w:type="dxa" w:w="1328"/>
          </w:tcPr>
          <w:p>
            <w:pPr>
              <w:spacing w:after="20" w:line="276" w:lineRule="auto"/>
            </w:pPr>
            <w:r>
              <w:rPr>
                <w:b/>
              </w:rPr>
            </w:r>
            <w:r>
              <w:rPr>
                <w:rFonts w:ascii="Times New Roman" w:hAnsi="Times New Roman" w:eastAsia="宋体"/>
                <w:b/>
                <w:i w:val="0"/>
                <w:sz w:val="17"/>
              </w:rPr>
              <w:t>方法模块</w:t>
            </w:r>
          </w:p>
        </w:tc>
        <w:tc>
          <w:tcPr>
            <w:tcW w:type="dxa" w:w="1328"/>
          </w:tcPr>
          <w:p>
            <w:pPr>
              <w:spacing w:after="20" w:line="276" w:lineRule="auto"/>
            </w:pPr>
            <w:r>
              <w:rPr>
                <w:b/>
              </w:rPr>
            </w:r>
            <w:r>
              <w:rPr>
                <w:rFonts w:ascii="Times New Roman" w:hAnsi="Times New Roman" w:eastAsia="宋体"/>
                <w:b/>
                <w:i w:val="0"/>
                <w:sz w:val="17"/>
              </w:rPr>
              <w:t>关键设计</w:t>
            </w:r>
          </w:p>
        </w:tc>
        <w:tc>
          <w:tcPr>
            <w:tcW w:type="dxa" w:w="1328"/>
          </w:tcPr>
          <w:p>
            <w:pPr>
              <w:spacing w:after="20" w:line="276" w:lineRule="auto"/>
            </w:pPr>
            <w:r>
              <w:rPr>
                <w:b/>
              </w:rPr>
            </w:r>
            <w:r>
              <w:rPr>
                <w:rFonts w:ascii="Times New Roman" w:hAnsi="Times New Roman" w:eastAsia="宋体"/>
                <w:b/>
                <w:i w:val="0"/>
                <w:sz w:val="17"/>
              </w:rPr>
              <w:t>命题</w:t>
            </w:r>
          </w:p>
        </w:tc>
        <w:tc>
          <w:tcPr>
            <w:tcW w:type="dxa" w:w="1328"/>
          </w:tcPr>
          <w:p>
            <w:pPr>
              <w:spacing w:after="20" w:line="276" w:lineRule="auto"/>
            </w:pPr>
            <w:r>
              <w:rPr>
                <w:b/>
              </w:rPr>
            </w:r>
            <w:r>
              <w:rPr>
                <w:rFonts w:ascii="Times New Roman" w:hAnsi="Times New Roman" w:eastAsia="宋体"/>
                <w:b/>
                <w:i w:val="0"/>
                <w:sz w:val="17"/>
              </w:rPr>
              <w:t>可检验含义（预期方向，待实验）</w:t>
            </w:r>
          </w:p>
        </w:tc>
        <w:tc>
          <w:tcPr>
            <w:tcW w:type="dxa" w:w="1328"/>
          </w:tcPr>
          <w:p>
            <w:pPr>
              <w:spacing w:after="20" w:line="276" w:lineRule="auto"/>
            </w:pPr>
            <w:r>
              <w:rPr>
                <w:b/>
              </w:rPr>
            </w:r>
            <w:r>
              <w:rPr>
                <w:rFonts w:ascii="Times New Roman" w:hAnsi="Times New Roman" w:eastAsia="宋体"/>
                <w:b/>
                <w:i w:val="0"/>
                <w:sz w:val="17"/>
              </w:rPr>
              <w:t>实验配置</w:t>
            </w:r>
          </w:p>
        </w:tc>
        <w:tc>
          <w:tcPr>
            <w:tcW w:type="dxa" w:w="1328"/>
          </w:tcPr>
          <w:p>
            <w:pPr>
              <w:spacing w:after="20" w:line="276" w:lineRule="auto"/>
            </w:pPr>
            <w:r>
              <w:rPr>
                <w:b/>
              </w:rPr>
            </w:r>
            <w:r>
              <w:rPr>
                <w:rFonts w:ascii="Times New Roman" w:hAnsi="Times New Roman" w:eastAsia="宋体"/>
                <w:b/>
                <w:i w:val="0"/>
                <w:sz w:val="17"/>
              </w:rPr>
              <w:t>实验章节</w:t>
            </w:r>
          </w:p>
        </w:tc>
        <w:tc>
          <w:tcPr>
            <w:tcW w:type="dxa" w:w="1328"/>
          </w:tcPr>
          <w:p>
            <w:pPr>
              <w:spacing w:after="20" w:line="276" w:lineRule="auto"/>
            </w:pPr>
            <w:r>
              <w:rPr>
                <w:b/>
              </w:rPr>
            </w:r>
            <w:r>
              <w:rPr>
                <w:rFonts w:ascii="Times New Roman" w:hAnsi="Times New Roman" w:eastAsia="宋体"/>
                <w:b/>
                <w:i w:val="0"/>
                <w:sz w:val="17"/>
              </w:rPr>
              <w:t>核心指标</w:t>
            </w:r>
          </w:p>
        </w:tc>
      </w:tr>
      <w:tr>
        <w:tc>
          <w:tcPr>
            <w:tcW w:type="dxa" w:w="1328"/>
          </w:tcPr>
          <w:p>
            <w:pPr>
              <w:spacing w:after="20" w:line="276" w:lineRule="auto"/>
            </w:pPr>
            <w:r/>
            <w:r>
              <w:rPr>
                <w:rFonts w:ascii="Times New Roman" w:hAnsi="Times New Roman" w:eastAsia="宋体"/>
                <w:b w:val="0"/>
                <w:i w:val="0"/>
                <w:sz w:val="17"/>
              </w:rPr>
              <w:t>4.1 多模态融合</w:t>
            </w:r>
          </w:p>
        </w:tc>
        <w:tc>
          <w:tcPr>
            <w:tcW w:type="dxa" w:w="1328"/>
          </w:tcPr>
          <w:p>
            <w:pPr>
              <w:spacing w:after="20" w:line="276" w:lineRule="auto"/>
            </w:pPr>
            <w:r/>
            <w:r>
              <w:rPr>
                <w:rFonts w:ascii="Times New Roman" w:hAnsi="Times New Roman" w:eastAsia="宋体"/>
                <w:b w:val="0"/>
                <w:i w:val="0"/>
                <w:sz w:val="17"/>
              </w:rPr>
              <w:t>数值与文本时点对齐、融合预测器、模态归因</w:t>
            </w:r>
          </w:p>
        </w:tc>
        <w:tc>
          <w:tcPr>
            <w:tcW w:type="dxa" w:w="1328"/>
          </w:tcPr>
          <w:p>
            <w:pPr>
              <w:spacing w:after="20" w:line="276" w:lineRule="auto"/>
            </w:pPr>
            <w:r/>
            <w:r>
              <w:rPr>
                <w:rFonts w:ascii="Times New Roman" w:hAnsi="Times New Roman" w:eastAsia="宋体"/>
                <w:b w:val="0"/>
                <w:i w:val="0"/>
                <w:sz w:val="17"/>
              </w:rPr>
              <w:t>P1</w:t>
            </w:r>
          </w:p>
        </w:tc>
        <w:tc>
          <w:tcPr>
            <w:tcW w:type="dxa" w:w="1328"/>
          </w:tcPr>
          <w:p>
            <w:pPr>
              <w:spacing w:after="20" w:line="276" w:lineRule="auto"/>
            </w:pPr>
            <w:r/>
            <w:r>
              <w:rPr>
                <w:rFonts w:ascii="Times New Roman" w:hAnsi="Times New Roman" w:eastAsia="宋体"/>
                <w:b w:val="0"/>
                <w:i w:val="0"/>
                <w:sz w:val="17"/>
              </w:rPr>
              <w:t>文本模态在数值基础上提供样本外增量</w:t>
            </w:r>
          </w:p>
        </w:tc>
        <w:tc>
          <w:tcPr>
            <w:tcW w:type="dxa" w:w="1328"/>
          </w:tcPr>
          <w:p>
            <w:pPr>
              <w:spacing w:after="20" w:line="276" w:lineRule="auto"/>
            </w:pPr>
            <w:r/>
            <w:r>
              <w:rPr>
                <w:rFonts w:ascii="Times New Roman" w:hAnsi="Times New Roman" w:eastAsia="宋体"/>
                <w:b w:val="0"/>
                <w:i w:val="0"/>
                <w:sz w:val="17"/>
              </w:rPr>
              <w:t>E1 numeric-only / E2 numeric+text</w:t>
            </w:r>
          </w:p>
        </w:tc>
        <w:tc>
          <w:tcPr>
            <w:tcW w:type="dxa" w:w="1328"/>
          </w:tcPr>
          <w:p>
            <w:pPr>
              <w:spacing w:after="20" w:line="276" w:lineRule="auto"/>
            </w:pPr>
            <w:r/>
            <w:r>
              <w:rPr>
                <w:rFonts w:ascii="Times New Roman" w:hAnsi="Times New Roman" w:eastAsia="宋体"/>
                <w:b w:val="0"/>
                <w:i w:val="0"/>
                <w:sz w:val="17"/>
              </w:rPr>
              <w:t>5.1、5.2、6.1</w:t>
            </w:r>
          </w:p>
        </w:tc>
        <w:tc>
          <w:tcPr>
            <w:tcW w:type="dxa" w:w="1328"/>
          </w:tcPr>
          <w:p>
            <w:pPr>
              <w:spacing w:after="20" w:line="276" w:lineRule="auto"/>
            </w:pPr>
            <w:r/>
            <w:r>
              <w:rPr>
                <w:rFonts w:ascii="Times New Roman" w:hAnsi="Times New Roman" w:eastAsia="宋体"/>
                <w:b w:val="0"/>
                <w:i w:val="0"/>
                <w:sz w:val="17"/>
              </w:rPr>
              <w:t>PR-AUC、top-decile 召回、Brier、ECE、预警提前期</w:t>
            </w:r>
          </w:p>
        </w:tc>
      </w:tr>
      <w:tr>
        <w:tc>
          <w:tcPr>
            <w:tcW w:type="dxa" w:w="1328"/>
          </w:tcPr>
          <w:p>
            <w:pPr>
              <w:spacing w:after="20" w:line="276" w:lineRule="auto"/>
            </w:pPr>
            <w:r/>
            <w:r>
              <w:rPr>
                <w:rFonts w:ascii="Times New Roman" w:hAnsi="Times New Roman" w:eastAsia="宋体"/>
                <w:b w:val="0"/>
                <w:i w:val="0"/>
                <w:sz w:val="17"/>
              </w:rPr>
              <w:t>4.2 知识增强</w:t>
            </w:r>
          </w:p>
        </w:tc>
        <w:tc>
          <w:tcPr>
            <w:tcW w:type="dxa" w:w="1328"/>
          </w:tcPr>
          <w:p>
            <w:pPr>
              <w:spacing w:after="20" w:line="276" w:lineRule="auto"/>
            </w:pPr>
            <w:r/>
            <w:r>
              <w:rPr>
                <w:rFonts w:ascii="Times New Roman" w:hAnsi="Times New Roman" w:eastAsia="宋体"/>
                <w:b w:val="0"/>
                <w:i w:val="0"/>
                <w:sz w:val="17"/>
              </w:rPr>
              <w:t>时点知识库、chunk 引文链、RAG</w:t>
            </w:r>
          </w:p>
        </w:tc>
        <w:tc>
          <w:tcPr>
            <w:tcW w:type="dxa" w:w="1328"/>
          </w:tcPr>
          <w:p>
            <w:pPr>
              <w:spacing w:after="20" w:line="276" w:lineRule="auto"/>
            </w:pPr>
            <w:r/>
            <w:r>
              <w:rPr>
                <w:rFonts w:ascii="Times New Roman" w:hAnsi="Times New Roman" w:eastAsia="宋体"/>
                <w:b w:val="0"/>
                <w:i w:val="0"/>
                <w:sz w:val="17"/>
              </w:rPr>
              <w:t>P2</w:t>
            </w:r>
          </w:p>
        </w:tc>
        <w:tc>
          <w:tcPr>
            <w:tcW w:type="dxa" w:w="1328"/>
          </w:tcPr>
          <w:p>
            <w:pPr>
              <w:spacing w:after="20" w:line="276" w:lineRule="auto"/>
            </w:pPr>
            <w:r/>
            <w:r>
              <w:rPr>
                <w:rFonts w:ascii="Times New Roman" w:hAnsi="Times New Roman" w:eastAsia="宋体"/>
                <w:b w:val="0"/>
                <w:i w:val="0"/>
                <w:sz w:val="17"/>
              </w:rPr>
              <w:t>降低无依据断言、提高证据准确率</w:t>
            </w:r>
          </w:p>
        </w:tc>
        <w:tc>
          <w:tcPr>
            <w:tcW w:type="dxa" w:w="1328"/>
          </w:tcPr>
          <w:p>
            <w:pPr>
              <w:spacing w:after="20" w:line="276" w:lineRule="auto"/>
            </w:pPr>
            <w:r/>
            <w:r>
              <w:rPr>
                <w:rFonts w:ascii="Times New Roman" w:hAnsi="Times New Roman" w:eastAsia="宋体"/>
                <w:b w:val="0"/>
                <w:i w:val="0"/>
                <w:sz w:val="17"/>
              </w:rPr>
              <w:t>E3 基础模型 / E4 +RAG</w:t>
            </w:r>
          </w:p>
        </w:tc>
        <w:tc>
          <w:tcPr>
            <w:tcW w:type="dxa" w:w="1328"/>
          </w:tcPr>
          <w:p>
            <w:pPr>
              <w:spacing w:after="20" w:line="276" w:lineRule="auto"/>
            </w:pPr>
            <w:r/>
            <w:r>
              <w:rPr>
                <w:rFonts w:ascii="Times New Roman" w:hAnsi="Times New Roman" w:eastAsia="宋体"/>
                <w:b w:val="0"/>
                <w:i w:val="0"/>
                <w:sz w:val="17"/>
              </w:rPr>
              <w:t>5.2、5.3、6.2</w:t>
            </w:r>
          </w:p>
        </w:tc>
        <w:tc>
          <w:tcPr>
            <w:tcW w:type="dxa" w:w="1328"/>
          </w:tcPr>
          <w:p>
            <w:pPr>
              <w:spacing w:after="20" w:line="276" w:lineRule="auto"/>
            </w:pPr>
            <w:r/>
            <w:r>
              <w:rPr>
                <w:rFonts w:ascii="Times New Roman" w:hAnsi="Times New Roman" w:eastAsia="宋体"/>
                <w:b w:val="0"/>
                <w:i w:val="0"/>
                <w:sz w:val="17"/>
              </w:rPr>
              <w:t>无依据断言率、证据准确率</w:t>
            </w:r>
          </w:p>
        </w:tc>
      </w:tr>
      <w:tr>
        <w:tc>
          <w:tcPr>
            <w:tcW w:type="dxa" w:w="1328"/>
          </w:tcPr>
          <w:p>
            <w:pPr>
              <w:spacing w:after="20" w:line="276" w:lineRule="auto"/>
            </w:pPr>
            <w:r/>
            <w:r>
              <w:rPr>
                <w:rFonts w:ascii="Times New Roman" w:hAnsi="Times New Roman" w:eastAsia="宋体"/>
                <w:b w:val="0"/>
                <w:i w:val="0"/>
                <w:sz w:val="17"/>
              </w:rPr>
              <w:t>4.2 工具增强</w:t>
            </w:r>
          </w:p>
        </w:tc>
        <w:tc>
          <w:tcPr>
            <w:tcW w:type="dxa" w:w="1328"/>
          </w:tcPr>
          <w:p>
            <w:pPr>
              <w:spacing w:after="20" w:line="276" w:lineRule="auto"/>
            </w:pPr>
            <w:r/>
            <w:r>
              <w:rPr>
                <w:rFonts w:ascii="Times New Roman" w:hAnsi="Times New Roman" w:eastAsia="宋体"/>
                <w:b w:val="0"/>
                <w:i w:val="0"/>
                <w:sz w:val="17"/>
              </w:rPr>
              <w:t>确定性工具契约、权限矩阵、数值核验</w:t>
            </w:r>
          </w:p>
        </w:tc>
        <w:tc>
          <w:tcPr>
            <w:tcW w:type="dxa" w:w="1328"/>
          </w:tcPr>
          <w:p>
            <w:pPr>
              <w:spacing w:after="20" w:line="276" w:lineRule="auto"/>
            </w:pPr>
            <w:r/>
            <w:r>
              <w:rPr>
                <w:rFonts w:ascii="Times New Roman" w:hAnsi="Times New Roman" w:eastAsia="宋体"/>
                <w:b w:val="0"/>
                <w:i w:val="0"/>
                <w:sz w:val="17"/>
              </w:rPr>
              <w:t>P2</w:t>
            </w:r>
          </w:p>
        </w:tc>
        <w:tc>
          <w:tcPr>
            <w:tcW w:type="dxa" w:w="1328"/>
          </w:tcPr>
          <w:p>
            <w:pPr>
              <w:spacing w:after="20" w:line="276" w:lineRule="auto"/>
            </w:pPr>
            <w:r/>
            <w:r>
              <w:rPr>
                <w:rFonts w:ascii="Times New Roman" w:hAnsi="Times New Roman" w:eastAsia="宋体"/>
                <w:b w:val="0"/>
                <w:i w:val="0"/>
                <w:sz w:val="17"/>
              </w:rPr>
              <w:t>降低数值错误，越权调用被阻断</w:t>
            </w:r>
          </w:p>
        </w:tc>
        <w:tc>
          <w:tcPr>
            <w:tcW w:type="dxa" w:w="1328"/>
          </w:tcPr>
          <w:p>
            <w:pPr>
              <w:spacing w:after="20" w:line="276" w:lineRule="auto"/>
            </w:pPr>
            <w:r/>
            <w:r>
              <w:rPr>
                <w:rFonts w:ascii="Times New Roman" w:hAnsi="Times New Roman" w:eastAsia="宋体"/>
                <w:b w:val="0"/>
                <w:i w:val="0"/>
                <w:sz w:val="17"/>
              </w:rPr>
              <w:t>E3 / E5 +工具 / E6 +RAG+工具</w:t>
            </w:r>
          </w:p>
        </w:tc>
        <w:tc>
          <w:tcPr>
            <w:tcW w:type="dxa" w:w="1328"/>
          </w:tcPr>
          <w:p>
            <w:pPr>
              <w:spacing w:after="20" w:line="276" w:lineRule="auto"/>
            </w:pPr>
            <w:r/>
            <w:r>
              <w:rPr>
                <w:rFonts w:ascii="Times New Roman" w:hAnsi="Times New Roman" w:eastAsia="宋体"/>
                <w:b w:val="0"/>
                <w:i w:val="0"/>
                <w:sz w:val="17"/>
              </w:rPr>
              <w:t>5.2、5.3、6.2</w:t>
            </w:r>
          </w:p>
        </w:tc>
        <w:tc>
          <w:tcPr>
            <w:tcW w:type="dxa" w:w="1328"/>
          </w:tcPr>
          <w:p>
            <w:pPr>
              <w:spacing w:after="20" w:line="276" w:lineRule="auto"/>
            </w:pPr>
            <w:r/>
            <w:r>
              <w:rPr>
                <w:rFonts w:ascii="Times New Roman" w:hAnsi="Times New Roman" w:eastAsia="宋体"/>
                <w:b w:val="0"/>
                <w:i w:val="0"/>
                <w:sz w:val="17"/>
              </w:rPr>
              <w:t>数值错误率、越权阻断次数、schema 失败率</w:t>
            </w:r>
          </w:p>
        </w:tc>
      </w:tr>
      <w:tr>
        <w:tc>
          <w:tcPr>
            <w:tcW w:type="dxa" w:w="1328"/>
          </w:tcPr>
          <w:p>
            <w:pPr>
              <w:spacing w:after="20" w:line="276" w:lineRule="auto"/>
            </w:pPr>
            <w:r/>
            <w:r>
              <w:rPr>
                <w:rFonts w:ascii="Times New Roman" w:hAnsi="Times New Roman" w:eastAsia="宋体"/>
                <w:b w:val="0"/>
                <w:i w:val="0"/>
                <w:sz w:val="17"/>
              </w:rPr>
              <w:t>4.3 专业化分工</w:t>
            </w:r>
          </w:p>
        </w:tc>
        <w:tc>
          <w:tcPr>
            <w:tcW w:type="dxa" w:w="1328"/>
          </w:tcPr>
          <w:p>
            <w:pPr>
              <w:spacing w:after="20" w:line="276" w:lineRule="auto"/>
            </w:pPr>
            <w:r/>
            <w:r>
              <w:rPr>
                <w:rFonts w:ascii="Times New Roman" w:hAnsi="Times New Roman" w:eastAsia="宋体"/>
                <w:b w:val="0"/>
                <w:i w:val="0"/>
                <w:sz w:val="17"/>
              </w:rPr>
              <w:t>三份 RoleSpec、差异化目标与权限</w:t>
            </w:r>
          </w:p>
        </w:tc>
        <w:tc>
          <w:tcPr>
            <w:tcW w:type="dxa" w:w="1328"/>
          </w:tcPr>
          <w:p>
            <w:pPr>
              <w:spacing w:after="20" w:line="276" w:lineRule="auto"/>
            </w:pPr>
            <w:r/>
            <w:r>
              <w:rPr>
                <w:rFonts w:ascii="Times New Roman" w:hAnsi="Times New Roman" w:eastAsia="宋体"/>
                <w:b w:val="0"/>
                <w:i w:val="0"/>
                <w:sz w:val="17"/>
              </w:rPr>
              <w:t>P3 基础</w:t>
            </w:r>
          </w:p>
        </w:tc>
        <w:tc>
          <w:tcPr>
            <w:tcW w:type="dxa" w:w="1328"/>
          </w:tcPr>
          <w:p>
            <w:pPr>
              <w:spacing w:after="20" w:line="276" w:lineRule="auto"/>
            </w:pPr>
            <w:r/>
            <w:r>
              <w:rPr>
                <w:rFonts w:ascii="Times New Roman" w:hAnsi="Times New Roman" w:eastAsia="宋体"/>
                <w:b w:val="0"/>
                <w:i w:val="0"/>
                <w:sz w:val="17"/>
              </w:rPr>
              <w:t>单一通用体难以同时满足三类目标</w:t>
            </w:r>
          </w:p>
        </w:tc>
        <w:tc>
          <w:tcPr>
            <w:tcW w:type="dxa" w:w="1328"/>
          </w:tcPr>
          <w:p>
            <w:pPr>
              <w:spacing w:after="20" w:line="276" w:lineRule="auto"/>
            </w:pPr>
            <w:r/>
            <w:r>
              <w:rPr>
                <w:rFonts w:ascii="Times New Roman" w:hAnsi="Times New Roman" w:eastAsia="宋体"/>
                <w:b w:val="0"/>
                <w:i w:val="0"/>
                <w:sz w:val="17"/>
              </w:rPr>
              <w:t>E6 单智能体 / E7 三独立体 / E8 伪分工 / E9 协同体</w:t>
            </w:r>
          </w:p>
        </w:tc>
        <w:tc>
          <w:tcPr>
            <w:tcW w:type="dxa" w:w="1328"/>
          </w:tcPr>
          <w:p>
            <w:pPr>
              <w:spacing w:after="20" w:line="276" w:lineRule="auto"/>
            </w:pPr>
            <w:r/>
            <w:r>
              <w:rPr>
                <w:rFonts w:ascii="Times New Roman" w:hAnsi="Times New Roman" w:eastAsia="宋体"/>
                <w:b w:val="0"/>
                <w:i w:val="0"/>
                <w:sz w:val="17"/>
              </w:rPr>
              <w:t>5.2、6.3</w:t>
            </w:r>
          </w:p>
        </w:tc>
        <w:tc>
          <w:tcPr>
            <w:tcW w:type="dxa" w:w="1328"/>
          </w:tcPr>
          <w:p>
            <w:pPr>
              <w:spacing w:after="20" w:line="276" w:lineRule="auto"/>
            </w:pPr>
            <w:r/>
            <w:r>
              <w:rPr>
                <w:rFonts w:ascii="Times New Roman" w:hAnsi="Times New Roman" w:eastAsia="宋体"/>
                <w:b w:val="0"/>
                <w:i w:val="0"/>
                <w:sz w:val="17"/>
              </w:rPr>
              <w:t>任务完成率、主体决策损失</w:t>
            </w:r>
          </w:p>
        </w:tc>
      </w:tr>
      <w:tr>
        <w:tc>
          <w:tcPr>
            <w:tcW w:type="dxa" w:w="1328"/>
          </w:tcPr>
          <w:p>
            <w:pPr>
              <w:spacing w:after="20" w:line="276" w:lineRule="auto"/>
            </w:pPr>
            <w:r/>
            <w:r>
              <w:rPr>
                <w:rFonts w:ascii="Times New Roman" w:hAnsi="Times New Roman" w:eastAsia="宋体"/>
                <w:b w:val="0"/>
                <w:i w:val="0"/>
                <w:sz w:val="17"/>
              </w:rPr>
              <w:t>4.4 证据共享</w:t>
            </w:r>
          </w:p>
        </w:tc>
        <w:tc>
          <w:tcPr>
            <w:tcW w:type="dxa" w:w="1328"/>
          </w:tcPr>
          <w:p>
            <w:pPr>
              <w:spacing w:after="20" w:line="276" w:lineRule="auto"/>
            </w:pPr>
            <w:r/>
            <w:r>
              <w:rPr>
                <w:rFonts w:ascii="Times New Roman" w:hAnsi="Times New Roman" w:eastAsia="宋体"/>
                <w:b w:val="0"/>
                <w:i w:val="0"/>
                <w:sz w:val="17"/>
              </w:rPr>
              <w:t>证据黑板、去重、共享证据</w:t>
            </w:r>
          </w:p>
        </w:tc>
        <w:tc>
          <w:tcPr>
            <w:tcW w:type="dxa" w:w="1328"/>
          </w:tcPr>
          <w:p>
            <w:pPr>
              <w:spacing w:after="20" w:line="276" w:lineRule="auto"/>
            </w:pPr>
            <w:r/>
            <w:r>
              <w:rPr>
                <w:rFonts w:ascii="Times New Roman" w:hAnsi="Times New Roman" w:eastAsia="宋体"/>
                <w:b w:val="0"/>
                <w:i w:val="0"/>
                <w:sz w:val="17"/>
              </w:rPr>
              <w:t>P3</w:t>
            </w:r>
          </w:p>
        </w:tc>
        <w:tc>
          <w:tcPr>
            <w:tcW w:type="dxa" w:w="1328"/>
          </w:tcPr>
          <w:p>
            <w:pPr>
              <w:spacing w:after="20" w:line="276" w:lineRule="auto"/>
            </w:pPr>
            <w:r/>
            <w:r>
              <w:rPr>
                <w:rFonts w:ascii="Times New Roman" w:hAnsi="Times New Roman" w:eastAsia="宋体"/>
                <w:b w:val="0"/>
                <w:i w:val="0"/>
                <w:sz w:val="17"/>
              </w:rPr>
              <w:t>共享降低重复证据与信息遗漏</w:t>
            </w:r>
          </w:p>
        </w:tc>
        <w:tc>
          <w:tcPr>
            <w:tcW w:type="dxa" w:w="1328"/>
          </w:tcPr>
          <w:p>
            <w:pPr>
              <w:spacing w:after="20" w:line="276" w:lineRule="auto"/>
            </w:pPr>
            <w:r/>
            <w:r>
              <w:rPr>
                <w:rFonts w:ascii="Times New Roman" w:hAnsi="Times New Roman" w:eastAsia="宋体"/>
                <w:b w:val="0"/>
                <w:i w:val="0"/>
                <w:sz w:val="17"/>
              </w:rPr>
              <w:t>E10 无证据共享</w:t>
            </w:r>
          </w:p>
        </w:tc>
        <w:tc>
          <w:tcPr>
            <w:tcW w:type="dxa" w:w="1328"/>
          </w:tcPr>
          <w:p>
            <w:pPr>
              <w:spacing w:after="20" w:line="276" w:lineRule="auto"/>
            </w:pPr>
            <w:r/>
            <w:r>
              <w:rPr>
                <w:rFonts w:ascii="Times New Roman" w:hAnsi="Times New Roman" w:eastAsia="宋体"/>
                <w:b w:val="0"/>
                <w:i w:val="0"/>
                <w:sz w:val="17"/>
              </w:rPr>
              <w:t>6.3</w:t>
            </w:r>
          </w:p>
        </w:tc>
        <w:tc>
          <w:tcPr>
            <w:tcW w:type="dxa" w:w="1328"/>
          </w:tcPr>
          <w:p>
            <w:pPr>
              <w:spacing w:after="20" w:line="276" w:lineRule="auto"/>
            </w:pPr>
            <w:r/>
            <w:r>
              <w:rPr>
                <w:rFonts w:ascii="Times New Roman" w:hAnsi="Times New Roman" w:eastAsia="宋体"/>
                <w:b w:val="0"/>
                <w:i w:val="0"/>
                <w:sz w:val="17"/>
              </w:rPr>
              <w:t>决策损失、重复证据率</w:t>
            </w:r>
          </w:p>
        </w:tc>
      </w:tr>
      <w:tr>
        <w:tc>
          <w:tcPr>
            <w:tcW w:type="dxa" w:w="1328"/>
          </w:tcPr>
          <w:p>
            <w:pPr>
              <w:spacing w:after="20" w:line="276" w:lineRule="auto"/>
            </w:pPr>
            <w:r/>
            <w:r>
              <w:rPr>
                <w:rFonts w:ascii="Times New Roman" w:hAnsi="Times New Roman" w:eastAsia="宋体"/>
                <w:b w:val="0"/>
                <w:i w:val="0"/>
                <w:sz w:val="17"/>
              </w:rPr>
              <w:t>4.4 交叉验证与冲突协调</w:t>
            </w:r>
          </w:p>
        </w:tc>
        <w:tc>
          <w:tcPr>
            <w:tcW w:type="dxa" w:w="1328"/>
          </w:tcPr>
          <w:p>
            <w:pPr>
              <w:spacing w:after="20" w:line="276" w:lineRule="auto"/>
            </w:pPr>
            <w:r/>
            <w:r>
              <w:rPr>
                <w:rFonts w:ascii="Times New Roman" w:hAnsi="Times New Roman" w:eastAsia="宋体"/>
                <w:b w:val="0"/>
                <w:i w:val="0"/>
                <w:sz w:val="17"/>
              </w:rPr>
              <w:t>R2 复核、R3 分类、R4 仲裁</w:t>
            </w:r>
          </w:p>
        </w:tc>
        <w:tc>
          <w:tcPr>
            <w:tcW w:type="dxa" w:w="1328"/>
          </w:tcPr>
          <w:p>
            <w:pPr>
              <w:spacing w:after="20" w:line="276" w:lineRule="auto"/>
            </w:pPr>
            <w:r/>
            <w:r>
              <w:rPr>
                <w:rFonts w:ascii="Times New Roman" w:hAnsi="Times New Roman" w:eastAsia="宋体"/>
                <w:b w:val="0"/>
                <w:i w:val="0"/>
                <w:sz w:val="17"/>
              </w:rPr>
              <w:t>P3</w:t>
            </w:r>
          </w:p>
        </w:tc>
        <w:tc>
          <w:tcPr>
            <w:tcW w:type="dxa" w:w="1328"/>
          </w:tcPr>
          <w:p>
            <w:pPr>
              <w:spacing w:after="20" w:line="276" w:lineRule="auto"/>
            </w:pPr>
            <w:r/>
            <w:r>
              <w:rPr>
                <w:rFonts w:ascii="Times New Roman" w:hAnsi="Times New Roman" w:eastAsia="宋体"/>
                <w:b w:val="0"/>
                <w:i w:val="0"/>
                <w:sz w:val="17"/>
              </w:rPr>
              <w:t>冲突解决率提高、分歧不再遗漏</w:t>
            </w:r>
          </w:p>
        </w:tc>
        <w:tc>
          <w:tcPr>
            <w:tcW w:type="dxa" w:w="1328"/>
          </w:tcPr>
          <w:p>
            <w:pPr>
              <w:spacing w:after="20" w:line="276" w:lineRule="auto"/>
            </w:pPr>
            <w:r/>
            <w:r>
              <w:rPr>
                <w:rFonts w:ascii="Times New Roman" w:hAnsi="Times New Roman" w:eastAsia="宋体"/>
                <w:b w:val="0"/>
                <w:i w:val="0"/>
                <w:sz w:val="17"/>
              </w:rPr>
              <w:t>E11、E12 逐项消融</w:t>
            </w:r>
          </w:p>
        </w:tc>
        <w:tc>
          <w:tcPr>
            <w:tcW w:type="dxa" w:w="1328"/>
          </w:tcPr>
          <w:p>
            <w:pPr>
              <w:spacing w:after="20" w:line="276" w:lineRule="auto"/>
            </w:pPr>
            <w:r/>
            <w:r>
              <w:rPr>
                <w:rFonts w:ascii="Times New Roman" w:hAnsi="Times New Roman" w:eastAsia="宋体"/>
                <w:b w:val="0"/>
                <w:i w:val="0"/>
                <w:sz w:val="17"/>
              </w:rPr>
              <w:t>6.3</w:t>
            </w:r>
          </w:p>
        </w:tc>
        <w:tc>
          <w:tcPr>
            <w:tcW w:type="dxa" w:w="1328"/>
          </w:tcPr>
          <w:p>
            <w:pPr>
              <w:spacing w:after="20" w:line="276" w:lineRule="auto"/>
            </w:pPr>
            <w:r/>
            <w:r>
              <w:rPr>
                <w:rFonts w:ascii="Times New Roman" w:hAnsi="Times New Roman" w:eastAsia="宋体"/>
                <w:b w:val="0"/>
                <w:i w:val="0"/>
                <w:sz w:val="17"/>
              </w:rPr>
              <w:t>冲突解决率、数值错误率、决策损失</w:t>
            </w:r>
          </w:p>
        </w:tc>
      </w:tr>
      <w:tr>
        <w:tc>
          <w:tcPr>
            <w:tcW w:type="dxa" w:w="1328"/>
          </w:tcPr>
          <w:p>
            <w:pPr>
              <w:spacing w:after="20" w:line="276" w:lineRule="auto"/>
            </w:pPr>
            <w:r/>
            <w:r>
              <w:rPr>
                <w:rFonts w:ascii="Times New Roman" w:hAnsi="Times New Roman" w:eastAsia="宋体"/>
                <w:b w:val="0"/>
                <w:i w:val="0"/>
                <w:sz w:val="17"/>
              </w:rPr>
              <w:t>4.4 人工接管与审计</w:t>
            </w:r>
          </w:p>
        </w:tc>
        <w:tc>
          <w:tcPr>
            <w:tcW w:type="dxa" w:w="1328"/>
          </w:tcPr>
          <w:p>
            <w:pPr>
              <w:spacing w:after="20" w:line="276" w:lineRule="auto"/>
            </w:pPr>
            <w:r/>
            <w:r>
              <w:rPr>
                <w:rFonts w:ascii="Times New Roman" w:hAnsi="Times New Roman" w:eastAsia="宋体"/>
                <w:b w:val="0"/>
                <w:i w:val="0"/>
                <w:sz w:val="17"/>
              </w:rPr>
              <w:t>HITL 触发规则、审计 trace</w:t>
            </w:r>
          </w:p>
        </w:tc>
        <w:tc>
          <w:tcPr>
            <w:tcW w:type="dxa" w:w="1328"/>
          </w:tcPr>
          <w:p>
            <w:pPr>
              <w:spacing w:after="20" w:line="276" w:lineRule="auto"/>
            </w:pPr>
            <w:r/>
            <w:r>
              <w:rPr>
                <w:rFonts w:ascii="Times New Roman" w:hAnsi="Times New Roman" w:eastAsia="宋体"/>
                <w:b w:val="0"/>
                <w:i w:val="0"/>
                <w:sz w:val="17"/>
              </w:rPr>
              <w:t>P2/P3</w:t>
            </w:r>
          </w:p>
        </w:tc>
        <w:tc>
          <w:tcPr>
            <w:tcW w:type="dxa" w:w="1328"/>
          </w:tcPr>
          <w:p>
            <w:pPr>
              <w:spacing w:after="20" w:line="276" w:lineRule="auto"/>
            </w:pPr>
            <w:r/>
            <w:r>
              <w:rPr>
                <w:rFonts w:ascii="Times New Roman" w:hAnsi="Times New Roman" w:eastAsia="宋体"/>
                <w:b w:val="0"/>
                <w:i w:val="0"/>
                <w:sz w:val="17"/>
              </w:rPr>
              <w:t>高风险与未解决冲突可复核</w:t>
            </w:r>
          </w:p>
        </w:tc>
        <w:tc>
          <w:tcPr>
            <w:tcW w:type="dxa" w:w="1328"/>
          </w:tcPr>
          <w:p>
            <w:pPr>
              <w:spacing w:after="20" w:line="276" w:lineRule="auto"/>
            </w:pPr>
            <w:r/>
            <w:r>
              <w:rPr>
                <w:rFonts w:ascii="Times New Roman" w:hAnsi="Times New Roman" w:eastAsia="宋体"/>
                <w:b w:val="0"/>
                <w:i w:val="0"/>
                <w:sz w:val="17"/>
              </w:rPr>
              <w:t>全部配置</w:t>
            </w:r>
          </w:p>
        </w:tc>
        <w:tc>
          <w:tcPr>
            <w:tcW w:type="dxa" w:w="1328"/>
          </w:tcPr>
          <w:p>
            <w:pPr>
              <w:spacing w:after="20" w:line="276" w:lineRule="auto"/>
            </w:pPr>
            <w:r/>
            <w:r>
              <w:rPr>
                <w:rFonts w:ascii="Times New Roman" w:hAnsi="Times New Roman" w:eastAsia="宋体"/>
                <w:b w:val="0"/>
                <w:i w:val="0"/>
                <w:sz w:val="17"/>
              </w:rPr>
              <w:t>5.3、6.4</w:t>
            </w:r>
          </w:p>
        </w:tc>
        <w:tc>
          <w:tcPr>
            <w:tcW w:type="dxa" w:w="1328"/>
          </w:tcPr>
          <w:p>
            <w:pPr>
              <w:spacing w:after="20" w:line="276" w:lineRule="auto"/>
            </w:pPr>
            <w:r/>
            <w:r>
              <w:rPr>
                <w:rFonts w:ascii="Times New Roman" w:hAnsi="Times New Roman" w:eastAsia="宋体"/>
                <w:b w:val="0"/>
                <w:i w:val="0"/>
                <w:sz w:val="17"/>
              </w:rPr>
              <w:t>人工复核触发率、可复现率</w:t>
            </w:r>
          </w:p>
        </w:tc>
      </w:tr>
    </w:tbl>
    <w:p>
      <w:pPr>
        <w:spacing w:after="40"/>
      </w:pPr>
    </w:p>
    <w:p>
      <w:r>
        <w:rPr>
          <w:rFonts w:ascii="Times New Roman" w:hAnsi="Times New Roman" w:eastAsia="宋体"/>
          <w:b w:val="0"/>
          <w:i w:val="0"/>
          <w:sz w:val="21"/>
        </w:rPr>
        <w:t>三个核心问题的回答位置如下：“为什么是三个智能体”见 4.3.1；“协同增益如何检验”见 4.4.5；“如何防止数值错误、无依据断言与时点泄漏”见 4.2.3、4.3.4、4.4.4 与 4.5。</w:t>
      </w:r>
    </w:p>
    <w:p>
      <w:pPr>
        <w:pStyle w:val="Heading2"/>
      </w:pPr>
      <w:r>
        <w:rPr>
          <w:rFonts w:ascii="Times New Roman" w:hAnsi="Times New Roman" w:eastAsia="宋体"/>
          <w:b w:val="0"/>
          <w:i w:val="0"/>
          <w:sz w:val="26"/>
        </w:rPr>
        <w:t>4.1 多模态风险信息融合</w:t>
      </w:r>
    </w:p>
    <w:p>
      <w:r>
        <w:rPr>
          <w:rFonts w:ascii="Times New Roman" w:hAnsi="Times New Roman" w:eastAsia="宋体"/>
          <w:b w:val="0"/>
          <w:i w:val="0"/>
          <w:sz w:val="21"/>
        </w:rPr>
        <w:t>【对应命题 P1；实验章节：5.1、5.2、6.1；实现：L1 数据与时点层、L2 多模态融合层、</w:t>
      </w:r>
      <w:r>
        <w:rPr>
          <w:rFonts w:ascii="Consolas" w:hAnsi="Consolas" w:eastAsia="Consolas"/>
          <w:b w:val="0"/>
          <w:i w:val="0"/>
          <w:color w:val="8B1E3F"/>
          <w:sz w:val="20"/>
        </w:rPr>
        <w:t>src/cbr/data/</w:t>
      </w:r>
      <w:r>
        <w:rPr>
          <w:rFonts w:ascii="Times New Roman" w:hAnsi="Times New Roman" w:eastAsia="宋体"/>
          <w:b w:val="0"/>
          <w:i w:val="0"/>
          <w:sz w:val="21"/>
        </w:rPr>
        <w:t>、</w:t>
      </w:r>
      <w:r>
        <w:rPr>
          <w:rFonts w:ascii="Consolas" w:hAnsi="Consolas" w:eastAsia="Consolas"/>
          <w:b w:val="0"/>
          <w:i w:val="0"/>
          <w:color w:val="8B1E3F"/>
          <w:sz w:val="20"/>
        </w:rPr>
        <w:t>src/cbr/features/</w:t>
      </w:r>
      <w:r>
        <w:rPr>
          <w:rFonts w:ascii="Times New Roman" w:hAnsi="Times New Roman" w:eastAsia="宋体"/>
          <w:b w:val="0"/>
          <w:i w:val="0"/>
          <w:sz w:val="21"/>
        </w:rPr>
        <w:t>、</w:t>
      </w:r>
      <w:r>
        <w:rPr>
          <w:rFonts w:ascii="Consolas" w:hAnsi="Consolas" w:eastAsia="Consolas"/>
          <w:b w:val="0"/>
          <w:i w:val="0"/>
          <w:color w:val="8B1E3F"/>
          <w:sz w:val="20"/>
        </w:rPr>
        <w:t>src/cbr/models/</w:t>
      </w:r>
      <w:r>
        <w:rPr>
          <w:rFonts w:ascii="Times New Roman" w:hAnsi="Times New Roman" w:eastAsia="宋体"/>
          <w:b w:val="0"/>
          <w:i w:val="0"/>
          <w:sz w:val="21"/>
        </w:rPr>
        <w:t>】</w:t>
      </w:r>
    </w:p>
    <w:p>
      <w:r>
        <w:rPr>
          <w:rFonts w:ascii="Times New Roman" w:hAnsi="Times New Roman" w:eastAsia="宋体"/>
          <w:b w:val="0"/>
          <w:i w:val="0"/>
          <w:sz w:val="21"/>
        </w:rPr>
        <w:t>本节解决“用什么信息、在什么时点、以何种方式形成共享风险信号”的问题。方法分为四个环节：数据域界定与风险标签构造（4.1.1）、时点对齐与防泄漏（4.1.2）、数值与文本特征表示（4.1.3）、融合预测与模态归因（4.1.4），最后给出 P1 的可检验设计（4.1.5）。需要事先说明写作边界：本文的多模态指数值与文本两类模态；同一新闻主题下不同网站转载不构成新增模态，若后续引入音频、图像等数据，才扩展为更广的多模态设定。</w:t>
      </w:r>
    </w:p>
    <w:p>
      <w:pPr>
        <w:pStyle w:val="Heading3"/>
      </w:pPr>
      <w:r>
        <w:rPr>
          <w:rFonts w:ascii="Times New Roman" w:hAnsi="Times New Roman" w:eastAsia="宋体"/>
          <w:b w:val="0"/>
          <w:i w:val="0"/>
          <w:sz w:val="23"/>
        </w:rPr>
        <w:t>4.1.1 数据域与风险标签</w:t>
      </w:r>
    </w:p>
    <w:p>
      <w:r>
        <w:rPr>
          <w:rFonts w:ascii="Times New Roman" w:hAnsi="Times New Roman" w:eastAsia="宋体"/>
          <w:b w:val="0"/>
          <w:i w:val="0"/>
          <w:sz w:val="21"/>
        </w:rPr>
        <w:t>预警目标是跨境金融市场压力高位状态，而非汇率波动、企业违约或金融体系风险的混合体。为把该目标转化为可计算、可评价的标签，首先界定数据域。数据域按经济含义划分为五组（表 4-3），每组序列在进入建模前均须登记数据卡（DataCard），记录序列口径、来源、频率、覆盖期、发布滞后与时点可得性评级（strict / approximate / unavailable）。数据卡是时点回放的合法性凭证：评级为 unavailable 的序列不得进入评估日信息集。</w:t>
      </w:r>
    </w:p>
    <w:p>
      <w:pPr>
        <w:keepNext/>
        <w:spacing w:before="120" w:after="40"/>
        <w:jc w:val="center"/>
      </w:pPr>
      <w:r>
        <w:rPr>
          <w:rFonts w:ascii="Times New Roman" w:hAnsi="Times New Roman" w:eastAsia="宋体"/>
          <w:b/>
          <w:i w:val="0"/>
          <w:color w:val="1F3864"/>
          <w:sz w:val="19"/>
        </w:rPr>
        <w:t>表 4-3 数据域、序列与用途</w:t>
      </w:r>
    </w:p>
    <w:tbl>
      <w:tblPr>
        <w:tblStyle w:val="TableGrid"/>
        <w:tblW w:type="auto" w:w="0"/>
        <w:jc w:val="center"/>
        <w:tblLayout w:type="autofit"/>
        <w:tblLook w:firstColumn="1" w:firstRow="1" w:lastColumn="0" w:lastRow="0" w:noHBand="0" w:noVBand="1" w:val="04A0"/>
      </w:tblPr>
      <w:tblGrid>
        <w:gridCol w:w="1550"/>
        <w:gridCol w:w="1550"/>
        <w:gridCol w:w="1550"/>
        <w:gridCol w:w="1550"/>
        <w:gridCol w:w="1550"/>
        <w:gridCol w:w="1550"/>
      </w:tblGrid>
      <w:tr>
        <w:tc>
          <w:tcPr>
            <w:tcW w:type="dxa" w:w="1550"/>
          </w:tcPr>
          <w:p>
            <w:pPr>
              <w:spacing w:after="20" w:line="276" w:lineRule="auto"/>
            </w:pPr>
            <w:r>
              <w:rPr>
                <w:b/>
              </w:rPr>
            </w:r>
            <w:r>
              <w:rPr>
                <w:rFonts w:ascii="Times New Roman" w:hAnsi="Times New Roman" w:eastAsia="宋体"/>
                <w:b/>
                <w:i w:val="0"/>
                <w:sz w:val="17"/>
              </w:rPr>
              <w:t>数据域</w:t>
            </w:r>
          </w:p>
        </w:tc>
        <w:tc>
          <w:tcPr>
            <w:tcW w:type="dxa" w:w="1550"/>
          </w:tcPr>
          <w:p>
            <w:pPr>
              <w:spacing w:after="20" w:line="276" w:lineRule="auto"/>
            </w:pPr>
            <w:r>
              <w:rPr>
                <w:b/>
              </w:rPr>
            </w:r>
            <w:r>
              <w:rPr>
                <w:rFonts w:ascii="Times New Roman" w:hAnsi="Times New Roman" w:eastAsia="宋体"/>
                <w:b/>
                <w:i w:val="0"/>
                <w:sz w:val="17"/>
              </w:rPr>
              <w:t>典型序列</w:t>
            </w:r>
          </w:p>
        </w:tc>
        <w:tc>
          <w:tcPr>
            <w:tcW w:type="dxa" w:w="1550"/>
          </w:tcPr>
          <w:p>
            <w:pPr>
              <w:spacing w:after="20" w:line="276" w:lineRule="auto"/>
            </w:pPr>
            <w:r>
              <w:rPr>
                <w:b/>
              </w:rPr>
            </w:r>
            <w:r>
              <w:rPr>
                <w:rFonts w:ascii="Times New Roman" w:hAnsi="Times New Roman" w:eastAsia="宋体"/>
                <w:b/>
                <w:i w:val="0"/>
                <w:sz w:val="17"/>
              </w:rPr>
              <w:t>频率</w:t>
            </w:r>
          </w:p>
        </w:tc>
        <w:tc>
          <w:tcPr>
            <w:tcW w:type="dxa" w:w="1550"/>
          </w:tcPr>
          <w:p>
            <w:pPr>
              <w:spacing w:after="20" w:line="276" w:lineRule="auto"/>
            </w:pPr>
            <w:r>
              <w:rPr>
                <w:b/>
              </w:rPr>
            </w:r>
            <w:r>
              <w:rPr>
                <w:rFonts w:ascii="Times New Roman" w:hAnsi="Times New Roman" w:eastAsia="宋体"/>
                <w:b/>
                <w:i w:val="0"/>
                <w:sz w:val="17"/>
              </w:rPr>
              <w:t>时点评级要求</w:t>
            </w:r>
          </w:p>
        </w:tc>
        <w:tc>
          <w:tcPr>
            <w:tcW w:type="dxa" w:w="1550"/>
          </w:tcPr>
          <w:p>
            <w:pPr>
              <w:spacing w:after="20" w:line="276" w:lineRule="auto"/>
            </w:pPr>
            <w:r>
              <w:rPr>
                <w:b/>
              </w:rPr>
            </w:r>
            <w:r>
              <w:rPr>
                <w:rFonts w:ascii="Times New Roman" w:hAnsi="Times New Roman" w:eastAsia="宋体"/>
                <w:b/>
                <w:i w:val="0"/>
                <w:sz w:val="17"/>
              </w:rPr>
              <w:t>主要用途</w:t>
            </w:r>
          </w:p>
        </w:tc>
        <w:tc>
          <w:tcPr>
            <w:tcW w:type="dxa" w:w="1550"/>
          </w:tcPr>
          <w:p>
            <w:pPr>
              <w:spacing w:after="20" w:line="276" w:lineRule="auto"/>
            </w:pPr>
            <w:r>
              <w:rPr>
                <w:b/>
              </w:rPr>
            </w:r>
            <w:r>
              <w:rPr>
                <w:rFonts w:ascii="Times New Roman" w:hAnsi="Times New Roman" w:eastAsia="宋体"/>
                <w:b/>
                <w:i w:val="0"/>
                <w:sz w:val="17"/>
              </w:rPr>
              <w:t>主要服务角色</w:t>
            </w:r>
          </w:p>
        </w:tc>
      </w:tr>
      <w:tr>
        <w:tc>
          <w:tcPr>
            <w:tcW w:type="dxa" w:w="1550"/>
          </w:tcPr>
          <w:p>
            <w:pPr>
              <w:spacing w:after="20" w:line="276" w:lineRule="auto"/>
            </w:pPr>
            <w:r/>
            <w:r>
              <w:rPr>
                <w:rFonts w:ascii="Times New Roman" w:hAnsi="Times New Roman" w:eastAsia="宋体"/>
                <w:b w:val="0"/>
                <w:i w:val="0"/>
                <w:sz w:val="17"/>
              </w:rPr>
              <w:t>中国市场</w:t>
            </w:r>
          </w:p>
        </w:tc>
        <w:tc>
          <w:tcPr>
            <w:tcW w:type="dxa" w:w="1550"/>
          </w:tcPr>
          <w:p>
            <w:pPr>
              <w:spacing w:after="20" w:line="276" w:lineRule="auto"/>
            </w:pPr>
            <w:r/>
            <w:r>
              <w:rPr>
                <w:rFonts w:ascii="Times New Roman" w:hAnsi="Times New Roman" w:eastAsia="宋体"/>
                <w:b w:val="0"/>
                <w:i w:val="0"/>
                <w:sz w:val="17"/>
              </w:rPr>
              <w:t>沪深300、中证500、国债收益率曲线、信用利差、成交与换手</w:t>
            </w:r>
          </w:p>
        </w:tc>
        <w:tc>
          <w:tcPr>
            <w:tcW w:type="dxa" w:w="1550"/>
          </w:tcPr>
          <w:p>
            <w:pPr>
              <w:spacing w:after="20" w:line="276" w:lineRule="auto"/>
            </w:pPr>
            <w:r/>
            <w:r>
              <w:rPr>
                <w:rFonts w:ascii="Times New Roman" w:hAnsi="Times New Roman" w:eastAsia="宋体"/>
                <w:b w:val="0"/>
                <w:i w:val="0"/>
                <w:sz w:val="17"/>
              </w:rPr>
              <w:t>日</w:t>
            </w:r>
          </w:p>
        </w:tc>
        <w:tc>
          <w:tcPr>
            <w:tcW w:type="dxa" w:w="1550"/>
          </w:tcPr>
          <w:p>
            <w:pPr>
              <w:spacing w:after="20" w:line="276" w:lineRule="auto"/>
            </w:pPr>
            <w:r/>
            <w:r>
              <w:rPr>
                <w:rFonts w:ascii="Times New Roman" w:hAnsi="Times New Roman" w:eastAsia="宋体"/>
                <w:b w:val="0"/>
                <w:i w:val="0"/>
                <w:sz w:val="17"/>
              </w:rPr>
              <w:t>strict/approximate</w:t>
            </w:r>
          </w:p>
        </w:tc>
        <w:tc>
          <w:tcPr>
            <w:tcW w:type="dxa" w:w="1550"/>
          </w:tcPr>
          <w:p>
            <w:pPr>
              <w:spacing w:after="20" w:line="276" w:lineRule="auto"/>
            </w:pPr>
            <w:r/>
            <w:r>
              <w:rPr>
                <w:rFonts w:ascii="Times New Roman" w:hAnsi="Times New Roman" w:eastAsia="宋体"/>
                <w:b w:val="0"/>
                <w:i w:val="0"/>
                <w:sz w:val="17"/>
              </w:rPr>
              <w:t>压力指数、波动与尾部风险测度、标签</w:t>
            </w:r>
          </w:p>
        </w:tc>
        <w:tc>
          <w:tcPr>
            <w:tcW w:type="dxa" w:w="1550"/>
          </w:tcPr>
          <w:p>
            <w:pPr>
              <w:spacing w:after="20" w:line="276" w:lineRule="auto"/>
            </w:pPr>
            <w:r/>
            <w:r>
              <w:rPr>
                <w:rFonts w:ascii="Times New Roman" w:hAnsi="Times New Roman" w:eastAsia="宋体"/>
                <w:b w:val="0"/>
                <w:i w:val="0"/>
                <w:sz w:val="17"/>
              </w:rPr>
              <w:t>监管、投资</w:t>
            </w:r>
          </w:p>
        </w:tc>
      </w:tr>
      <w:tr>
        <w:tc>
          <w:tcPr>
            <w:tcW w:type="dxa" w:w="1550"/>
          </w:tcPr>
          <w:p>
            <w:pPr>
              <w:spacing w:after="20" w:line="276" w:lineRule="auto"/>
            </w:pPr>
            <w:r/>
            <w:r>
              <w:rPr>
                <w:rFonts w:ascii="Times New Roman" w:hAnsi="Times New Roman" w:eastAsia="宋体"/>
                <w:b w:val="0"/>
                <w:i w:val="0"/>
                <w:sz w:val="17"/>
              </w:rPr>
              <w:t>跨境资金</w:t>
            </w:r>
          </w:p>
        </w:tc>
        <w:tc>
          <w:tcPr>
            <w:tcW w:type="dxa" w:w="1550"/>
          </w:tcPr>
          <w:p>
            <w:pPr>
              <w:spacing w:after="20" w:line="276" w:lineRule="auto"/>
            </w:pPr>
            <w:r/>
            <w:r>
              <w:rPr>
                <w:rFonts w:ascii="Times New Roman" w:hAnsi="Times New Roman" w:eastAsia="宋体"/>
                <w:b w:val="0"/>
                <w:i w:val="0"/>
                <w:sz w:val="17"/>
              </w:rPr>
              <w:t>沪深港通北向/南向资金流、持仓与成交、AH 溢价</w:t>
            </w:r>
          </w:p>
        </w:tc>
        <w:tc>
          <w:tcPr>
            <w:tcW w:type="dxa" w:w="1550"/>
          </w:tcPr>
          <w:p>
            <w:pPr>
              <w:spacing w:after="20" w:line="276" w:lineRule="auto"/>
            </w:pPr>
            <w:r/>
            <w:r>
              <w:rPr>
                <w:rFonts w:ascii="Times New Roman" w:hAnsi="Times New Roman" w:eastAsia="宋体"/>
                <w:b w:val="0"/>
                <w:i w:val="0"/>
                <w:sz w:val="17"/>
              </w:rPr>
              <w:t>日</w:t>
            </w:r>
          </w:p>
        </w:tc>
        <w:tc>
          <w:tcPr>
            <w:tcW w:type="dxa" w:w="1550"/>
          </w:tcPr>
          <w:p>
            <w:pPr>
              <w:spacing w:after="20" w:line="276" w:lineRule="auto"/>
            </w:pPr>
            <w:r/>
            <w:r>
              <w:rPr>
                <w:rFonts w:ascii="Times New Roman" w:hAnsi="Times New Roman" w:eastAsia="宋体"/>
                <w:b w:val="0"/>
                <w:i w:val="0"/>
                <w:sz w:val="17"/>
              </w:rPr>
              <w:t>strict</w:t>
            </w:r>
          </w:p>
        </w:tc>
        <w:tc>
          <w:tcPr>
            <w:tcW w:type="dxa" w:w="1550"/>
          </w:tcPr>
          <w:p>
            <w:pPr>
              <w:spacing w:after="20" w:line="276" w:lineRule="auto"/>
            </w:pPr>
            <w:r/>
            <w:r>
              <w:rPr>
                <w:rFonts w:ascii="Times New Roman" w:hAnsi="Times New Roman" w:eastAsia="宋体"/>
                <w:b w:val="0"/>
                <w:i w:val="0"/>
                <w:sz w:val="17"/>
              </w:rPr>
              <w:t>异常资金流、同步撤离、连通性</w:t>
            </w:r>
          </w:p>
        </w:tc>
        <w:tc>
          <w:tcPr>
            <w:tcW w:type="dxa" w:w="1550"/>
          </w:tcPr>
          <w:p>
            <w:pPr>
              <w:spacing w:after="20" w:line="276" w:lineRule="auto"/>
            </w:pPr>
            <w:r/>
            <w:r>
              <w:rPr>
                <w:rFonts w:ascii="Times New Roman" w:hAnsi="Times New Roman" w:eastAsia="宋体"/>
                <w:b w:val="0"/>
                <w:i w:val="0"/>
                <w:sz w:val="17"/>
              </w:rPr>
              <w:t>监管、投资</w:t>
            </w:r>
          </w:p>
        </w:tc>
      </w:tr>
      <w:tr>
        <w:tc>
          <w:tcPr>
            <w:tcW w:type="dxa" w:w="1550"/>
          </w:tcPr>
          <w:p>
            <w:pPr>
              <w:spacing w:after="20" w:line="276" w:lineRule="auto"/>
            </w:pPr>
            <w:r/>
            <w:r>
              <w:rPr>
                <w:rFonts w:ascii="Times New Roman" w:hAnsi="Times New Roman" w:eastAsia="宋体"/>
                <w:b w:val="0"/>
                <w:i w:val="0"/>
                <w:sz w:val="17"/>
              </w:rPr>
              <w:t>全球因子</w:t>
            </w:r>
          </w:p>
        </w:tc>
        <w:tc>
          <w:tcPr>
            <w:tcW w:type="dxa" w:w="1550"/>
          </w:tcPr>
          <w:p>
            <w:pPr>
              <w:spacing w:after="20" w:line="276" w:lineRule="auto"/>
            </w:pPr>
            <w:r/>
            <w:r>
              <w:rPr>
                <w:rFonts w:ascii="Times New Roman" w:hAnsi="Times New Roman" w:eastAsia="宋体"/>
                <w:b w:val="0"/>
                <w:i w:val="0"/>
                <w:sz w:val="17"/>
              </w:rPr>
              <w:t>标普500、VIX、MOVE、美元指数、USDCNY/CNH、中美利差</w:t>
            </w:r>
          </w:p>
        </w:tc>
        <w:tc>
          <w:tcPr>
            <w:tcW w:type="dxa" w:w="1550"/>
          </w:tcPr>
          <w:p>
            <w:pPr>
              <w:spacing w:after="20" w:line="276" w:lineRule="auto"/>
            </w:pPr>
            <w:r/>
            <w:r>
              <w:rPr>
                <w:rFonts w:ascii="Times New Roman" w:hAnsi="Times New Roman" w:eastAsia="宋体"/>
                <w:b w:val="0"/>
                <w:i w:val="0"/>
                <w:sz w:val="17"/>
              </w:rPr>
              <w:t>日</w:t>
            </w:r>
          </w:p>
        </w:tc>
        <w:tc>
          <w:tcPr>
            <w:tcW w:type="dxa" w:w="1550"/>
          </w:tcPr>
          <w:p>
            <w:pPr>
              <w:spacing w:after="20" w:line="276" w:lineRule="auto"/>
            </w:pPr>
            <w:r/>
            <w:r>
              <w:rPr>
                <w:rFonts w:ascii="Times New Roman" w:hAnsi="Times New Roman" w:eastAsia="宋体"/>
                <w:b w:val="0"/>
                <w:i w:val="0"/>
                <w:sz w:val="17"/>
              </w:rPr>
              <w:t>strict</w:t>
            </w:r>
          </w:p>
        </w:tc>
        <w:tc>
          <w:tcPr>
            <w:tcW w:type="dxa" w:w="1550"/>
          </w:tcPr>
          <w:p>
            <w:pPr>
              <w:spacing w:after="20" w:line="276" w:lineRule="auto"/>
            </w:pPr>
            <w:r/>
            <w:r>
              <w:rPr>
                <w:rFonts w:ascii="Times New Roman" w:hAnsi="Times New Roman" w:eastAsia="宋体"/>
                <w:b w:val="0"/>
                <w:i w:val="0"/>
                <w:sz w:val="17"/>
              </w:rPr>
              <w:t>外部冲击与溢出、汇率敞口</w:t>
            </w:r>
          </w:p>
        </w:tc>
        <w:tc>
          <w:tcPr>
            <w:tcW w:type="dxa" w:w="1550"/>
          </w:tcPr>
          <w:p>
            <w:pPr>
              <w:spacing w:after="20" w:line="276" w:lineRule="auto"/>
            </w:pPr>
            <w:r/>
            <w:r>
              <w:rPr>
                <w:rFonts w:ascii="Times New Roman" w:hAnsi="Times New Roman" w:eastAsia="宋体"/>
                <w:b w:val="0"/>
                <w:i w:val="0"/>
                <w:sz w:val="17"/>
              </w:rPr>
              <w:t>监管、投资、融资</w:t>
            </w:r>
          </w:p>
        </w:tc>
      </w:tr>
      <w:tr>
        <w:tc>
          <w:tcPr>
            <w:tcW w:type="dxa" w:w="1550"/>
          </w:tcPr>
          <w:p>
            <w:pPr>
              <w:spacing w:after="20" w:line="276" w:lineRule="auto"/>
            </w:pPr>
            <w:r/>
            <w:r>
              <w:rPr>
                <w:rFonts w:ascii="Times New Roman" w:hAnsi="Times New Roman" w:eastAsia="宋体"/>
                <w:b w:val="0"/>
                <w:i w:val="0"/>
                <w:sz w:val="17"/>
              </w:rPr>
              <w:t>宏观</w:t>
            </w:r>
          </w:p>
        </w:tc>
        <w:tc>
          <w:tcPr>
            <w:tcW w:type="dxa" w:w="1550"/>
          </w:tcPr>
          <w:p>
            <w:pPr>
              <w:spacing w:after="20" w:line="276" w:lineRule="auto"/>
            </w:pPr>
            <w:r/>
            <w:r>
              <w:rPr>
                <w:rFonts w:ascii="Times New Roman" w:hAnsi="Times New Roman" w:eastAsia="宋体"/>
                <w:b w:val="0"/>
                <w:i w:val="0"/>
                <w:sz w:val="17"/>
              </w:rPr>
              <w:t>PMI、社融、外储、政策利率</w:t>
            </w:r>
          </w:p>
        </w:tc>
        <w:tc>
          <w:tcPr>
            <w:tcW w:type="dxa" w:w="1550"/>
          </w:tcPr>
          <w:p>
            <w:pPr>
              <w:spacing w:after="20" w:line="276" w:lineRule="auto"/>
            </w:pPr>
            <w:r/>
            <w:r>
              <w:rPr>
                <w:rFonts w:ascii="Times New Roman" w:hAnsi="Times New Roman" w:eastAsia="宋体"/>
                <w:b w:val="0"/>
                <w:i w:val="0"/>
                <w:sz w:val="17"/>
              </w:rPr>
              <w:t>月/日</w:t>
            </w:r>
          </w:p>
        </w:tc>
        <w:tc>
          <w:tcPr>
            <w:tcW w:type="dxa" w:w="1550"/>
          </w:tcPr>
          <w:p>
            <w:pPr>
              <w:spacing w:after="20" w:line="276" w:lineRule="auto"/>
            </w:pPr>
            <w:r/>
            <w:r>
              <w:rPr>
                <w:rFonts w:ascii="Times New Roman" w:hAnsi="Times New Roman" w:eastAsia="宋体"/>
                <w:b w:val="0"/>
                <w:i w:val="0"/>
                <w:sz w:val="17"/>
              </w:rPr>
              <w:t>approximate</w:t>
            </w:r>
          </w:p>
        </w:tc>
        <w:tc>
          <w:tcPr>
            <w:tcW w:type="dxa" w:w="1550"/>
          </w:tcPr>
          <w:p>
            <w:pPr>
              <w:spacing w:after="20" w:line="276" w:lineRule="auto"/>
            </w:pPr>
            <w:r/>
            <w:r>
              <w:rPr>
                <w:rFonts w:ascii="Times New Roman" w:hAnsi="Times New Roman" w:eastAsia="宋体"/>
                <w:b w:val="0"/>
                <w:i w:val="0"/>
                <w:sz w:val="17"/>
              </w:rPr>
              <w:t>背景变量、融资环境</w:t>
            </w:r>
          </w:p>
        </w:tc>
        <w:tc>
          <w:tcPr>
            <w:tcW w:type="dxa" w:w="1550"/>
          </w:tcPr>
          <w:p>
            <w:pPr>
              <w:spacing w:after="20" w:line="276" w:lineRule="auto"/>
            </w:pPr>
            <w:r/>
            <w:r>
              <w:rPr>
                <w:rFonts w:ascii="Times New Roman" w:hAnsi="Times New Roman" w:eastAsia="宋体"/>
                <w:b w:val="0"/>
                <w:i w:val="0"/>
                <w:sz w:val="17"/>
              </w:rPr>
              <w:t>监管、融资</w:t>
            </w:r>
          </w:p>
        </w:tc>
      </w:tr>
      <w:tr>
        <w:tc>
          <w:tcPr>
            <w:tcW w:type="dxa" w:w="1550"/>
          </w:tcPr>
          <w:p>
            <w:pPr>
              <w:spacing w:after="20" w:line="276" w:lineRule="auto"/>
            </w:pPr>
            <w:r/>
            <w:r>
              <w:rPr>
                <w:rFonts w:ascii="Times New Roman" w:hAnsi="Times New Roman" w:eastAsia="宋体"/>
                <w:b w:val="0"/>
                <w:i w:val="0"/>
                <w:sz w:val="17"/>
              </w:rPr>
              <w:t>文本</w:t>
            </w:r>
          </w:p>
        </w:tc>
        <w:tc>
          <w:tcPr>
            <w:tcW w:type="dxa" w:w="1550"/>
          </w:tcPr>
          <w:p>
            <w:pPr>
              <w:spacing w:after="20" w:line="276" w:lineRule="auto"/>
            </w:pPr>
            <w:r/>
            <w:r>
              <w:rPr>
                <w:rFonts w:ascii="Times New Roman" w:hAnsi="Times New Roman" w:eastAsia="宋体"/>
                <w:b w:val="0"/>
                <w:i w:val="0"/>
                <w:sz w:val="17"/>
              </w:rPr>
              <w:t>央行、证监会、外管局、国务院政策文本，财经新闻标题，事件流</w:t>
            </w:r>
          </w:p>
        </w:tc>
        <w:tc>
          <w:tcPr>
            <w:tcW w:type="dxa" w:w="1550"/>
          </w:tcPr>
          <w:p>
            <w:pPr>
              <w:spacing w:after="20" w:line="276" w:lineRule="auto"/>
            </w:pPr>
            <w:r/>
            <w:r>
              <w:rPr>
                <w:rFonts w:ascii="Times New Roman" w:hAnsi="Times New Roman" w:eastAsia="宋体"/>
                <w:b w:val="0"/>
                <w:i w:val="0"/>
                <w:sz w:val="17"/>
              </w:rPr>
              <w:t>日/事件</w:t>
            </w:r>
          </w:p>
        </w:tc>
        <w:tc>
          <w:tcPr>
            <w:tcW w:type="dxa" w:w="1550"/>
          </w:tcPr>
          <w:p>
            <w:pPr>
              <w:spacing w:after="20" w:line="276" w:lineRule="auto"/>
            </w:pPr>
            <w:r/>
            <w:r>
              <w:rPr>
                <w:rFonts w:ascii="Times New Roman" w:hAnsi="Times New Roman" w:eastAsia="宋体"/>
                <w:b w:val="0"/>
                <w:i w:val="0"/>
                <w:sz w:val="17"/>
              </w:rPr>
              <w:t>strict（按发布时间）</w:t>
            </w:r>
          </w:p>
        </w:tc>
        <w:tc>
          <w:tcPr>
            <w:tcW w:type="dxa" w:w="1550"/>
          </w:tcPr>
          <w:p>
            <w:pPr>
              <w:spacing w:after="20" w:line="276" w:lineRule="auto"/>
            </w:pPr>
            <w:r/>
            <w:r>
              <w:rPr>
                <w:rFonts w:ascii="Times New Roman" w:hAnsi="Times New Roman" w:eastAsia="宋体"/>
                <w:b w:val="0"/>
                <w:i w:val="0"/>
                <w:sz w:val="17"/>
              </w:rPr>
              <w:t>文本模态：政策不确定性、资本管制、外部冲击</w:t>
            </w:r>
          </w:p>
        </w:tc>
        <w:tc>
          <w:tcPr>
            <w:tcW w:type="dxa" w:w="1550"/>
          </w:tcPr>
          <w:p>
            <w:pPr>
              <w:spacing w:after="20" w:line="276" w:lineRule="auto"/>
            </w:pPr>
            <w:r/>
            <w:r>
              <w:rPr>
                <w:rFonts w:ascii="Times New Roman" w:hAnsi="Times New Roman" w:eastAsia="宋体"/>
                <w:b w:val="0"/>
                <w:i w:val="0"/>
                <w:sz w:val="17"/>
              </w:rPr>
              <w:t>全部</w:t>
            </w:r>
          </w:p>
        </w:tc>
      </w:tr>
    </w:tbl>
    <w:p>
      <w:pPr>
        <w:spacing w:after="40"/>
      </w:pPr>
    </w:p>
    <w:p>
      <w:r>
        <w:rPr>
          <w:rFonts w:ascii="Times New Roman" w:hAnsi="Times New Roman" w:eastAsia="宋体"/>
          <w:b w:val="0"/>
          <w:i w:val="0"/>
          <w:sz w:val="21"/>
        </w:rPr>
        <w:t xml:space="preserve">在此基础上构造跨境金融压力指数。对第 </w:t>
      </w:r>
      <w:r>
        <w:rPr>
          <w:rFonts w:ascii="Times New Roman" w:hAnsi="Times New Roman" w:eastAsia="宋体"/>
          <w:b w:val="0"/>
          <w:i/>
          <w:color w:val="1F3864"/>
          <w:sz w:val="21"/>
        </w:rPr>
        <w:t>k</w:t>
      </w:r>
      <w:r>
        <w:rPr>
          <w:rFonts w:ascii="Times New Roman" w:hAnsi="Times New Roman" w:eastAsia="宋体"/>
          <w:b w:val="0"/>
          <w:i w:val="0"/>
          <w:sz w:val="21"/>
        </w:rPr>
        <w:t xml:space="preserve"> 个标准化子指标，采用滚动窗口构造 </w:t>
      </w:r>
      <w:r>
        <w:rPr>
          <w:rFonts w:ascii="Times New Roman" w:hAnsi="Times New Roman" w:eastAsia="宋体"/>
          <w:b w:val="0"/>
          <w:i/>
          <w:color w:val="1F3864"/>
          <w:sz w:val="21"/>
        </w:rPr>
        <w:t>z</w:t>
      </w:r>
      <w:r>
        <w:rPr>
          <w:rFonts w:ascii="Times New Roman" w:hAnsi="Times New Roman" w:eastAsia="宋体"/>
          <w:b w:val="0"/>
          <w:i w:val="0"/>
          <w:sz w:val="21"/>
        </w:rPr>
        <w:t xml:space="preserve"> 分数并加权合成：</w:t>
      </w:r>
    </w:p>
    <w:p>
      <w:pPr>
        <w:spacing w:before="80" w:after="80"/>
        <w:jc w:val="center"/>
      </w:pPr>
      <w:r>
        <w:rPr>
          <w:rFonts w:ascii="Times New Roman" w:hAnsi="Times New Roman" w:eastAsia="宋体"/>
          <w:b w:val="0"/>
          <w:i/>
          <w:color w:val="1F3864"/>
          <w:sz w:val="21"/>
        </w:rPr>
        <w:t>SPI_t=Σ_k w_k z_k,t, z_k,t=x_k,t-μ_k,t(W)σ_k,t(W) 4-2</w:t>
      </w:r>
    </w:p>
    <w:p>
      <w:r>
        <w:rPr>
          <w:rFonts w:ascii="Times New Roman" w:hAnsi="Times New Roman" w:eastAsia="宋体"/>
          <w:b w:val="0"/>
          <w:i w:val="0"/>
          <w:sz w:val="21"/>
        </w:rPr>
        <w:t xml:space="preserve">其中 </w:t>
      </w:r>
      <w:r>
        <w:rPr>
          <w:rFonts w:ascii="Times New Roman" w:hAnsi="Times New Roman" w:eastAsia="宋体"/>
          <w:b w:val="0"/>
          <w:i/>
          <w:color w:val="1F3864"/>
          <w:sz w:val="21"/>
        </w:rPr>
        <w:t>K</w:t>
      </w:r>
      <w:r>
        <w:rPr>
          <w:rFonts w:ascii="Times New Roman" w:hAnsi="Times New Roman" w:eastAsia="宋体"/>
          <w:b w:val="0"/>
          <w:i w:val="0"/>
          <w:sz w:val="21"/>
        </w:rPr>
        <w:t xml:space="preserve"> 为压力指标集合（股票、债券、汇率、信用利差、跨境资金与全球波动），</w:t>
      </w:r>
      <w:r>
        <w:rPr>
          <w:rFonts w:ascii="Times New Roman" w:hAnsi="Times New Roman" w:eastAsia="宋体"/>
          <w:b w:val="0"/>
          <w:i/>
          <w:color w:val="1F3864"/>
          <w:sz w:val="21"/>
        </w:rPr>
        <w:t>W</w:t>
      </w:r>
      <w:r>
        <w:rPr>
          <w:rFonts w:ascii="Times New Roman" w:hAnsi="Times New Roman" w:eastAsia="宋体"/>
          <w:b w:val="0"/>
          <w:i w:val="0"/>
          <w:sz w:val="21"/>
        </w:rPr>
        <w:t xml:space="preserve"> 为滚动窗口（默认 500 个交易日），</w:t>
      </w:r>
      <w:r>
        <w:rPr>
          <w:rFonts w:ascii="Times New Roman" w:hAnsi="Times New Roman" w:eastAsia="宋体"/>
          <w:b w:val="0"/>
          <w:i/>
          <w:color w:val="1F3864"/>
          <w:sz w:val="21"/>
        </w:rPr>
        <w:t>μ_k,t(W)</w:t>
      </w:r>
      <w:r>
        <w:rPr>
          <w:rFonts w:ascii="Times New Roman" w:hAnsi="Times New Roman" w:eastAsia="宋体"/>
          <w:b w:val="0"/>
          <w:i w:val="0"/>
          <w:sz w:val="21"/>
        </w:rPr>
        <w:t xml:space="preserve"> 与 </w:t>
      </w:r>
      <w:r>
        <w:rPr>
          <w:rFonts w:ascii="Times New Roman" w:hAnsi="Times New Roman" w:eastAsia="宋体"/>
          <w:b w:val="0"/>
          <w:i/>
          <w:color w:val="1F3864"/>
          <w:sz w:val="21"/>
        </w:rPr>
        <w:t>σ_k,t(W)</w:t>
      </w:r>
      <w:r>
        <w:rPr>
          <w:rFonts w:ascii="Times New Roman" w:hAnsi="Times New Roman" w:eastAsia="宋体"/>
          <w:b w:val="0"/>
          <w:i w:val="0"/>
          <w:sz w:val="21"/>
        </w:rPr>
        <w:t xml:space="preserve"> 只用 </w:t>
      </w:r>
      <w:r>
        <w:rPr>
          <w:rFonts w:ascii="Times New Roman" w:hAnsi="Times New Roman" w:eastAsia="宋体"/>
          <w:b w:val="0"/>
          <w:i/>
          <w:color w:val="1F3864"/>
          <w:sz w:val="21"/>
        </w:rPr>
        <w:t>t</w:t>
      </w:r>
      <w:r>
        <w:rPr>
          <w:rFonts w:ascii="Times New Roman" w:hAnsi="Times New Roman" w:eastAsia="宋体"/>
          <w:b w:val="0"/>
          <w:i w:val="0"/>
          <w:sz w:val="21"/>
        </w:rPr>
        <w:t xml:space="preserve"> 之前的数据估计，从而保证标准化过程本身不引入未来信息。权重 </w:t>
      </w:r>
      <w:r>
        <w:rPr>
          <w:rFonts w:ascii="Times New Roman" w:hAnsi="Times New Roman" w:eastAsia="宋体"/>
          <w:b w:val="0"/>
          <w:i/>
          <w:color w:val="1F3864"/>
          <w:sz w:val="21"/>
        </w:rPr>
        <w:t>w_k</w:t>
      </w:r>
      <w:r>
        <w:rPr>
          <w:rFonts w:ascii="Times New Roman" w:hAnsi="Times New Roman" w:eastAsia="宋体"/>
          <w:b w:val="0"/>
          <w:i w:val="0"/>
          <w:sz w:val="21"/>
        </w:rPr>
        <w:t xml:space="preserve"> 可由滚动第一主成分（符号对齐）或等权复合给定，版本由标签版本号确定并在稳健性分析中替换（见 6.4）。</w:t>
      </w:r>
    </w:p>
    <w:p>
      <w:r>
        <w:rPr>
          <w:rFonts w:ascii="Times New Roman" w:hAnsi="Times New Roman" w:eastAsia="宋体"/>
          <w:b w:val="0"/>
          <w:i w:val="0"/>
          <w:sz w:val="21"/>
        </w:rPr>
        <w:t>高位状态的判定不采用全样本分位，而采用分位阈值（</w:t>
      </w:r>
      <w:r>
        <w:rPr>
          <w:rFonts w:ascii="Consolas" w:hAnsi="Consolas" w:eastAsia="Consolas"/>
          <w:b w:val="0"/>
          <w:i w:val="0"/>
          <w:color w:val="8B1E3F"/>
          <w:sz w:val="20"/>
        </w:rPr>
        <w:t>threshold_mode=frozen|rolling</w:t>
      </w:r>
      <w:r>
        <w:rPr>
          <w:rFonts w:ascii="Times New Roman" w:hAnsi="Times New Roman" w:eastAsia="宋体"/>
          <w:b w:val="0"/>
          <w:i w:val="0"/>
          <w:sz w:val="21"/>
        </w:rPr>
        <w:t xml:space="preserve">；主分析用 </w:t>
      </w:r>
      <w:r>
        <w:rPr>
          <w:rFonts w:ascii="Consolas" w:hAnsi="Consolas" w:eastAsia="Consolas"/>
          <w:b w:val="0"/>
          <w:i w:val="0"/>
          <w:color w:val="8B1E3F"/>
          <w:sz w:val="20"/>
        </w:rPr>
        <w:t>frozen</w:t>
      </w:r>
      <w:r>
        <w:rPr>
          <w:rFonts w:ascii="Times New Roman" w:hAnsi="Times New Roman" w:eastAsia="宋体"/>
          <w:b w:val="0"/>
          <w:i w:val="0"/>
          <w:sz w:val="21"/>
        </w:rPr>
        <w:t>，即训练期阈值冻结，</w:t>
      </w:r>
      <w:r>
        <w:rPr>
          <w:rFonts w:ascii="Consolas" w:hAnsi="Consolas" w:eastAsia="Consolas"/>
          <w:b w:val="0"/>
          <w:i w:val="0"/>
          <w:color w:val="8B1E3F"/>
          <w:sz w:val="20"/>
        </w:rPr>
        <w:t>rolling</w:t>
      </w:r>
      <w:r>
        <w:rPr>
          <w:rFonts w:ascii="Times New Roman" w:hAnsi="Times New Roman" w:eastAsia="宋体"/>
          <w:b w:val="0"/>
          <w:i w:val="0"/>
          <w:sz w:val="21"/>
        </w:rPr>
        <w:t xml:space="preserve"> 仅作稳健性设定）：</w:t>
      </w:r>
    </w:p>
    <w:p>
      <w:pPr>
        <w:spacing w:before="80" w:after="80"/>
        <w:jc w:val="center"/>
      </w:pPr>
      <w:r>
        <w:rPr>
          <w:rFonts w:ascii="Times New Roman" w:hAnsi="Times New Roman" w:eastAsia="宋体"/>
          <w:b w:val="0"/>
          <w:i/>
          <w:color w:val="1F3864"/>
          <w:sz w:val="21"/>
        </w:rPr>
        <w:t>τ_t=Quantile_q(SPI_s: s_t), q=0.90, T_t=[t-W_τ,t-1] 或 s≤ t_trainend 4-3</w:t>
      </w:r>
    </w:p>
    <w:p>
      <w:pPr>
        <w:spacing w:before="80" w:after="80"/>
        <w:jc w:val="center"/>
      </w:pPr>
      <w:r>
        <w:rPr>
          <w:rFonts w:ascii="Times New Roman" w:hAnsi="Times New Roman" w:eastAsia="宋体"/>
          <w:b w:val="0"/>
          <w:i/>
          <w:color w:val="1F3864"/>
          <w:sz w:val="21"/>
        </w:rPr>
        <w:t>y_t,h=1∃ , j∈1,,h: SPI_t+j≥τ_t 4-4</w:t>
      </w:r>
    </w:p>
    <w:p>
      <w:r>
        <w:rPr>
          <w:rFonts w:ascii="Times New Roman" w:hAnsi="Times New Roman" w:eastAsia="宋体"/>
          <w:b w:val="0"/>
          <w:i w:val="0"/>
          <w:sz w:val="21"/>
        </w:rPr>
        <w:t xml:space="preserve">式（4-4）表示“未来 </w:t>
      </w:r>
      <w:r>
        <w:rPr>
          <w:rFonts w:ascii="Times New Roman" w:hAnsi="Times New Roman" w:eastAsia="宋体"/>
          <w:b w:val="0"/>
          <w:i/>
          <w:color w:val="1F3864"/>
          <w:sz w:val="21"/>
        </w:rPr>
        <w:t>h</w:t>
      </w:r>
      <w:r>
        <w:rPr>
          <w:rFonts w:ascii="Times New Roman" w:hAnsi="Times New Roman" w:eastAsia="宋体"/>
          <w:b w:val="0"/>
          <w:i w:val="0"/>
          <w:sz w:val="21"/>
        </w:rPr>
        <w:t xml:space="preserve"> 个交易日内至少有一日进入高位状态”，</w:t>
      </w:r>
      <w:r>
        <w:rPr>
          <w:rFonts w:ascii="Times New Roman" w:hAnsi="Times New Roman" w:eastAsia="宋体"/>
          <w:b w:val="0"/>
          <w:i/>
          <w:color w:val="1F3864"/>
          <w:sz w:val="21"/>
        </w:rPr>
        <w:t>h∈5,10,20</w:t>
      </w:r>
      <w:r>
        <w:rPr>
          <w:rFonts w:ascii="Times New Roman" w:hAnsi="Times New Roman" w:eastAsia="宋体"/>
          <w:b w:val="0"/>
          <w:i w:val="0"/>
          <w:sz w:val="21"/>
        </w:rPr>
        <w:t xml:space="preserve">。阈值 </w:t>
      </w:r>
      <w:r>
        <w:rPr>
          <w:rFonts w:ascii="Times New Roman" w:hAnsi="Times New Roman" w:eastAsia="宋体"/>
          <w:b w:val="0"/>
          <w:i/>
          <w:color w:val="1F3864"/>
          <w:sz w:val="21"/>
        </w:rPr>
        <w:t>τ_t</w:t>
      </w:r>
      <w:r>
        <w:rPr>
          <w:rFonts w:ascii="Times New Roman" w:hAnsi="Times New Roman" w:eastAsia="宋体"/>
          <w:b w:val="0"/>
          <w:i w:val="0"/>
          <w:sz w:val="21"/>
        </w:rPr>
        <w:t xml:space="preserve"> 只依赖 </w:t>
      </w:r>
      <w:r>
        <w:rPr>
          <w:rFonts w:ascii="Times New Roman" w:hAnsi="Times New Roman" w:eastAsia="宋体"/>
          <w:b w:val="0"/>
          <w:i/>
          <w:color w:val="1F3864"/>
          <w:sz w:val="21"/>
        </w:rPr>
        <w:t>t</w:t>
      </w:r>
      <w:r>
        <w:rPr>
          <w:rFonts w:ascii="Times New Roman" w:hAnsi="Times New Roman" w:eastAsia="宋体"/>
          <w:b w:val="0"/>
          <w:i w:val="0"/>
          <w:sz w:val="21"/>
        </w:rPr>
        <w:t xml:space="preserve"> 之前的信息，标签 </w:t>
      </w:r>
      <w:r>
        <w:rPr>
          <w:rFonts w:ascii="Times New Roman" w:hAnsi="Times New Roman" w:eastAsia="宋体"/>
          <w:b w:val="0"/>
          <w:i/>
          <w:color w:val="1F3864"/>
          <w:sz w:val="21"/>
        </w:rPr>
        <w:t>y_t,h</w:t>
      </w:r>
      <w:r>
        <w:rPr>
          <w:rFonts w:ascii="Times New Roman" w:hAnsi="Times New Roman" w:eastAsia="宋体"/>
          <w:b w:val="0"/>
          <w:i w:val="0"/>
          <w:sz w:val="21"/>
        </w:rPr>
        <w:t xml:space="preserve"> 只用于评估阶段（实现中由 </w:t>
      </w:r>
      <w:r>
        <w:rPr>
          <w:rFonts w:ascii="Consolas" w:hAnsi="Consolas" w:eastAsia="Consolas"/>
          <w:b w:val="0"/>
          <w:i w:val="0"/>
          <w:color w:val="8B1E3F"/>
          <w:sz w:val="20"/>
        </w:rPr>
        <w:t>DataProvider.label</w:t>
      </w:r>
      <w:r>
        <w:rPr>
          <w:rFonts w:ascii="Times New Roman" w:hAnsi="Times New Roman" w:eastAsia="宋体"/>
          <w:b w:val="0"/>
          <w:i w:val="0"/>
          <w:sz w:val="21"/>
        </w:rPr>
        <w:t xml:space="preserve"> 提供），不进入特征或工具调用。标签版本写入配置项 </w:t>
      </w:r>
      <w:r>
        <w:rPr>
          <w:rFonts w:ascii="Consolas" w:hAnsi="Consolas" w:eastAsia="Consolas"/>
          <w:b w:val="0"/>
          <w:i w:val="0"/>
          <w:color w:val="8B1E3F"/>
          <w:sz w:val="20"/>
        </w:rPr>
        <w:t>data.label_version</w:t>
      </w:r>
      <w:r>
        <w:rPr>
          <w:rFonts w:ascii="Times New Roman" w:hAnsi="Times New Roman" w:eastAsia="宋体"/>
          <w:b w:val="0"/>
          <w:i w:val="0"/>
          <w:sz w:val="21"/>
        </w:rPr>
        <w:t xml:space="preserve">，当前默认为 </w:t>
      </w:r>
      <w:r>
        <w:rPr>
          <w:rFonts w:ascii="Consolas" w:hAnsi="Consolas" w:eastAsia="Consolas"/>
          <w:b w:val="0"/>
          <w:i w:val="0"/>
          <w:color w:val="8B1E3F"/>
          <w:sz w:val="20"/>
        </w:rPr>
        <w:t>stress_pca_q90</w:t>
      </w:r>
      <w:r>
        <w:rPr>
          <w:rFonts w:ascii="Times New Roman" w:hAnsi="Times New Roman" w:eastAsia="宋体"/>
          <w:b w:val="0"/>
          <w:i w:val="0"/>
          <w:sz w:val="21"/>
        </w:rPr>
        <w:t xml:space="preserve">，同时记录于 </w:t>
      </w:r>
      <w:r>
        <w:rPr>
          <w:rFonts w:ascii="Consolas" w:hAnsi="Consolas" w:eastAsia="Consolas"/>
          <w:b w:val="0"/>
          <w:i w:val="0"/>
          <w:color w:val="8B1E3F"/>
          <w:sz w:val="20"/>
        </w:rPr>
        <w:t>RiskSignal.label_version</w:t>
      </w:r>
      <w:r>
        <w:rPr>
          <w:rFonts w:ascii="Times New Roman" w:hAnsi="Times New Roman" w:eastAsia="宋体"/>
          <w:b w:val="0"/>
          <w:i w:val="0"/>
          <w:sz w:val="21"/>
        </w:rPr>
        <w:t>。</w:t>
      </w:r>
      <w:r>
        <w:rPr>
          <w:rFonts w:ascii="Consolas" w:hAnsi="Consolas" w:eastAsia="Consolas"/>
          <w:b w:val="0"/>
          <w:i w:val="0"/>
          <w:color w:val="8B1E3F"/>
          <w:sz w:val="20"/>
        </w:rPr>
        <w:t>label_version</w:t>
      </w:r>
      <w:r>
        <w:rPr>
          <w:rFonts w:ascii="Times New Roman" w:hAnsi="Times New Roman" w:eastAsia="宋体"/>
          <w:b w:val="0"/>
          <w:i w:val="0"/>
          <w:sz w:val="21"/>
        </w:rPr>
        <w:t xml:space="preserve"> 解析支持三种口径：主分析 B1（</w:t>
      </w:r>
      <w:r>
        <w:rPr>
          <w:rFonts w:ascii="Consolas" w:hAnsi="Consolas" w:eastAsia="Consolas"/>
          <w:b w:val="0"/>
          <w:i w:val="0"/>
          <w:color w:val="8B1E3F"/>
          <w:sz w:val="20"/>
        </w:rPr>
        <w:t>label_mode=max</w:t>
      </w:r>
      <w:r>
        <w:rPr>
          <w:rFonts w:ascii="Times New Roman" w:hAnsi="Times New Roman" w:eastAsia="宋体"/>
          <w:b w:val="0"/>
          <w:i w:val="0"/>
          <w:sz w:val="21"/>
        </w:rPr>
        <w:t xml:space="preserve">，未来 </w:t>
      </w:r>
      <w:r>
        <w:rPr>
          <w:rFonts w:ascii="Times New Roman" w:hAnsi="Times New Roman" w:eastAsia="宋体"/>
          <w:b w:val="0"/>
          <w:i/>
          <w:color w:val="1F3864"/>
          <w:sz w:val="21"/>
        </w:rPr>
        <w:t>h</w:t>
      </w:r>
      <w:r>
        <w:rPr>
          <w:rFonts w:ascii="Times New Roman" w:hAnsi="Times New Roman" w:eastAsia="宋体"/>
          <w:b w:val="0"/>
          <w:i w:val="0"/>
          <w:sz w:val="21"/>
        </w:rPr>
        <w:t xml:space="preserve"> 日内任一高压力日）、B0（</w:t>
      </w:r>
      <w:r>
        <w:rPr>
          <w:rFonts w:ascii="Consolas" w:hAnsi="Consolas" w:eastAsia="Consolas"/>
          <w:b w:val="0"/>
          <w:i w:val="0"/>
          <w:color w:val="8B1E3F"/>
          <w:sz w:val="20"/>
        </w:rPr>
        <w:t>label_mode=point</w:t>
      </w:r>
      <w:r>
        <w:rPr>
          <w:rFonts w:ascii="Times New Roman" w:hAnsi="Times New Roman" w:eastAsia="宋体"/>
          <w:b w:val="0"/>
          <w:i w:val="0"/>
          <w:sz w:val="21"/>
        </w:rPr>
        <w:t xml:space="preserve">，仅第 </w:t>
      </w:r>
      <w:r>
        <w:rPr>
          <w:rFonts w:ascii="Times New Roman" w:hAnsi="Times New Roman" w:eastAsia="宋体"/>
          <w:b w:val="0"/>
          <w:i/>
          <w:color w:val="1F3864"/>
          <w:sz w:val="21"/>
        </w:rPr>
        <w:t>t+h</w:t>
      </w:r>
      <w:r>
        <w:rPr>
          <w:rFonts w:ascii="Times New Roman" w:hAnsi="Times New Roman" w:eastAsia="宋体"/>
          <w:b w:val="0"/>
          <w:i w:val="0"/>
          <w:sz w:val="21"/>
        </w:rPr>
        <w:t xml:space="preserve"> 日）与 B2（</w:t>
      </w:r>
      <w:r>
        <w:rPr>
          <w:rFonts w:ascii="Consolas" w:hAnsi="Consolas" w:eastAsia="Consolas"/>
          <w:b w:val="0"/>
          <w:i w:val="0"/>
          <w:color w:val="8B1E3F"/>
          <w:sz w:val="20"/>
        </w:rPr>
        <w:t>persistence_days=2</w:t>
      </w:r>
      <w:r>
        <w:rPr>
          <w:rFonts w:ascii="Times New Roman" w:hAnsi="Times New Roman" w:eastAsia="宋体"/>
          <w:b w:val="0"/>
          <w:i w:val="0"/>
          <w:sz w:val="21"/>
        </w:rPr>
        <w:t xml:space="preserve"> 持续性标签）；标签构造具有主观性，本章将其作为可替换设计纳入稳健性分析。</w:t>
      </w:r>
    </w:p>
    <w:p>
      <w:pPr>
        <w:pStyle w:val="Heading3"/>
      </w:pPr>
      <w:r>
        <w:rPr>
          <w:rFonts w:ascii="Times New Roman" w:hAnsi="Times New Roman" w:eastAsia="宋体"/>
          <w:b w:val="0"/>
          <w:i w:val="0"/>
          <w:sz w:val="23"/>
        </w:rPr>
        <w:t>4.1.2 时点对齐与防泄漏</w:t>
      </w:r>
    </w:p>
    <w:p>
      <w:r>
        <w:rPr>
          <w:rFonts w:ascii="Times New Roman" w:hAnsi="Times New Roman" w:eastAsia="宋体"/>
          <w:b w:val="0"/>
          <w:i w:val="0"/>
          <w:sz w:val="21"/>
        </w:rPr>
        <w:t xml:space="preserve">多模态预警的效度首先取决于信息是否真的“事前可得”。方法为每条数据记录三个时间属性：观测时间 </w:t>
      </w:r>
      <w:r>
        <w:rPr>
          <w:rFonts w:ascii="Consolas" w:hAnsi="Consolas" w:eastAsia="Consolas"/>
          <w:b w:val="0"/>
          <w:i w:val="0"/>
          <w:color w:val="8B1E3F"/>
          <w:sz w:val="20"/>
        </w:rPr>
        <w:t>obs_date</w:t>
      </w:r>
      <w:r>
        <w:rPr>
          <w:rFonts w:ascii="Times New Roman" w:hAnsi="Times New Roman" w:eastAsia="宋体"/>
          <w:b w:val="0"/>
          <w:i w:val="0"/>
          <w:sz w:val="21"/>
        </w:rPr>
        <w:t xml:space="preserve">、实际可获得时间 </w:t>
      </w:r>
      <w:r>
        <w:rPr>
          <w:rFonts w:ascii="Consolas" w:hAnsi="Consolas" w:eastAsia="Consolas"/>
          <w:b w:val="0"/>
          <w:i w:val="0"/>
          <w:color w:val="8B1E3F"/>
          <w:sz w:val="20"/>
        </w:rPr>
        <w:t>release_time</w:t>
      </w:r>
      <w:r>
        <w:rPr>
          <w:rFonts w:ascii="Times New Roman" w:hAnsi="Times New Roman" w:eastAsia="宋体"/>
          <w:b w:val="0"/>
          <w:i w:val="0"/>
          <w:sz w:val="21"/>
        </w:rPr>
        <w:t xml:space="preserve"> 与评估时点 </w:t>
      </w:r>
      <w:r>
        <w:rPr>
          <w:rFonts w:ascii="Consolas" w:hAnsi="Consolas" w:eastAsia="Consolas"/>
          <w:b w:val="0"/>
          <w:i w:val="0"/>
          <w:color w:val="8B1E3F"/>
          <w:sz w:val="20"/>
        </w:rPr>
        <w:t>as_of</w:t>
      </w:r>
      <w:r>
        <w:rPr>
          <w:rFonts w:ascii="Times New Roman" w:hAnsi="Times New Roman" w:eastAsia="宋体"/>
          <w:b w:val="0"/>
          <w:i w:val="0"/>
          <w:sz w:val="21"/>
        </w:rPr>
        <w:t>，并规定唯一合法访问规则：</w:t>
      </w:r>
    </w:p>
    <w:p>
      <w:pPr>
        <w:spacing w:before="80" w:after="80"/>
        <w:jc w:val="center"/>
      </w:pPr>
      <w:r>
        <w:rPr>
          <w:rFonts w:ascii="Times New Roman" w:hAnsi="Times New Roman" w:eastAsia="宋体"/>
          <w:b w:val="0"/>
          <w:i/>
          <w:color w:val="1F3864"/>
          <w:sz w:val="21"/>
        </w:rPr>
        <w:t>available(x_k,s,t)=1release _time(x_k,s)≤ t, available(doc_j,t)=1publish _time(doc_j)≤ t 4-5</w:t>
      </w:r>
    </w:p>
    <w:p>
      <w:r>
        <w:rPr>
          <w:rFonts w:ascii="Times New Roman" w:hAnsi="Times New Roman" w:eastAsia="宋体"/>
          <w:b w:val="0"/>
          <w:i w:val="0"/>
          <w:sz w:val="21"/>
        </w:rPr>
        <w:t xml:space="preserve">数值侧的数据与时点层以 </w:t>
      </w:r>
      <w:r>
        <w:rPr>
          <w:rFonts w:ascii="Consolas" w:hAnsi="Consolas" w:eastAsia="Consolas"/>
          <w:b w:val="0"/>
          <w:i w:val="0"/>
          <w:color w:val="8B1E3F"/>
          <w:sz w:val="20"/>
        </w:rPr>
        <w:t>PitStore.asof(series_id, as_of)</w:t>
      </w:r>
      <w:r>
        <w:rPr>
          <w:rFonts w:ascii="Times New Roman" w:hAnsi="Times New Roman" w:eastAsia="宋体"/>
          <w:b w:val="0"/>
          <w:i w:val="0"/>
          <w:sz w:val="21"/>
        </w:rPr>
        <w:t xml:space="preserve"> 为统一入口，仅返回满足式（4-5）的记录；对存在修订的宏观与资金数据，采用首次发布值或显式记录修订版本，禁止以最终修订值回填历史。文本侧在数据层与知识检索层分别执行发布时间过滤，形成“双保险”：前者防止文本进入特征计算，后者防止文本进入证据引用。交易日历方面，盘后信息最早用于下一交易日决策，月度数据滞后由 </w:t>
      </w:r>
      <w:r>
        <w:rPr>
          <w:rFonts w:ascii="Consolas" w:hAnsi="Consolas" w:eastAsia="Consolas"/>
          <w:b w:val="0"/>
          <w:i w:val="0"/>
          <w:color w:val="8B1E3F"/>
          <w:sz w:val="20"/>
        </w:rPr>
        <w:t>release_lag_days</w:t>
      </w:r>
      <w:r>
        <w:rPr>
          <w:rFonts w:ascii="Times New Roman" w:hAnsi="Times New Roman" w:eastAsia="宋体"/>
          <w:b w:val="0"/>
          <w:i w:val="0"/>
          <w:sz w:val="21"/>
        </w:rPr>
        <w:t xml:space="preserve"> 建模；approximate 序列单独报告敏感性。</w:t>
      </w:r>
    </w:p>
    <w:p>
      <w:r>
        <w:rPr>
          <w:rFonts w:ascii="Times New Roman" w:hAnsi="Times New Roman" w:eastAsia="宋体"/>
          <w:b w:val="0"/>
          <w:i w:val="0"/>
          <w:sz w:val="21"/>
        </w:rPr>
        <w:t>滚动训练与评估协议进一步约束信息边界：模型按固定频率重训（</w:t>
      </w:r>
      <w:r>
        <w:rPr>
          <w:rFonts w:ascii="Consolas" w:hAnsi="Consolas" w:eastAsia="Consolas"/>
          <w:b w:val="0"/>
          <w:i w:val="0"/>
          <w:color w:val="8B1E3F"/>
          <w:sz w:val="20"/>
        </w:rPr>
        <w:t>signal.retrain_every=20</w:t>
      </w:r>
      <w:r>
        <w:rPr>
          <w:rFonts w:ascii="Times New Roman" w:hAnsi="Times New Roman" w:eastAsia="宋体"/>
          <w:b w:val="0"/>
          <w:i w:val="0"/>
          <w:sz w:val="21"/>
        </w:rPr>
        <w:t xml:space="preserve"> 个交易日），每次重训只用当次重训时点之前的数据；评估窗口从固定起点开始（P1 实验配置 </w:t>
      </w:r>
      <w:r>
        <w:rPr>
          <w:rFonts w:ascii="Consolas" w:hAnsi="Consolas" w:eastAsia="Consolas"/>
          <w:b w:val="0"/>
          <w:i w:val="0"/>
          <w:color w:val="8B1E3F"/>
          <w:sz w:val="20"/>
        </w:rPr>
        <w:t>eval_start=2021-01-01</w:t>
      </w:r>
      <w:r>
        <w:rPr>
          <w:rFonts w:ascii="Times New Roman" w:hAnsi="Times New Roman" w:eastAsia="宋体"/>
          <w:b w:val="0"/>
          <w:i w:val="0"/>
          <w:sz w:val="21"/>
        </w:rPr>
        <w:t xml:space="preserve">），评估日集合 </w:t>
      </w:r>
      <w:r>
        <w:rPr>
          <w:rFonts w:ascii="Times New Roman" w:hAnsi="Times New Roman" w:eastAsia="宋体"/>
          <w:b w:val="0"/>
          <w:i/>
          <w:color w:val="1F3864"/>
          <w:sz w:val="21"/>
        </w:rPr>
        <w:t>E</w:t>
      </w:r>
      <w:r>
        <w:rPr>
          <w:rFonts w:ascii="Times New Roman" w:hAnsi="Times New Roman" w:eastAsia="宋体"/>
          <w:b w:val="0"/>
          <w:i w:val="0"/>
          <w:sz w:val="21"/>
        </w:rPr>
        <w:t xml:space="preserve"> 在运行配置中固定并登记，避免因评估日选择产生比较偏差。</w:t>
      </w:r>
    </w:p>
    <w:p>
      <w:r>
        <w:rPr>
          <w:rFonts w:ascii="Times New Roman" w:hAnsi="Times New Roman" w:eastAsia="宋体"/>
          <w:b w:val="0"/>
          <w:i w:val="0"/>
          <w:sz w:val="21"/>
        </w:rPr>
        <w:t xml:space="preserve">历史回放的泄漏风险可归纳为三类：①数值修订泄漏，即使用事后修订数据；②文本事后发布泄漏，即引用尚未公开发布的文本；③模型预训练知识泄漏，即大语言模型在训练语料中已见过评估期事件。前两类可由式（4-5）与滚动重训在机制上消除，并以 </w:t>
      </w:r>
      <w:r>
        <w:rPr>
          <w:rFonts w:ascii="Consolas" w:hAnsi="Consolas" w:eastAsia="Consolas"/>
          <w:b w:val="0"/>
          <w:i w:val="0"/>
          <w:color w:val="8B1E3F"/>
          <w:sz w:val="20"/>
        </w:rPr>
        <w:t>leakage_events</w:t>
      </w:r>
      <w:r>
        <w:rPr>
          <w:rFonts w:ascii="Times New Roman" w:hAnsi="Times New Roman" w:eastAsia="宋体"/>
          <w:b w:val="0"/>
          <w:i w:val="0"/>
          <w:sz w:val="21"/>
        </w:rPr>
        <w:t xml:space="preserve"> 计数监督；第三类只能通过模型版本控制、时间截断提示与无预训练基线对照部分缓解，无法完全消除，详见 4.5.4。</w:t>
      </w:r>
    </w:p>
    <w:p>
      <w:pPr>
        <w:pStyle w:val="Heading3"/>
      </w:pPr>
      <w:r>
        <w:rPr>
          <w:rFonts w:ascii="Times New Roman" w:hAnsi="Times New Roman" w:eastAsia="宋体"/>
          <w:b w:val="0"/>
          <w:i w:val="0"/>
          <w:sz w:val="23"/>
        </w:rPr>
        <w:t>4.1.3 数值特征与文本特征</w:t>
      </w:r>
    </w:p>
    <w:p>
      <w:r>
        <w:rPr>
          <w:rFonts w:ascii="Times New Roman" w:hAnsi="Times New Roman" w:eastAsia="宋体"/>
          <w:b w:val="0"/>
          <w:i w:val="0"/>
          <w:sz w:val="21"/>
        </w:rPr>
        <w:t xml:space="preserve">数值分支以“水平—变化—波动—结构”四类特征刻画风险状态。设原始序列经时点对齐后为 </w:t>
      </w:r>
      <w:r>
        <w:rPr>
          <w:rFonts w:ascii="Times New Roman" w:hAnsi="Times New Roman" w:eastAsia="宋体"/>
          <w:b w:val="0"/>
          <w:i/>
          <w:color w:val="1F3864"/>
          <w:sz w:val="21"/>
        </w:rPr>
        <w:t>x_k,t</w:t>
      </w:r>
      <w:r>
        <w:rPr>
          <w:rFonts w:ascii="Times New Roman" w:hAnsi="Times New Roman" w:eastAsia="宋体"/>
          <w:b w:val="0"/>
          <w:i w:val="0"/>
          <w:sz w:val="21"/>
        </w:rPr>
        <w:t xml:space="preserve">，则在 </w:t>
      </w:r>
      <w:r>
        <w:rPr>
          <w:rFonts w:ascii="Times New Roman" w:hAnsi="Times New Roman" w:eastAsia="宋体"/>
          <w:b w:val="0"/>
          <w:i/>
          <w:color w:val="1F3864"/>
          <w:sz w:val="21"/>
        </w:rPr>
        <w:t>t</w:t>
      </w:r>
      <w:r>
        <w:rPr>
          <w:rFonts w:ascii="Times New Roman" w:hAnsi="Times New Roman" w:eastAsia="宋体"/>
          <w:b w:val="0"/>
          <w:i w:val="0"/>
          <w:sz w:val="21"/>
        </w:rPr>
        <w:t xml:space="preserve"> 时点的特征向量为</w:t>
      </w:r>
    </w:p>
    <w:p>
      <w:pPr>
        <w:spacing w:before="80" w:after="80"/>
        <w:jc w:val="center"/>
      </w:pPr>
      <w:r>
        <w:rPr>
          <w:rFonts w:ascii="Times New Roman" w:hAnsi="Times New Roman" w:eastAsia="宋体"/>
          <w:b w:val="0"/>
          <w:i/>
          <w:color w:val="1F3864"/>
          <w:sz w:val="21"/>
        </w:rPr>
        <w:t>x_t=[_k,t_收益/变化, vol_W(x_k)_t_已实现波动, μ_W(x_k)_t_滚动均值, spread_t, flow _z_t, corr_t, concentration_t_利差、资金流异常、同步性与集中度] 4-6</w:t>
      </w:r>
    </w:p>
    <w:p>
      <w:r>
        <w:rPr>
          <w:rFonts w:ascii="Times New Roman" w:hAnsi="Times New Roman" w:eastAsia="宋体"/>
          <w:b w:val="0"/>
          <w:i w:val="0"/>
          <w:sz w:val="21"/>
        </w:rPr>
        <w:t xml:space="preserve">其中资金流异常 </w:t>
      </w:r>
      <w:r>
        <w:rPr>
          <w:rFonts w:ascii="Times New Roman" w:hAnsi="Times New Roman" w:eastAsia="宋体"/>
          <w:b w:val="0"/>
          <w:i/>
          <w:color w:val="1F3864"/>
          <w:sz w:val="21"/>
        </w:rPr>
        <w:t>z</w:t>
      </w:r>
      <w:r>
        <w:rPr>
          <w:rFonts w:ascii="Times New Roman" w:hAnsi="Times New Roman" w:eastAsia="宋体"/>
          <w:b w:val="0"/>
          <w:i w:val="0"/>
          <w:sz w:val="21"/>
        </w:rPr>
        <w:t xml:space="preserve"> 分数刻画北向/南向资金相对滚动分布的偏离，同步性刻画跨境资金与权益市场同向变动的程度，集中度刻画资金流在行业与个股层面的集中。所有特征只用窗口 </w:t>
      </w:r>
      <w:r>
        <w:rPr>
          <w:rFonts w:ascii="Times New Roman" w:hAnsi="Times New Roman" w:eastAsia="宋体"/>
          <w:b w:val="0"/>
          <w:i/>
          <w:color w:val="1F3864"/>
          <w:sz w:val="21"/>
        </w:rPr>
        <w:t>W</w:t>
      </w:r>
      <w:r>
        <w:rPr>
          <w:rFonts w:ascii="Times New Roman" w:hAnsi="Times New Roman" w:eastAsia="宋体"/>
          <w:b w:val="0"/>
          <w:i w:val="0"/>
          <w:sz w:val="21"/>
        </w:rPr>
        <w:t xml:space="preserve"> 内的数据构造，缺失值按“前值填充 + 缺失指示变量”处理，并在数据卡中记录缺失比例，避免以插值掩盖可得性问题。</w:t>
      </w:r>
    </w:p>
    <w:p>
      <w:r>
        <w:rPr>
          <w:rFonts w:ascii="Times New Roman" w:hAnsi="Times New Roman" w:eastAsia="宋体"/>
          <w:b w:val="0"/>
          <w:i w:val="0"/>
          <w:sz w:val="21"/>
        </w:rPr>
        <w:t xml:space="preserve">文本分支的目标是把政策与新闻文本压缩为与风险状态相关的低维表示。设 </w:t>
      </w:r>
      <w:r>
        <w:rPr>
          <w:rFonts w:ascii="Times New Roman" w:hAnsi="Times New Roman" w:eastAsia="宋体"/>
          <w:b w:val="0"/>
          <w:i/>
          <w:color w:val="1F3864"/>
          <w:sz w:val="21"/>
        </w:rPr>
        <w:t>t</w:t>
      </w:r>
      <w:r>
        <w:rPr>
          <w:rFonts w:ascii="Times New Roman" w:hAnsi="Times New Roman" w:eastAsia="宋体"/>
          <w:b w:val="0"/>
          <w:i w:val="0"/>
          <w:sz w:val="21"/>
        </w:rPr>
        <w:t xml:space="preserve"> 时点可得的文本集合为 </w:t>
      </w:r>
      <w:r>
        <w:rPr>
          <w:rFonts w:ascii="Times New Roman" w:hAnsi="Times New Roman" w:eastAsia="宋体"/>
          <w:b w:val="0"/>
          <w:i/>
          <w:color w:val="1F3864"/>
          <w:sz w:val="21"/>
        </w:rPr>
        <w:t>D_t=doc_j:publish _time_j≤ t</w:t>
      </w:r>
      <w:r>
        <w:rPr>
          <w:rFonts w:ascii="Times New Roman" w:hAnsi="Times New Roman" w:eastAsia="宋体"/>
          <w:b w:val="0"/>
          <w:i w:val="0"/>
          <w:sz w:val="21"/>
        </w:rPr>
        <w:t>，先按事件类型（货币政策、资本管理、外部冲击、监管处罚等）与主题（政策不确定性、汇率、跨境资金、信用风险）分类，再以时间衰减加权聚合情绪与主题强度：</w:t>
      </w:r>
    </w:p>
    <w:p>
      <w:pPr>
        <w:spacing w:before="80" w:after="80"/>
        <w:jc w:val="center"/>
      </w:pPr>
      <w:r>
        <w:rPr>
          <w:rFonts w:ascii="Times New Roman" w:hAnsi="Times New Roman" w:eastAsia="宋体"/>
          <w:b w:val="0"/>
          <w:i/>
          <w:color w:val="1F3864"/>
          <w:sz w:val="21"/>
        </w:rPr>
        <w:t>z_t=[Σ_j_t e-γ(t-publish _time_j)sent_j, share_m,t_m, uncertainty_t] 4-7</w:t>
      </w:r>
    </w:p>
    <w:p>
      <w:r>
        <w:rPr>
          <w:rFonts w:ascii="Times New Roman" w:hAnsi="Times New Roman" w:eastAsia="宋体"/>
          <w:b w:val="0"/>
          <w:i w:val="0"/>
          <w:sz w:val="21"/>
        </w:rPr>
        <w:t xml:space="preserve">其中 </w:t>
      </w:r>
      <w:r>
        <w:rPr>
          <w:rFonts w:ascii="Times New Roman" w:hAnsi="Times New Roman" w:eastAsia="宋体"/>
          <w:b w:val="0"/>
          <w:i/>
          <w:color w:val="1F3864"/>
          <w:sz w:val="21"/>
        </w:rPr>
        <w:t>sent_j</w:t>
      </w:r>
      <w:r>
        <w:rPr>
          <w:rFonts w:ascii="Times New Roman" w:hAnsi="Times New Roman" w:eastAsia="宋体"/>
          <w:b w:val="0"/>
          <w:i w:val="0"/>
          <w:sz w:val="21"/>
        </w:rPr>
        <w:t xml:space="preserve"> 为文本 </w:t>
      </w:r>
      <w:r>
        <w:rPr>
          <w:rFonts w:ascii="Times New Roman" w:hAnsi="Times New Roman" w:eastAsia="宋体"/>
          <w:b w:val="0"/>
          <w:i/>
          <w:color w:val="1F3864"/>
          <w:sz w:val="21"/>
        </w:rPr>
        <w:t>j</w:t>
      </w:r>
      <w:r>
        <w:rPr>
          <w:rFonts w:ascii="Times New Roman" w:hAnsi="Times New Roman" w:eastAsia="宋体"/>
          <w:b w:val="0"/>
          <w:i w:val="0"/>
          <w:sz w:val="21"/>
        </w:rPr>
        <w:t xml:space="preserve"> 的情绪得分，</w:t>
      </w:r>
      <w:r>
        <w:rPr>
          <w:rFonts w:ascii="Times New Roman" w:hAnsi="Times New Roman" w:eastAsia="宋体"/>
          <w:b w:val="0"/>
          <w:i/>
          <w:color w:val="1F3864"/>
          <w:sz w:val="21"/>
        </w:rPr>
        <w:t>γ&gt;0</w:t>
      </w:r>
      <w:r>
        <w:rPr>
          <w:rFonts w:ascii="Times New Roman" w:hAnsi="Times New Roman" w:eastAsia="宋体"/>
          <w:b w:val="0"/>
          <w:i w:val="0"/>
          <w:sz w:val="21"/>
        </w:rPr>
        <w:t xml:space="preserve"> 为时间衰减系数，</w:t>
      </w:r>
      <w:r>
        <w:rPr>
          <w:rFonts w:ascii="Times New Roman" w:hAnsi="Times New Roman" w:eastAsia="宋体"/>
          <w:b w:val="0"/>
          <w:i/>
          <w:color w:val="1F3864"/>
          <w:sz w:val="21"/>
        </w:rPr>
        <w:t>share_m,t</w:t>
      </w:r>
      <w:r>
        <w:rPr>
          <w:rFonts w:ascii="Times New Roman" w:hAnsi="Times New Roman" w:eastAsia="宋体"/>
          <w:b w:val="0"/>
          <w:i w:val="0"/>
          <w:sz w:val="21"/>
        </w:rPr>
        <w:t xml:space="preserve"> 为主题 </w:t>
      </w:r>
      <w:r>
        <w:rPr>
          <w:rFonts w:ascii="Times New Roman" w:hAnsi="Times New Roman" w:eastAsia="宋体"/>
          <w:b w:val="0"/>
          <w:i/>
          <w:color w:val="1F3864"/>
          <w:sz w:val="21"/>
        </w:rPr>
        <w:t>m</w:t>
      </w:r>
      <w:r>
        <w:rPr>
          <w:rFonts w:ascii="Times New Roman" w:hAnsi="Times New Roman" w:eastAsia="宋体"/>
          <w:b w:val="0"/>
          <w:i w:val="0"/>
          <w:sz w:val="21"/>
        </w:rPr>
        <w:t xml:space="preserve"> 在窗口内的占比，</w:t>
      </w:r>
      <w:r>
        <w:rPr>
          <w:rFonts w:ascii="Times New Roman" w:hAnsi="Times New Roman" w:eastAsia="宋体"/>
          <w:b w:val="0"/>
          <w:i/>
          <w:color w:val="1F3864"/>
          <w:sz w:val="21"/>
        </w:rPr>
        <w:t>uncertainty_t</w:t>
      </w:r>
      <w:r>
        <w:rPr>
          <w:rFonts w:ascii="Times New Roman" w:hAnsi="Times New Roman" w:eastAsia="宋体"/>
          <w:b w:val="0"/>
          <w:i w:val="0"/>
          <w:sz w:val="21"/>
        </w:rPr>
        <w:t xml:space="preserve"> 为政策不确定性度量。需要指出，不把“数值语义化”（如将收益率变化转为“大幅上行”标签）视为新增模态：它只是数值的另一种编码，其增量应通过消融实验检验，不能在方法层面预先宣称。</w:t>
      </w:r>
    </w:p>
    <w:p>
      <w:pPr>
        <w:pStyle w:val="Heading3"/>
      </w:pPr>
      <w:r>
        <w:rPr>
          <w:rFonts w:ascii="Times New Roman" w:hAnsi="Times New Roman" w:eastAsia="宋体"/>
          <w:b w:val="0"/>
          <w:i w:val="0"/>
          <w:sz w:val="23"/>
        </w:rPr>
        <w:t>4.1.4 融合预测器与模态贡献归因</w:t>
      </w:r>
    </w:p>
    <w:p>
      <w:r>
        <w:rPr>
          <w:rFonts w:ascii="Times New Roman" w:hAnsi="Times New Roman" w:eastAsia="宋体"/>
          <w:b w:val="0"/>
          <w:i w:val="0"/>
          <w:sz w:val="21"/>
        </w:rPr>
        <w:t xml:space="preserve">数值分支与文本分支的组合方式直接决定 P1 的检验对象。设数值特征预测器与文本特征预测器分别为 </w:t>
      </w:r>
      <w:r>
        <w:rPr>
          <w:rFonts w:ascii="Times New Roman" w:hAnsi="Times New Roman" w:eastAsia="宋体"/>
          <w:b w:val="0"/>
          <w:i/>
          <w:color w:val="1F3864"/>
          <w:sz w:val="21"/>
        </w:rPr>
        <w:t>g_n(x_t)</w:t>
      </w:r>
      <w:r>
        <w:rPr>
          <w:rFonts w:ascii="Times New Roman" w:hAnsi="Times New Roman" w:eastAsia="宋体"/>
          <w:b w:val="0"/>
          <w:i w:val="0"/>
          <w:sz w:val="21"/>
        </w:rPr>
        <w:t xml:space="preserve"> 与 </w:t>
      </w:r>
      <w:r>
        <w:rPr>
          <w:rFonts w:ascii="Times New Roman" w:hAnsi="Times New Roman" w:eastAsia="宋体"/>
          <w:b w:val="0"/>
          <w:i/>
          <w:color w:val="1F3864"/>
          <w:sz w:val="21"/>
        </w:rPr>
        <w:t>g_t(z_t)</w:t>
      </w:r>
      <w:r>
        <w:rPr>
          <w:rFonts w:ascii="Times New Roman" w:hAnsi="Times New Roman" w:eastAsia="宋体"/>
          <w:b w:val="0"/>
          <w:i w:val="0"/>
          <w:sz w:val="21"/>
        </w:rPr>
        <w:t>，本章比较三类融合策略：</w:t>
      </w:r>
    </w:p>
    <w:p>
      <w:pPr>
        <w:spacing w:before="80" w:after="80"/>
        <w:jc w:val="center"/>
      </w:pPr>
      <w:r>
        <w:rPr>
          <w:rFonts w:ascii="Times New Roman" w:hAnsi="Times New Roman" w:eastAsia="宋体"/>
          <w:b w:val="0"/>
          <w:i/>
          <w:color w:val="1F3864"/>
          <w:sz w:val="21"/>
        </w:rPr>
        <w:t>p_t,h= σ(β_0+β_nx_t+β_tz_t), 晚期融合（概率/特征级线性组合） σ(β[x_t;z_t]), 早期融合（特征拼接） σ(β_0+β_1 g_n(x_t)+β_2 g_t(z_t)), 堆叠融合 4-8</w:t>
      </w:r>
    </w:p>
    <w:p>
      <w:r>
        <w:rPr>
          <w:rFonts w:ascii="Times New Roman" w:hAnsi="Times New Roman" w:eastAsia="宋体"/>
          <w:b w:val="0"/>
          <w:i w:val="0"/>
          <w:sz w:val="21"/>
        </w:rPr>
        <w:t xml:space="preserve">其中 </w:t>
      </w:r>
      <w:r>
        <w:rPr>
          <w:rFonts w:ascii="Times New Roman" w:hAnsi="Times New Roman" w:eastAsia="宋体"/>
          <w:b w:val="0"/>
          <w:i/>
          <w:color w:val="1F3864"/>
          <w:sz w:val="21"/>
        </w:rPr>
        <w:t>σ(·)</w:t>
      </w:r>
      <w:r>
        <w:rPr>
          <w:rFonts w:ascii="Times New Roman" w:hAnsi="Times New Roman" w:eastAsia="宋体"/>
          <w:b w:val="0"/>
          <w:i w:val="0"/>
          <w:sz w:val="21"/>
        </w:rPr>
        <w:t xml:space="preserve"> 为 logistic 链接函数。实现上以梯度提升树（XGBoost）为基线模型（</w:t>
      </w:r>
      <w:r>
        <w:rPr>
          <w:rFonts w:ascii="Consolas" w:hAnsi="Consolas" w:eastAsia="Consolas"/>
          <w:b w:val="0"/>
          <w:i w:val="0"/>
          <w:color w:val="8B1E3F"/>
          <w:sz w:val="20"/>
        </w:rPr>
        <w:t>signal.baseline=xgboost</w:t>
      </w:r>
      <w:r>
        <w:rPr>
          <w:rFonts w:ascii="Times New Roman" w:hAnsi="Times New Roman" w:eastAsia="宋体"/>
          <w:b w:val="0"/>
          <w:i w:val="0"/>
          <w:sz w:val="21"/>
        </w:rPr>
        <w:t xml:space="preserve">），模型版本记为 </w:t>
      </w:r>
      <w:r>
        <w:rPr>
          <w:rFonts w:ascii="Consolas" w:hAnsi="Consolas" w:eastAsia="Consolas"/>
          <w:b w:val="0"/>
          <w:i w:val="0"/>
          <w:color w:val="8B1E3F"/>
          <w:sz w:val="20"/>
        </w:rPr>
        <w:t>signal.model_version=fusion-xgb-v1</w:t>
      </w:r>
      <w:r>
        <w:rPr>
          <w:rFonts w:ascii="Times New Roman" w:hAnsi="Times New Roman" w:eastAsia="宋体"/>
          <w:b w:val="0"/>
          <w:i w:val="0"/>
          <w:sz w:val="21"/>
        </w:rPr>
        <w:t xml:space="preserve">；概率输出经校准（如等渗回归）后使用，以降低概率系统性偏高或偏低对阈值决策的影响。融合预测器对每个预测期 </w:t>
      </w:r>
      <w:r>
        <w:rPr>
          <w:rFonts w:ascii="Times New Roman" w:hAnsi="Times New Roman" w:eastAsia="宋体"/>
          <w:b w:val="0"/>
          <w:i/>
          <w:color w:val="1F3864"/>
          <w:sz w:val="21"/>
        </w:rPr>
        <w:t>h</w:t>
      </w:r>
      <w:r>
        <w:rPr>
          <w:rFonts w:ascii="Times New Roman" w:hAnsi="Times New Roman" w:eastAsia="宋体"/>
          <w:b w:val="0"/>
          <w:i w:val="0"/>
          <w:sz w:val="21"/>
        </w:rPr>
        <w:t xml:space="preserve"> 分别输出概率，并构造统一的风险信号：</w:t>
      </w:r>
    </w:p>
    <w:p>
      <w:r>
        <w:rPr>
          <w:rFonts w:ascii="Times New Roman" w:hAnsi="Times New Roman" w:eastAsia="宋体"/>
          <w:b w:val="0"/>
          <w:i w:val="0"/>
          <w:sz w:val="21"/>
        </w:rPr>
        <w:t xml:space="preserve">RiskSignal 含 </w:t>
      </w:r>
      <w:r>
        <w:rPr>
          <w:rFonts w:ascii="Consolas" w:hAnsi="Consolas" w:eastAsia="Consolas"/>
          <w:b w:val="0"/>
          <w:i w:val="0"/>
          <w:color w:val="8B1E3F"/>
          <w:sz w:val="20"/>
        </w:rPr>
        <w:t>as_of</w:t>
      </w:r>
      <w:r>
        <w:rPr>
          <w:rFonts w:ascii="Times New Roman" w:hAnsi="Times New Roman" w:eastAsia="宋体"/>
          <w:b w:val="0"/>
          <w:i w:val="0"/>
          <w:sz w:val="21"/>
        </w:rPr>
        <w:t>、</w:t>
      </w:r>
      <w:r>
        <w:rPr>
          <w:rFonts w:ascii="Consolas" w:hAnsi="Consolas" w:eastAsia="Consolas"/>
          <w:b w:val="0"/>
          <w:i w:val="0"/>
          <w:color w:val="8B1E3F"/>
          <w:sz w:val="20"/>
        </w:rPr>
        <w:t>model_version</w:t>
      </w:r>
      <w:r>
        <w:rPr>
          <w:rFonts w:ascii="Times New Roman" w:hAnsi="Times New Roman" w:eastAsia="宋体"/>
          <w:b w:val="0"/>
          <w:i w:val="0"/>
          <w:sz w:val="21"/>
        </w:rPr>
        <w:t>、</w:t>
      </w:r>
      <w:r>
        <w:rPr>
          <w:rFonts w:ascii="Consolas" w:hAnsi="Consolas" w:eastAsia="Consolas"/>
          <w:b w:val="0"/>
          <w:i w:val="0"/>
          <w:color w:val="8B1E3F"/>
          <w:sz w:val="20"/>
        </w:rPr>
        <w:t>horizons</w:t>
      </w:r>
      <w:r>
        <w:rPr>
          <w:rFonts w:ascii="Times New Roman" w:hAnsi="Times New Roman" w:eastAsia="宋体"/>
          <w:b w:val="0"/>
          <w:i w:val="0"/>
          <w:sz w:val="21"/>
        </w:rPr>
        <w:t>（5/10/20 日概率）、</w:t>
      </w:r>
      <w:r>
        <w:rPr>
          <w:rFonts w:ascii="Consolas" w:hAnsi="Consolas" w:eastAsia="Consolas"/>
          <w:b w:val="0"/>
          <w:i w:val="0"/>
          <w:color w:val="8B1E3F"/>
          <w:sz w:val="20"/>
        </w:rPr>
        <w:t>percentile</w:t>
      </w:r>
      <w:r>
        <w:rPr>
          <w:rFonts w:ascii="Times New Roman" w:hAnsi="Times New Roman" w:eastAsia="宋体"/>
          <w:b w:val="0"/>
          <w:i w:val="0"/>
          <w:sz w:val="21"/>
        </w:rPr>
        <w:t>、</w:t>
      </w:r>
      <w:r>
        <w:rPr>
          <w:rFonts w:ascii="Consolas" w:hAnsi="Consolas" w:eastAsia="Consolas"/>
          <w:b w:val="0"/>
          <w:i w:val="0"/>
          <w:color w:val="8B1E3F"/>
          <w:sz w:val="20"/>
        </w:rPr>
        <w:t>level</w:t>
      </w:r>
      <w:r>
        <w:rPr>
          <w:rFonts w:ascii="Times New Roman" w:hAnsi="Times New Roman" w:eastAsia="宋体"/>
          <w:b w:val="0"/>
          <w:i w:val="0"/>
          <w:sz w:val="21"/>
        </w:rPr>
        <w:t>（低/中/高/极高）、</w:t>
      </w:r>
      <w:r>
        <w:rPr>
          <w:rFonts w:ascii="Consolas" w:hAnsi="Consolas" w:eastAsia="Consolas"/>
          <w:b w:val="0"/>
          <w:i w:val="0"/>
          <w:color w:val="8B1E3F"/>
          <w:sz w:val="20"/>
        </w:rPr>
        <w:t>drivers</w:t>
      </w:r>
      <w:r>
        <w:rPr>
          <w:rFonts w:ascii="Times New Roman" w:hAnsi="Times New Roman" w:eastAsia="宋体"/>
          <w:b w:val="0"/>
          <w:i w:val="0"/>
          <w:sz w:val="21"/>
        </w:rPr>
        <w:t>（因子、贡献与方向）、</w:t>
      </w:r>
      <w:r>
        <w:rPr>
          <w:rFonts w:ascii="Consolas" w:hAnsi="Consolas" w:eastAsia="Consolas"/>
          <w:b w:val="0"/>
          <w:i w:val="0"/>
          <w:color w:val="8B1E3F"/>
          <w:sz w:val="20"/>
        </w:rPr>
        <w:t>modality_contrib</w:t>
      </w:r>
      <w:r>
        <w:rPr>
          <w:rFonts w:ascii="Times New Roman" w:hAnsi="Times New Roman" w:eastAsia="宋体"/>
          <w:b w:val="0"/>
          <w:i w:val="0"/>
          <w:sz w:val="21"/>
        </w:rPr>
        <w:t>、</w:t>
      </w:r>
      <w:r>
        <w:rPr>
          <w:rFonts w:ascii="Consolas" w:hAnsi="Consolas" w:eastAsia="Consolas"/>
          <w:b w:val="0"/>
          <w:i w:val="0"/>
          <w:color w:val="8B1E3F"/>
          <w:sz w:val="20"/>
        </w:rPr>
        <w:t>label_version</w:t>
      </w:r>
      <w:r>
        <w:rPr>
          <w:rFonts w:ascii="Times New Roman" w:hAnsi="Times New Roman" w:eastAsia="宋体"/>
          <w:b w:val="0"/>
          <w:i w:val="0"/>
          <w:sz w:val="21"/>
        </w:rPr>
        <w:t xml:space="preserve"> 与 </w:t>
      </w:r>
      <w:r>
        <w:rPr>
          <w:rFonts w:ascii="Consolas" w:hAnsi="Consolas" w:eastAsia="Consolas"/>
          <w:b w:val="0"/>
          <w:i w:val="0"/>
          <w:color w:val="8B1E3F"/>
          <w:sz w:val="20"/>
        </w:rPr>
        <w:t>evidence_id</w:t>
      </w:r>
      <w:r>
        <w:rPr>
          <w:rFonts w:ascii="Times New Roman" w:hAnsi="Times New Roman" w:eastAsia="宋体"/>
          <w:b w:val="0"/>
          <w:i w:val="0"/>
          <w:sz w:val="21"/>
        </w:rPr>
        <w:t xml:space="preserve">。该信号写入证据黑板，三类智能体引用同一 </w:t>
      </w:r>
      <w:r>
        <w:rPr>
          <w:rFonts w:ascii="Consolas" w:hAnsi="Consolas" w:eastAsia="Consolas"/>
          <w:b w:val="0"/>
          <w:i w:val="0"/>
          <w:color w:val="8B1E3F"/>
          <w:sz w:val="20"/>
        </w:rPr>
        <w:t>evidence_id</w:t>
      </w:r>
      <w:r>
        <w:rPr>
          <w:rFonts w:ascii="Times New Roman" w:hAnsi="Times New Roman" w:eastAsia="宋体"/>
          <w:b w:val="0"/>
          <w:i w:val="0"/>
          <w:sz w:val="21"/>
        </w:rPr>
        <w:t>，从而在结构上保证“单一风险锚”：主体差异只能来自其目标、权限与阈值，不能来自信号本身的差异。</w:t>
      </w:r>
    </w:p>
    <w:p>
      <w:r>
        <w:rPr>
          <w:rFonts w:ascii="Times New Roman" w:hAnsi="Times New Roman" w:eastAsia="宋体"/>
          <w:b w:val="0"/>
          <w:i w:val="0"/>
          <w:sz w:val="21"/>
        </w:rPr>
        <w:t xml:space="preserve">模态贡献与驱动归因用于解释“预测由何而来”。对模态 </w:t>
      </w:r>
      <w:r>
        <w:rPr>
          <w:rFonts w:ascii="Times New Roman" w:hAnsi="Times New Roman" w:eastAsia="宋体"/>
          <w:b w:val="0"/>
          <w:i/>
          <w:color w:val="1F3864"/>
          <w:sz w:val="21"/>
        </w:rPr>
        <w:t>m∈numeric,text</w:t>
      </w:r>
      <w:r>
        <w:rPr>
          <w:rFonts w:ascii="Times New Roman" w:hAnsi="Times New Roman" w:eastAsia="宋体"/>
          <w:b w:val="0"/>
          <w:i w:val="0"/>
          <w:sz w:val="21"/>
        </w:rPr>
        <w:t xml:space="preserve">，以归因值 </w:t>
      </w:r>
      <w:r>
        <w:rPr>
          <w:rFonts w:ascii="Times New Roman" w:hAnsi="Times New Roman" w:eastAsia="宋体"/>
          <w:b w:val="0"/>
          <w:i/>
          <w:color w:val="1F3864"/>
          <w:sz w:val="21"/>
        </w:rPr>
        <w:t>φ_f</w:t>
      </w:r>
      <w:r>
        <w:rPr>
          <w:rFonts w:ascii="Times New Roman" w:hAnsi="Times New Roman" w:eastAsia="宋体"/>
          <w:b w:val="0"/>
          <w:i w:val="0"/>
          <w:sz w:val="21"/>
        </w:rPr>
        <w:t xml:space="preserve"> 聚合其所属特征：</w:t>
      </w:r>
    </w:p>
    <w:p>
      <w:pPr>
        <w:spacing w:before="80" w:after="80"/>
        <w:jc w:val="center"/>
      </w:pPr>
      <w:r>
        <w:rPr>
          <w:rFonts w:ascii="Times New Roman" w:hAnsi="Times New Roman" w:eastAsia="宋体"/>
          <w:b w:val="0"/>
          <w:i/>
          <w:color w:val="1F3864"/>
          <w:sz w:val="21"/>
        </w:rPr>
        <w:t>φ_m=Σ_f_mφ_f, c_m=|φ_m|Σ_m'|φ_m'| 4-9</w:t>
      </w:r>
    </w:p>
    <w:p>
      <w:r>
        <w:rPr>
          <w:rFonts w:ascii="Times New Roman" w:hAnsi="Times New Roman" w:eastAsia="宋体"/>
          <w:b w:val="0"/>
          <w:i w:val="0"/>
          <w:sz w:val="21"/>
        </w:rPr>
        <w:t xml:space="preserve">其中 </w:t>
      </w:r>
      <w:r>
        <w:rPr>
          <w:rFonts w:ascii="Times New Roman" w:hAnsi="Times New Roman" w:eastAsia="宋体"/>
          <w:b w:val="0"/>
          <w:i/>
          <w:color w:val="1F3864"/>
          <w:sz w:val="21"/>
        </w:rPr>
        <w:t>F_m</w:t>
      </w:r>
      <w:r>
        <w:rPr>
          <w:rFonts w:ascii="Times New Roman" w:hAnsi="Times New Roman" w:eastAsia="宋体"/>
          <w:b w:val="0"/>
          <w:i w:val="0"/>
          <w:sz w:val="21"/>
        </w:rPr>
        <w:t xml:space="preserve"> 为模态 </w:t>
      </w:r>
      <w:r>
        <w:rPr>
          <w:rFonts w:ascii="Times New Roman" w:hAnsi="Times New Roman" w:eastAsia="宋体"/>
          <w:b w:val="0"/>
          <w:i/>
          <w:color w:val="1F3864"/>
          <w:sz w:val="21"/>
        </w:rPr>
        <w:t>m</w:t>
      </w:r>
      <w:r>
        <w:rPr>
          <w:rFonts w:ascii="Times New Roman" w:hAnsi="Times New Roman" w:eastAsia="宋体"/>
          <w:b w:val="0"/>
          <w:i w:val="0"/>
          <w:sz w:val="21"/>
        </w:rPr>
        <w:t xml:space="preserve"> 的特征集合，</w:t>
      </w:r>
      <w:r>
        <w:rPr>
          <w:rFonts w:ascii="Times New Roman" w:hAnsi="Times New Roman" w:eastAsia="宋体"/>
          <w:b w:val="0"/>
          <w:i/>
          <w:color w:val="1F3864"/>
          <w:sz w:val="21"/>
        </w:rPr>
        <w:t>c_m</w:t>
      </w:r>
      <w:r>
        <w:rPr>
          <w:rFonts w:ascii="Times New Roman" w:hAnsi="Times New Roman" w:eastAsia="宋体"/>
          <w:b w:val="0"/>
          <w:i w:val="0"/>
          <w:sz w:val="21"/>
        </w:rPr>
        <w:t xml:space="preserve"> 即 </w:t>
      </w:r>
      <w:r>
        <w:rPr>
          <w:rFonts w:ascii="Consolas" w:hAnsi="Consolas" w:eastAsia="Consolas"/>
          <w:b w:val="0"/>
          <w:i w:val="0"/>
          <w:color w:val="8B1E3F"/>
          <w:sz w:val="20"/>
        </w:rPr>
        <w:t>modality_contrib</w:t>
      </w:r>
      <w:r>
        <w:rPr>
          <w:rFonts w:ascii="Times New Roman" w:hAnsi="Times New Roman" w:eastAsia="宋体"/>
          <w:b w:val="0"/>
          <w:i w:val="0"/>
          <w:sz w:val="21"/>
        </w:rPr>
        <w:t xml:space="preserve"> 的取值；驱动因子按 </w:t>
      </w:r>
      <w:r>
        <w:rPr>
          <w:rFonts w:ascii="Times New Roman" w:hAnsi="Times New Roman" w:eastAsia="宋体"/>
          <w:b w:val="0"/>
          <w:i/>
          <w:color w:val="1F3864"/>
          <w:sz w:val="21"/>
        </w:rPr>
        <w:t>|φ_f|</w:t>
      </w:r>
      <w:r>
        <w:rPr>
          <w:rFonts w:ascii="Times New Roman" w:hAnsi="Times New Roman" w:eastAsia="宋体"/>
          <w:b w:val="0"/>
          <w:i w:val="0"/>
          <w:sz w:val="21"/>
        </w:rPr>
        <w:t xml:space="preserve"> 排序取前若干项，并保留贡献方向（</w:t>
      </w:r>
      <w:r>
        <w:rPr>
          <w:rFonts w:ascii="Consolas" w:hAnsi="Consolas" w:eastAsia="Consolas"/>
          <w:b w:val="0"/>
          <w:i w:val="0"/>
          <w:color w:val="8B1E3F"/>
          <w:sz w:val="20"/>
        </w:rPr>
        <w:t>RiskDriver.direction</w:t>
      </w:r>
      <w:r>
        <w:rPr>
          <w:rFonts w:ascii="Times New Roman" w:hAnsi="Times New Roman" w:eastAsia="宋体"/>
          <w:b w:val="0"/>
          <w:i w:val="0"/>
          <w:sz w:val="21"/>
        </w:rPr>
        <w:t>）。必须说明，这类归因是模型解释而非因果识别：它回答“预测在多大程度上依赖某模态/某因子”，不回答“该因子是否在因果意义上导致风险”；方法上以“解释性归因”定位，避免在管理含义上过度外推。</w:t>
      </w:r>
    </w:p>
    <w:p>
      <w:pPr>
        <w:pStyle w:val="Heading3"/>
      </w:pPr>
      <w:r>
        <w:rPr>
          <w:rFonts w:ascii="Times New Roman" w:hAnsi="Times New Roman" w:eastAsia="宋体"/>
          <w:b w:val="0"/>
          <w:i w:val="0"/>
          <w:sz w:val="23"/>
        </w:rPr>
        <w:t>4.1.5 P1 的可检验设计</w:t>
      </w:r>
    </w:p>
    <w:p>
      <w:r>
        <w:rPr>
          <w:rFonts w:ascii="Times New Roman" w:hAnsi="Times New Roman" w:eastAsia="宋体"/>
          <w:b w:val="0"/>
          <w:i w:val="0"/>
          <w:sz w:val="21"/>
        </w:rPr>
        <w:t xml:space="preserve">P1 检验的核心是“在传统金融指标基础上，融合事前可得的多模态风险信息能否改善样本外预警表现”。为此，P1 实验（配置见 </w:t>
      </w:r>
      <w:r>
        <w:rPr>
          <w:rFonts w:ascii="Consolas" w:hAnsi="Consolas" w:eastAsia="Consolas"/>
          <w:b w:val="0"/>
          <w:i w:val="0"/>
          <w:color w:val="8B1E3F"/>
          <w:sz w:val="20"/>
        </w:rPr>
        <w:t>configs/experiments/p1_modality.yaml</w:t>
      </w:r>
      <w:r>
        <w:rPr>
          <w:rFonts w:ascii="Times New Roman" w:hAnsi="Times New Roman" w:eastAsia="宋体"/>
          <w:b w:val="0"/>
          <w:i w:val="0"/>
          <w:sz w:val="21"/>
        </w:rPr>
        <w:t xml:space="preserve">，run_id 为 </w:t>
      </w:r>
      <w:r>
        <w:rPr>
          <w:rFonts w:ascii="Consolas" w:hAnsi="Consolas" w:eastAsia="Consolas"/>
          <w:b w:val="0"/>
          <w:i w:val="0"/>
          <w:color w:val="8B1E3F"/>
          <w:sz w:val="20"/>
        </w:rPr>
        <w:t>p1_modality_v1</w:t>
      </w:r>
      <w:r>
        <w:rPr>
          <w:rFonts w:ascii="Times New Roman" w:hAnsi="Times New Roman" w:eastAsia="宋体"/>
          <w:b w:val="0"/>
          <w:i w:val="0"/>
          <w:sz w:val="21"/>
        </w:rPr>
        <w:t>）只评估融合预测器、不启用大语言模型与智能体（</w:t>
      </w:r>
      <w:r>
        <w:rPr>
          <w:rFonts w:ascii="Consolas" w:hAnsi="Consolas" w:eastAsia="Consolas"/>
          <w:b w:val="0"/>
          <w:i w:val="0"/>
          <w:color w:val="8B1E3F"/>
          <w:sz w:val="20"/>
        </w:rPr>
        <w:t>agents.enabled=false</w:t>
      </w:r>
      <w:r>
        <w:rPr>
          <w:rFonts w:ascii="Times New Roman" w:hAnsi="Times New Roman" w:eastAsia="宋体"/>
          <w:b w:val="0"/>
          <w:i w:val="0"/>
          <w:sz w:val="21"/>
        </w:rPr>
        <w:t>），从而把信息效应与智能体效应分离。两组配置仅模态开关不同：E1 为 numeric-only（</w:t>
      </w:r>
      <w:r>
        <w:rPr>
          <w:rFonts w:ascii="Consolas" w:hAnsi="Consolas" w:eastAsia="Consolas"/>
          <w:b w:val="0"/>
          <w:i w:val="0"/>
          <w:color w:val="8B1E3F"/>
          <w:sz w:val="20"/>
        </w:rPr>
        <w:t>modality.numeric=true, text=false</w:t>
      </w:r>
      <w:r>
        <w:rPr>
          <w:rFonts w:ascii="Times New Roman" w:hAnsi="Times New Roman" w:eastAsia="宋体"/>
          <w:b w:val="0"/>
          <w:i w:val="0"/>
          <w:sz w:val="21"/>
        </w:rPr>
        <w:t>），E2 为 numeric+text；标签版本、预测期限、评估窗口、滚动重训频率与随机种子保持一致。</w:t>
      </w:r>
    </w:p>
    <w:p>
      <w:r>
        <w:rPr>
          <w:rFonts w:ascii="Times New Roman" w:hAnsi="Times New Roman" w:eastAsia="宋体"/>
          <w:b w:val="0"/>
          <w:i w:val="0"/>
          <w:sz w:val="21"/>
        </w:rPr>
        <w:t>评价指标包括：PR-AUC（高压力事件稀疏条件下的主指标）、top-decile 召回率（</w:t>
      </w:r>
      <w:r>
        <w:rPr>
          <w:rFonts w:ascii="Consolas" w:hAnsi="Consolas" w:eastAsia="Consolas"/>
          <w:b w:val="0"/>
          <w:i w:val="0"/>
          <w:color w:val="8B1E3F"/>
          <w:sz w:val="20"/>
        </w:rPr>
        <w:t>recall_at_top_decile</w:t>
      </w:r>
      <w:r>
        <w:rPr>
          <w:rFonts w:ascii="Times New Roman" w:hAnsi="Times New Roman" w:eastAsia="宋体"/>
          <w:b w:val="0"/>
          <w:i w:val="0"/>
          <w:sz w:val="21"/>
        </w:rPr>
        <w:t>，对应预警资源有限时的实际可用性）、Brier 分数与期望校准误差（ECE，衡量概率校准）、预警提前期（</w:t>
      </w:r>
      <w:r>
        <w:rPr>
          <w:rFonts w:ascii="Consolas" w:hAnsi="Consolas" w:eastAsia="Consolas"/>
          <w:b w:val="0"/>
          <w:i w:val="0"/>
          <w:color w:val="8B1E3F"/>
          <w:sz w:val="20"/>
        </w:rPr>
        <w:t>lead_time_days</w:t>
      </w:r>
      <w:r>
        <w:rPr>
          <w:rFonts w:ascii="Times New Roman" w:hAnsi="Times New Roman" w:eastAsia="宋体"/>
          <w:b w:val="0"/>
          <w:i w:val="0"/>
          <w:sz w:val="21"/>
        </w:rPr>
        <w:t>，仅对命中的压力事件计算，详见 4.5 指标定义）。增量效应定义为同一评估日集合上的配对差：</w:t>
      </w:r>
    </w:p>
    <w:p>
      <w:pPr>
        <w:spacing w:before="80" w:after="80"/>
        <w:jc w:val="center"/>
      </w:pPr>
      <w:r>
        <w:rPr>
          <w:rFonts w:ascii="Times New Roman" w:hAnsi="Times New Roman" w:eastAsia="宋体"/>
          <w:b w:val="0"/>
          <w:i/>
          <w:color w:val="1F3864"/>
          <w:sz w:val="21"/>
        </w:rPr>
        <w:t>Δ_P1=metric(E2)-metric(E1) 4-10</w:t>
      </w:r>
    </w:p>
    <w:p>
      <w:r>
        <w:rPr>
          <w:rFonts w:ascii="Times New Roman" w:hAnsi="Times New Roman" w:eastAsia="宋体"/>
          <w:b w:val="0"/>
          <w:i w:val="0"/>
          <w:sz w:val="21"/>
        </w:rPr>
        <w:t xml:space="preserve">并以配对 bootstrap 构造置信区间（默认 1000 次重抽样），检验 </w:t>
      </w:r>
      <w:r>
        <w:rPr>
          <w:rFonts w:ascii="Times New Roman" w:hAnsi="Times New Roman" w:eastAsia="宋体"/>
          <w:b w:val="0"/>
          <w:i/>
          <w:color w:val="1F3864"/>
          <w:sz w:val="21"/>
        </w:rPr>
        <w:t>Δ_P1</w:t>
      </w:r>
      <w:r>
        <w:rPr>
          <w:rFonts w:ascii="Times New Roman" w:hAnsi="Times New Roman" w:eastAsia="宋体"/>
          <w:b w:val="0"/>
          <w:i w:val="0"/>
          <w:sz w:val="21"/>
        </w:rPr>
        <w:t xml:space="preserve"> 是否显著异于零。该设计还要求报告分期限、分压力状态与文本源替换结果，以识别文本模态的适用边界；若 </w:t>
      </w:r>
      <w:r>
        <w:rPr>
          <w:rFonts w:ascii="Times New Roman" w:hAnsi="Times New Roman" w:eastAsia="宋体"/>
          <w:b w:val="0"/>
          <w:i/>
          <w:color w:val="1F3864"/>
          <w:sz w:val="21"/>
        </w:rPr>
        <w:t>Δ_P1</w:t>
      </w:r>
      <w:r>
        <w:rPr>
          <w:rFonts w:ascii="Times New Roman" w:hAnsi="Times New Roman" w:eastAsia="宋体"/>
          <w:b w:val="0"/>
          <w:i w:val="0"/>
          <w:sz w:val="21"/>
        </w:rPr>
        <w:t xml:space="preserve"> 在部分期限或状态下不显著，则构成适用边界的发现，而非简单证伪。</w:t>
      </w:r>
    </w:p>
    <w:p>
      <w:pPr>
        <w:jc w:val="center"/>
      </w:pPr>
      <w:r>
        <w:drawing>
          <wp:inline xmlns:a="http://schemas.openxmlformats.org/drawingml/2006/main" xmlns:pic="http://schemas.openxmlformats.org/drawingml/2006/picture">
            <wp:extent cx="5760000" cy="852480"/>
            <wp:docPr id="2" name="Picture 2"/>
            <wp:cNvGraphicFramePr>
              <a:graphicFrameLocks noChangeAspect="1"/>
            </wp:cNvGraphicFramePr>
            <a:graphic>
              <a:graphicData uri="http://schemas.openxmlformats.org/drawingml/2006/picture">
                <pic:pic>
                  <pic:nvPicPr>
                    <pic:cNvPr id="0" name="fig_02.png"/>
                    <pic:cNvPicPr/>
                  </pic:nvPicPr>
                  <pic:blipFill>
                    <a:blip r:embed="rId11"/>
                    <a:stretch>
                      <a:fillRect/>
                    </a:stretch>
                  </pic:blipFill>
                  <pic:spPr>
                    <a:xfrm>
                      <a:off x="0" y="0"/>
                      <a:ext cx="5760000" cy="852480"/>
                    </a:xfrm>
                    <a:prstGeom prst="rect"/>
                  </pic:spPr>
                </pic:pic>
              </a:graphicData>
            </a:graphic>
          </wp:inline>
        </w:drawing>
      </w:r>
    </w:p>
    <w:p>
      <w:pPr>
        <w:spacing w:after="160"/>
        <w:jc w:val="center"/>
      </w:pPr>
      <w:r>
        <w:rPr>
          <w:rFonts w:ascii="Times New Roman" w:hAnsi="Times New Roman" w:eastAsia="宋体"/>
          <w:b/>
          <w:i w:val="0"/>
          <w:color w:val="1F3864"/>
          <w:sz w:val="19"/>
        </w:rPr>
        <w:t>图 4-2 多模态融合数据流与 P1 消融对象</w:t>
      </w:r>
    </w:p>
    <w:p>
      <w:pPr>
        <w:pStyle w:val="Heading2"/>
      </w:pPr>
      <w:r>
        <w:rPr>
          <w:rFonts w:ascii="Times New Roman" w:hAnsi="Times New Roman" w:eastAsia="宋体"/>
          <w:b w:val="0"/>
          <w:i w:val="0"/>
          <w:sz w:val="26"/>
        </w:rPr>
        <w:t>4.2 金融知识增强与专业工具调用</w:t>
      </w:r>
    </w:p>
    <w:p>
      <w:r>
        <w:rPr>
          <w:rFonts w:ascii="Times New Roman" w:hAnsi="Times New Roman" w:eastAsia="宋体"/>
          <w:b w:val="0"/>
          <w:i w:val="0"/>
          <w:sz w:val="21"/>
        </w:rPr>
        <w:t>【对应命题 P2；实验章节：5.2、5.3、6.2；实现：L3 知识与工具层、横切 A、</w:t>
      </w:r>
      <w:r>
        <w:rPr>
          <w:rFonts w:ascii="Consolas" w:hAnsi="Consolas" w:eastAsia="Consolas"/>
          <w:b w:val="0"/>
          <w:i w:val="0"/>
          <w:color w:val="8B1E3F"/>
          <w:sz w:val="20"/>
        </w:rPr>
        <w:t>src/cbr/knowledge/</w:t>
      </w:r>
      <w:r>
        <w:rPr>
          <w:rFonts w:ascii="Times New Roman" w:hAnsi="Times New Roman" w:eastAsia="宋体"/>
          <w:b w:val="0"/>
          <w:i w:val="0"/>
          <w:sz w:val="21"/>
        </w:rPr>
        <w:t>、</w:t>
      </w:r>
      <w:r>
        <w:rPr>
          <w:rFonts w:ascii="Consolas" w:hAnsi="Consolas" w:eastAsia="Consolas"/>
          <w:b w:val="0"/>
          <w:i w:val="0"/>
          <w:color w:val="8B1E3F"/>
          <w:sz w:val="20"/>
        </w:rPr>
        <w:t>src/cbr/tools/</w:t>
      </w:r>
      <w:r>
        <w:rPr>
          <w:rFonts w:ascii="Times New Roman" w:hAnsi="Times New Roman" w:eastAsia="宋体"/>
          <w:b w:val="0"/>
          <w:i w:val="0"/>
          <w:sz w:val="21"/>
        </w:rPr>
        <w:t>】</w:t>
      </w:r>
    </w:p>
    <w:p>
      <w:r>
        <w:rPr>
          <w:rFonts w:ascii="Times New Roman" w:hAnsi="Times New Roman" w:eastAsia="宋体"/>
          <w:b w:val="0"/>
          <w:i w:val="0"/>
          <w:sz w:val="21"/>
        </w:rPr>
        <w:t>大语言模型在风险预警中的两类典型失败，是数值幻觉与无依据断言：前者表现为生成看似合理但无法复算的数字，后者表现为给出无法对应到公开文本的判断。对策是把“计算”与“引用”从生成过程剥离：数值交由确定性金融工具计算，事实与规则由时点过滤的知识库提供，语言模型只负责规划、选择、比较与解释。由此，4.2.1 讨论知识库构建与检索，4.2.2 定义工具契约与权限矩阵，4.2.3 给出数值核验与无依据断言度量，4.2.4 明确语言模型与工具的职责边界，并给出 P2 的消融设计。</w:t>
      </w:r>
    </w:p>
    <w:p>
      <w:pPr>
        <w:pStyle w:val="Heading3"/>
      </w:pPr>
      <w:r>
        <w:rPr>
          <w:rFonts w:ascii="Times New Roman" w:hAnsi="Times New Roman" w:eastAsia="宋体"/>
          <w:b w:val="0"/>
          <w:i w:val="0"/>
          <w:sz w:val="23"/>
        </w:rPr>
        <w:t>4.2.1 时点知识库的构建与检索</w:t>
      </w:r>
    </w:p>
    <w:p>
      <w:r>
        <w:rPr>
          <w:rFonts w:ascii="Times New Roman" w:hAnsi="Times New Roman" w:eastAsia="宋体"/>
          <w:b w:val="0"/>
          <w:i w:val="0"/>
          <w:sz w:val="21"/>
        </w:rPr>
        <w:t>知识库承载四类内容：监管政策与跨境资本管理规则原文、金融风险测度方法学（VaR、CoVaR、Diebold–Yilmaz 溢出等定义与口径）、历史压力事件复盘材料、指标口径与数据说明。知识库的价值在于让每条文本判断可回溯出处，最小单位是可引用片段而非整篇文档。</w:t>
      </w:r>
    </w:p>
    <w:p>
      <w:r>
        <w:rPr>
          <w:rFonts w:ascii="Times New Roman" w:hAnsi="Times New Roman" w:eastAsia="宋体"/>
          <w:b w:val="0"/>
          <w:i w:val="0"/>
          <w:sz w:val="21"/>
        </w:rPr>
        <w:t>每个知识片段（chunk）携带完整元数据：</w:t>
      </w:r>
      <w:r>
        <w:rPr>
          <w:rFonts w:ascii="Consolas" w:hAnsi="Consolas" w:eastAsia="Consolas"/>
          <w:b w:val="0"/>
          <w:i w:val="0"/>
          <w:color w:val="8B1E3F"/>
          <w:sz w:val="20"/>
        </w:rPr>
        <w:t>chunk_id</w:t>
      </w:r>
      <w:r>
        <w:rPr>
          <w:rFonts w:ascii="Times New Roman" w:hAnsi="Times New Roman" w:eastAsia="宋体"/>
          <w:b w:val="0"/>
          <w:i w:val="0"/>
          <w:sz w:val="21"/>
        </w:rPr>
        <w:t>、</w:t>
      </w:r>
      <w:r>
        <w:rPr>
          <w:rFonts w:ascii="Consolas" w:hAnsi="Consolas" w:eastAsia="Consolas"/>
          <w:b w:val="0"/>
          <w:i w:val="0"/>
          <w:color w:val="8B1E3F"/>
          <w:sz w:val="20"/>
        </w:rPr>
        <w:t>doc_id</w:t>
      </w:r>
      <w:r>
        <w:rPr>
          <w:rFonts w:ascii="Times New Roman" w:hAnsi="Times New Roman" w:eastAsia="宋体"/>
          <w:b w:val="0"/>
          <w:i w:val="0"/>
          <w:sz w:val="21"/>
        </w:rPr>
        <w:t>、</w:t>
      </w:r>
      <w:r>
        <w:rPr>
          <w:rFonts w:ascii="Consolas" w:hAnsi="Consolas" w:eastAsia="Consolas"/>
          <w:b w:val="0"/>
          <w:i w:val="0"/>
          <w:color w:val="8B1E3F"/>
          <w:sz w:val="20"/>
        </w:rPr>
        <w:t>publish_time</w:t>
      </w:r>
      <w:r>
        <w:rPr>
          <w:rFonts w:ascii="Times New Roman" w:hAnsi="Times New Roman" w:eastAsia="宋体"/>
          <w:b w:val="0"/>
          <w:i w:val="0"/>
          <w:sz w:val="21"/>
        </w:rPr>
        <w:t>、</w:t>
      </w:r>
      <w:r>
        <w:rPr>
          <w:rFonts w:ascii="Consolas" w:hAnsi="Consolas" w:eastAsia="Consolas"/>
          <w:b w:val="0"/>
          <w:i w:val="0"/>
          <w:color w:val="8B1E3F"/>
          <w:sz w:val="20"/>
        </w:rPr>
        <w:t>source</w:t>
      </w:r>
      <w:r>
        <w:rPr>
          <w:rFonts w:ascii="Times New Roman" w:hAnsi="Times New Roman" w:eastAsia="宋体"/>
          <w:b w:val="0"/>
          <w:i w:val="0"/>
          <w:sz w:val="21"/>
        </w:rPr>
        <w:t>、</w:t>
      </w:r>
      <w:r>
        <w:rPr>
          <w:rFonts w:ascii="Consolas" w:hAnsi="Consolas" w:eastAsia="Consolas"/>
          <w:b w:val="0"/>
          <w:i w:val="0"/>
          <w:color w:val="8B1E3F"/>
          <w:sz w:val="20"/>
        </w:rPr>
        <w:t>section</w:t>
      </w:r>
      <w:r>
        <w:rPr>
          <w:rFonts w:ascii="Times New Roman" w:hAnsi="Times New Roman" w:eastAsia="宋体"/>
          <w:b w:val="0"/>
          <w:i w:val="0"/>
          <w:sz w:val="21"/>
        </w:rPr>
        <w:t>、</w:t>
      </w:r>
      <w:r>
        <w:rPr>
          <w:rFonts w:ascii="Consolas" w:hAnsi="Consolas" w:eastAsia="Consolas"/>
          <w:b w:val="0"/>
          <w:i w:val="0"/>
          <w:color w:val="8B1E3F"/>
          <w:sz w:val="20"/>
        </w:rPr>
        <w:t>version</w:t>
      </w:r>
      <w:r>
        <w:rPr>
          <w:rFonts w:ascii="Times New Roman" w:hAnsi="Times New Roman" w:eastAsia="宋体"/>
          <w:b w:val="0"/>
          <w:i w:val="0"/>
          <w:sz w:val="21"/>
        </w:rPr>
        <w:t xml:space="preserve"> 与 </w:t>
      </w:r>
      <w:r>
        <w:rPr>
          <w:rFonts w:ascii="Consolas" w:hAnsi="Consolas" w:eastAsia="Consolas"/>
          <w:b w:val="0"/>
          <w:i w:val="0"/>
          <w:color w:val="8B1E3F"/>
          <w:sz w:val="20"/>
        </w:rPr>
        <w:t>hash</w:t>
      </w:r>
      <w:r>
        <w:rPr>
          <w:rFonts w:ascii="Times New Roman" w:hAnsi="Times New Roman" w:eastAsia="宋体"/>
          <w:b w:val="0"/>
          <w:i w:val="0"/>
          <w:sz w:val="21"/>
        </w:rPr>
        <w:t xml:space="preserve">。其中 </w:t>
      </w:r>
      <w:r>
        <w:rPr>
          <w:rFonts w:ascii="Consolas" w:hAnsi="Consolas" w:eastAsia="Consolas"/>
          <w:b w:val="0"/>
          <w:i w:val="0"/>
          <w:color w:val="8B1E3F"/>
          <w:sz w:val="20"/>
        </w:rPr>
        <w:t>publish_time</w:t>
      </w:r>
      <w:r>
        <w:rPr>
          <w:rFonts w:ascii="Times New Roman" w:hAnsi="Times New Roman" w:eastAsia="宋体"/>
          <w:b w:val="0"/>
          <w:i w:val="0"/>
          <w:sz w:val="21"/>
        </w:rPr>
        <w:t xml:space="preserve"> 是时点合法性的依据，</w:t>
      </w:r>
      <w:r>
        <w:rPr>
          <w:rFonts w:ascii="Consolas" w:hAnsi="Consolas" w:eastAsia="Consolas"/>
          <w:b w:val="0"/>
          <w:i w:val="0"/>
          <w:color w:val="8B1E3F"/>
          <w:sz w:val="20"/>
        </w:rPr>
        <w:t>version</w:t>
      </w:r>
      <w:r>
        <w:rPr>
          <w:rFonts w:ascii="Times New Roman" w:hAnsi="Times New Roman" w:eastAsia="宋体"/>
          <w:b w:val="0"/>
          <w:i w:val="0"/>
          <w:sz w:val="21"/>
        </w:rPr>
        <w:t xml:space="preserve"> 与 </w:t>
      </w:r>
      <w:r>
        <w:rPr>
          <w:rFonts w:ascii="Consolas" w:hAnsi="Consolas" w:eastAsia="Consolas"/>
          <w:b w:val="0"/>
          <w:i w:val="0"/>
          <w:color w:val="8B1E3F"/>
          <w:sz w:val="20"/>
        </w:rPr>
        <w:t>hash</w:t>
      </w:r>
      <w:r>
        <w:rPr>
          <w:rFonts w:ascii="Times New Roman" w:hAnsi="Times New Roman" w:eastAsia="宋体"/>
          <w:b w:val="0"/>
          <w:i w:val="0"/>
          <w:sz w:val="21"/>
        </w:rPr>
        <w:t xml:space="preserve"> 支持变更追踪与历史回放复现。入库流程为：文档清洗 → 按章节与段落分块 → 元数据标注（缺失发布时间或来源的文档不得入库）→ 向量化与索引 → 版本登记。检索接口统一为 </w:t>
      </w:r>
      <w:r>
        <w:rPr>
          <w:rFonts w:ascii="Consolas" w:hAnsi="Consolas" w:eastAsia="Consolas"/>
          <w:b w:val="0"/>
          <w:i w:val="0"/>
          <w:color w:val="8B1E3F"/>
          <w:sz w:val="20"/>
        </w:rPr>
        <w:t>search(query, as_of, top_k)</w:t>
      </w:r>
      <w:r>
        <w:rPr>
          <w:rFonts w:ascii="Times New Roman" w:hAnsi="Times New Roman" w:eastAsia="宋体"/>
          <w:b w:val="0"/>
          <w:i w:val="0"/>
          <w:sz w:val="21"/>
        </w:rPr>
        <w:t xml:space="preserve">，只返回满足 </w:t>
      </w:r>
      <w:r>
        <w:rPr>
          <w:rFonts w:ascii="Consolas" w:hAnsi="Consolas" w:eastAsia="Consolas"/>
          <w:b w:val="0"/>
          <w:i w:val="0"/>
          <w:color w:val="8B1E3F"/>
          <w:sz w:val="20"/>
        </w:rPr>
        <w:t>publish_time &lt;= as_of</w:t>
      </w:r>
      <w:r>
        <w:rPr>
          <w:rFonts w:ascii="Times New Roman" w:hAnsi="Times New Roman" w:eastAsia="宋体"/>
          <w:b w:val="0"/>
          <w:i w:val="0"/>
          <w:sz w:val="21"/>
        </w:rPr>
        <w:t xml:space="preserve"> 的片段，返回结构为 Evidence（</w:t>
      </w:r>
      <w:r>
        <w:rPr>
          <w:rFonts w:ascii="Consolas" w:hAnsi="Consolas" w:eastAsia="Consolas"/>
          <w:b w:val="0"/>
          <w:i w:val="0"/>
          <w:color w:val="8B1E3F"/>
          <w:sz w:val="20"/>
        </w:rPr>
        <w:t>kind=kb</w:t>
      </w:r>
      <w:r>
        <w:rPr>
          <w:rFonts w:ascii="Times New Roman" w:hAnsi="Times New Roman" w:eastAsia="宋体"/>
          <w:b w:val="0"/>
          <w:i w:val="0"/>
          <w:sz w:val="21"/>
        </w:rPr>
        <w:t xml:space="preserve">），其 </w:t>
      </w:r>
      <w:r>
        <w:rPr>
          <w:rFonts w:ascii="Consolas" w:hAnsi="Consolas" w:eastAsia="Consolas"/>
          <w:b w:val="0"/>
          <w:i w:val="0"/>
          <w:color w:val="8B1E3F"/>
          <w:sz w:val="20"/>
        </w:rPr>
        <w:t>citations</w:t>
      </w:r>
      <w:r>
        <w:rPr>
          <w:rFonts w:ascii="Times New Roman" w:hAnsi="Times New Roman" w:eastAsia="宋体"/>
          <w:b w:val="0"/>
          <w:i w:val="0"/>
          <w:sz w:val="21"/>
        </w:rPr>
        <w:t xml:space="preserve"> 至少包含一个可定位的 SourceRef（</w:t>
      </w:r>
      <w:r>
        <w:rPr>
          <w:rFonts w:ascii="Consolas" w:hAnsi="Consolas" w:eastAsia="Consolas"/>
          <w:b w:val="0"/>
          <w:i w:val="0"/>
          <w:color w:val="8B1E3F"/>
          <w:sz w:val="20"/>
        </w:rPr>
        <w:t>chunk_id</w:t>
      </w:r>
      <w:r>
        <w:rPr>
          <w:rFonts w:ascii="Times New Roman" w:hAnsi="Times New Roman" w:eastAsia="宋体"/>
          <w:b w:val="0"/>
          <w:i w:val="0"/>
          <w:sz w:val="21"/>
        </w:rPr>
        <w:t>、</w:t>
      </w:r>
      <w:r>
        <w:rPr>
          <w:rFonts w:ascii="Consolas" w:hAnsi="Consolas" w:eastAsia="Consolas"/>
          <w:b w:val="0"/>
          <w:i w:val="0"/>
          <w:color w:val="8B1E3F"/>
          <w:sz w:val="20"/>
        </w:rPr>
        <w:t>doc_id</w:t>
      </w:r>
      <w:r>
        <w:rPr>
          <w:rFonts w:ascii="Times New Roman" w:hAnsi="Times New Roman" w:eastAsia="宋体"/>
          <w:b w:val="0"/>
          <w:i w:val="0"/>
          <w:sz w:val="21"/>
        </w:rPr>
        <w:t>、</w:t>
      </w:r>
      <w:r>
        <w:rPr>
          <w:rFonts w:ascii="Consolas" w:hAnsi="Consolas" w:eastAsia="Consolas"/>
          <w:b w:val="0"/>
          <w:i w:val="0"/>
          <w:color w:val="8B1E3F"/>
          <w:sz w:val="20"/>
        </w:rPr>
        <w:t>release_time</w:t>
      </w:r>
      <w:r>
        <w:rPr>
          <w:rFonts w:ascii="Times New Roman" w:hAnsi="Times New Roman" w:eastAsia="宋体"/>
          <w:b w:val="0"/>
          <w:i w:val="0"/>
          <w:sz w:val="21"/>
        </w:rPr>
        <w:t>、</w:t>
      </w:r>
      <w:r>
        <w:rPr>
          <w:rFonts w:ascii="Consolas" w:hAnsi="Consolas" w:eastAsia="Consolas"/>
          <w:b w:val="0"/>
          <w:i w:val="0"/>
          <w:color w:val="8B1E3F"/>
          <w:sz w:val="20"/>
        </w:rPr>
        <w:t>url</w:t>
      </w:r>
      <w:r>
        <w:rPr>
          <w:rFonts w:ascii="Times New Roman" w:hAnsi="Times New Roman" w:eastAsia="宋体"/>
          <w:b w:val="0"/>
          <w:i w:val="0"/>
          <w:sz w:val="21"/>
        </w:rPr>
        <w:t xml:space="preserve">）。检索结果若无法给出 </w:t>
      </w:r>
      <w:r>
        <w:rPr>
          <w:rFonts w:ascii="Consolas" w:hAnsi="Consolas" w:eastAsia="Consolas"/>
          <w:b w:val="0"/>
          <w:i w:val="0"/>
          <w:color w:val="8B1E3F"/>
          <w:sz w:val="20"/>
        </w:rPr>
        <w:t>chunk_id</w:t>
      </w:r>
      <w:r>
        <w:rPr>
          <w:rFonts w:ascii="Times New Roman" w:hAnsi="Times New Roman" w:eastAsia="宋体"/>
          <w:b w:val="0"/>
          <w:i w:val="0"/>
          <w:sz w:val="21"/>
        </w:rPr>
        <w:t>，则不得被任何文本主张引用。</w:t>
      </w:r>
    </w:p>
    <w:p>
      <w:r>
        <w:rPr>
          <w:rFonts w:ascii="Times New Roman" w:hAnsi="Times New Roman" w:eastAsia="宋体"/>
          <w:b w:val="0"/>
          <w:i w:val="0"/>
          <w:sz w:val="21"/>
        </w:rPr>
        <w:t>时点过滤采用“双保险”设计：数据与时点层在文档入库与读取时校验发布时间，知识检索层在召回与重排时再次过滤。这一设计的动机是，文本泄漏最难事后察觉，双层过滤比依赖单一环节更可靠。检索还支持按来源、章节与主题的元数据过滤，信息权限的差异由 RoleSpec 与过滤器共同保证。</w:t>
      </w:r>
    </w:p>
    <w:p>
      <w:pPr>
        <w:pStyle w:val="Heading3"/>
      </w:pPr>
      <w:r>
        <w:rPr>
          <w:rFonts w:ascii="Times New Roman" w:hAnsi="Times New Roman" w:eastAsia="宋体"/>
          <w:b w:val="0"/>
          <w:i w:val="0"/>
          <w:sz w:val="23"/>
        </w:rPr>
        <w:t>4.2.2 确定性工具与调用契约</w:t>
      </w:r>
    </w:p>
    <w:p>
      <w:r>
        <w:rPr>
          <w:rFonts w:ascii="Times New Roman" w:hAnsi="Times New Roman" w:eastAsia="宋体"/>
          <w:b w:val="0"/>
          <w:i w:val="0"/>
          <w:sz w:val="21"/>
        </w:rPr>
        <w:t>工具层为风险测度提供可重算的计算能力。当前角色可调用的工具共七个（表 4-4），覆盖风险测度、系统性风险、跨境资金、情景分析、预测读取、融资成本与时点知识检索；协调层另有报告导出能力（</w:t>
      </w:r>
      <w:r>
        <w:rPr>
          <w:rFonts w:ascii="Consolas" w:hAnsi="Consolas" w:eastAsia="Consolas"/>
          <w:b w:val="0"/>
          <w:i w:val="0"/>
          <w:color w:val="8B1E3F"/>
          <w:sz w:val="20"/>
        </w:rPr>
        <w:t>report_export</w:t>
      </w:r>
      <w:r>
        <w:rPr>
          <w:rFonts w:ascii="Times New Roman" w:hAnsi="Times New Roman" w:eastAsia="宋体"/>
          <w:b w:val="0"/>
          <w:i w:val="0"/>
          <w:sz w:val="21"/>
        </w:rPr>
        <w:t xml:space="preserve">），属于输出组装而非分析工具，不进入角色工具权限矩阵。每个工具均以版本化契约暴露：输入由 Pydantic schema 约束，输出统一为 ToolResult，包含 </w:t>
      </w:r>
      <w:r>
        <w:rPr>
          <w:rFonts w:ascii="Consolas" w:hAnsi="Consolas" w:eastAsia="Consolas"/>
          <w:b w:val="0"/>
          <w:i w:val="0"/>
          <w:color w:val="8B1E3F"/>
          <w:sz w:val="20"/>
        </w:rPr>
        <w:t>tool_name</w:t>
      </w:r>
      <w:r>
        <w:rPr>
          <w:rFonts w:ascii="Times New Roman" w:hAnsi="Times New Roman" w:eastAsia="宋体"/>
          <w:b w:val="0"/>
          <w:i w:val="0"/>
          <w:sz w:val="21"/>
        </w:rPr>
        <w:t>、</w:t>
      </w:r>
      <w:r>
        <w:rPr>
          <w:rFonts w:ascii="Consolas" w:hAnsi="Consolas" w:eastAsia="Consolas"/>
          <w:b w:val="0"/>
          <w:i w:val="0"/>
          <w:color w:val="8B1E3F"/>
          <w:sz w:val="20"/>
        </w:rPr>
        <w:t>version</w:t>
      </w:r>
      <w:r>
        <w:rPr>
          <w:rFonts w:ascii="Times New Roman" w:hAnsi="Times New Roman" w:eastAsia="宋体"/>
          <w:b w:val="0"/>
          <w:i w:val="0"/>
          <w:sz w:val="21"/>
        </w:rPr>
        <w:t>、</w:t>
      </w:r>
      <w:r>
        <w:rPr>
          <w:rFonts w:ascii="Consolas" w:hAnsi="Consolas" w:eastAsia="Consolas"/>
          <w:b w:val="0"/>
          <w:i w:val="0"/>
          <w:color w:val="8B1E3F"/>
          <w:sz w:val="20"/>
        </w:rPr>
        <w:t>as_of</w:t>
      </w:r>
      <w:r>
        <w:rPr>
          <w:rFonts w:ascii="Times New Roman" w:hAnsi="Times New Roman" w:eastAsia="宋体"/>
          <w:b w:val="0"/>
          <w:i w:val="0"/>
          <w:sz w:val="21"/>
        </w:rPr>
        <w:t>、</w:t>
      </w:r>
      <w:r>
        <w:rPr>
          <w:rFonts w:ascii="Consolas" w:hAnsi="Consolas" w:eastAsia="Consolas"/>
          <w:b w:val="0"/>
          <w:i w:val="0"/>
          <w:color w:val="8B1E3F"/>
          <w:sz w:val="20"/>
        </w:rPr>
        <w:t>ok</w:t>
      </w:r>
      <w:r>
        <w:rPr>
          <w:rFonts w:ascii="Times New Roman" w:hAnsi="Times New Roman" w:eastAsia="宋体"/>
          <w:b w:val="0"/>
          <w:i w:val="0"/>
          <w:sz w:val="21"/>
        </w:rPr>
        <w:t>、</w:t>
      </w:r>
      <w:r>
        <w:rPr>
          <w:rFonts w:ascii="Consolas" w:hAnsi="Consolas" w:eastAsia="Consolas"/>
          <w:b w:val="0"/>
          <w:i w:val="0"/>
          <w:color w:val="8B1E3F"/>
          <w:sz w:val="20"/>
        </w:rPr>
        <w:t>data</w:t>
      </w:r>
      <w:r>
        <w:rPr>
          <w:rFonts w:ascii="Times New Roman" w:hAnsi="Times New Roman" w:eastAsia="宋体"/>
          <w:b w:val="0"/>
          <w:i w:val="0"/>
          <w:sz w:val="21"/>
        </w:rPr>
        <w:t>、</w:t>
      </w:r>
      <w:r>
        <w:rPr>
          <w:rFonts w:ascii="Consolas" w:hAnsi="Consolas" w:eastAsia="Consolas"/>
          <w:b w:val="0"/>
          <w:i w:val="0"/>
          <w:color w:val="8B1E3F"/>
          <w:sz w:val="20"/>
        </w:rPr>
        <w:t>unit</w:t>
      </w:r>
      <w:r>
        <w:rPr>
          <w:rFonts w:ascii="Times New Roman" w:hAnsi="Times New Roman" w:eastAsia="宋体"/>
          <w:b w:val="0"/>
          <w:i w:val="0"/>
          <w:sz w:val="21"/>
        </w:rPr>
        <w:t>、</w:t>
      </w:r>
      <w:r>
        <w:rPr>
          <w:rFonts w:ascii="Consolas" w:hAnsi="Consolas" w:eastAsia="Consolas"/>
          <w:b w:val="0"/>
          <w:i w:val="0"/>
          <w:color w:val="8B1E3F"/>
          <w:sz w:val="20"/>
        </w:rPr>
        <w:t>evidence</w:t>
      </w:r>
      <w:r>
        <w:rPr>
          <w:rFonts w:ascii="Times New Roman" w:hAnsi="Times New Roman" w:eastAsia="宋体"/>
          <w:b w:val="0"/>
          <w:i w:val="0"/>
          <w:sz w:val="21"/>
        </w:rPr>
        <w:t>、</w:t>
      </w:r>
      <w:r>
        <w:rPr>
          <w:rFonts w:ascii="Consolas" w:hAnsi="Consolas" w:eastAsia="Consolas"/>
          <w:b w:val="0"/>
          <w:i w:val="0"/>
          <w:color w:val="8B1E3F"/>
          <w:sz w:val="20"/>
        </w:rPr>
        <w:t>citations</w:t>
      </w:r>
      <w:r>
        <w:rPr>
          <w:rFonts w:ascii="Times New Roman" w:hAnsi="Times New Roman" w:eastAsia="宋体"/>
          <w:b w:val="0"/>
          <w:i w:val="0"/>
          <w:sz w:val="21"/>
        </w:rPr>
        <w:t>、</w:t>
      </w:r>
      <w:r>
        <w:rPr>
          <w:rFonts w:ascii="Consolas" w:hAnsi="Consolas" w:eastAsia="Consolas"/>
          <w:b w:val="0"/>
          <w:i w:val="0"/>
          <w:color w:val="8B1E3F"/>
          <w:sz w:val="20"/>
        </w:rPr>
        <w:t>elapsed_ms</w:t>
      </w:r>
      <w:r>
        <w:rPr>
          <w:rFonts w:ascii="Times New Roman" w:hAnsi="Times New Roman" w:eastAsia="宋体"/>
          <w:b w:val="0"/>
          <w:i w:val="0"/>
          <w:sz w:val="21"/>
        </w:rPr>
        <w:t xml:space="preserve"> 与 </w:t>
      </w:r>
      <w:r>
        <w:rPr>
          <w:rFonts w:ascii="Consolas" w:hAnsi="Consolas" w:eastAsia="Consolas"/>
          <w:b w:val="0"/>
          <w:i w:val="0"/>
          <w:color w:val="8B1E3F"/>
          <w:sz w:val="20"/>
        </w:rPr>
        <w:t>error</w:t>
      </w:r>
      <w:r>
        <w:rPr>
          <w:rFonts w:ascii="Times New Roman" w:hAnsi="Times New Roman" w:eastAsia="宋体"/>
          <w:b w:val="0"/>
          <w:i w:val="0"/>
          <w:sz w:val="21"/>
        </w:rPr>
        <w:t xml:space="preserve">；其中 </w:t>
      </w:r>
      <w:r>
        <w:rPr>
          <w:rFonts w:ascii="Consolas" w:hAnsi="Consolas" w:eastAsia="Consolas"/>
          <w:b w:val="0"/>
          <w:i w:val="0"/>
          <w:color w:val="8B1E3F"/>
          <w:sz w:val="20"/>
        </w:rPr>
        <w:t>evidence</w:t>
      </w:r>
      <w:r>
        <w:rPr>
          <w:rFonts w:ascii="Times New Roman" w:hAnsi="Times New Roman" w:eastAsia="宋体"/>
          <w:b w:val="0"/>
          <w:i w:val="0"/>
          <w:sz w:val="21"/>
        </w:rPr>
        <w:t xml:space="preserve"> 携带 ToolRef（工具名、版本、输入哈希、耗时）；输入哈希为 sha256(工具名、版本、</w:t>
      </w:r>
      <w:r>
        <w:rPr>
          <w:rFonts w:ascii="Consolas" w:hAnsi="Consolas" w:eastAsia="Consolas"/>
          <w:b w:val="0"/>
          <w:i w:val="0"/>
          <w:color w:val="8B1E3F"/>
          <w:sz w:val="20"/>
        </w:rPr>
        <w:t>as_of</w:t>
      </w:r>
      <w:r>
        <w:rPr>
          <w:rFonts w:ascii="Times New Roman" w:hAnsi="Times New Roman" w:eastAsia="宋体"/>
          <w:b w:val="0"/>
          <w:i w:val="0"/>
          <w:sz w:val="21"/>
        </w:rPr>
        <w:t xml:space="preserve">、规范化参数)，证据编号形如 </w:t>
      </w:r>
      <w:r>
        <w:rPr>
          <w:rFonts w:ascii="Consolas" w:hAnsi="Consolas" w:eastAsia="Consolas"/>
          <w:b w:val="0"/>
          <w:i w:val="0"/>
          <w:color w:val="8B1E3F"/>
          <w:sz w:val="20"/>
        </w:rPr>
        <w:t>ev_tool_&lt;工具名&gt;_&lt;日期&gt;_&lt;哈希前 12 位&gt;</w:t>
      </w:r>
      <w:r>
        <w:rPr>
          <w:rFonts w:ascii="Times New Roman" w:hAnsi="Times New Roman" w:eastAsia="宋体"/>
          <w:b w:val="0"/>
          <w:i w:val="0"/>
          <w:sz w:val="21"/>
        </w:rPr>
        <w:t>。此外，</w:t>
      </w:r>
      <w:r>
        <w:rPr>
          <w:rFonts w:ascii="Consolas" w:hAnsi="Consolas" w:eastAsia="Consolas"/>
          <w:b w:val="0"/>
          <w:i w:val="0"/>
          <w:color w:val="8B1E3F"/>
          <w:sz w:val="20"/>
        </w:rPr>
        <w:t>forecast</w:t>
      </w:r>
      <w:r>
        <w:rPr>
          <w:rFonts w:ascii="Times New Roman" w:hAnsi="Times New Roman" w:eastAsia="宋体"/>
          <w:b w:val="0"/>
          <w:i w:val="0"/>
          <w:sz w:val="21"/>
        </w:rPr>
        <w:t xml:space="preserve"> 复用共享风险信号（</w:t>
      </w:r>
      <w:r>
        <w:rPr>
          <w:rFonts w:ascii="Consolas" w:hAnsi="Consolas" w:eastAsia="Consolas"/>
          <w:b w:val="0"/>
          <w:i w:val="0"/>
          <w:color w:val="8B1E3F"/>
          <w:sz w:val="20"/>
        </w:rPr>
        <w:t>kind=signal</w:t>
      </w:r>
      <w:r>
        <w:rPr>
          <w:rFonts w:ascii="Times New Roman" w:hAnsi="Times New Roman" w:eastAsia="宋体"/>
          <w:b w:val="0"/>
          <w:i w:val="0"/>
          <w:sz w:val="21"/>
        </w:rPr>
        <w:t>），</w:t>
      </w:r>
      <w:r>
        <w:rPr>
          <w:rFonts w:ascii="Consolas" w:hAnsi="Consolas" w:eastAsia="Consolas"/>
          <w:b w:val="0"/>
          <w:i w:val="0"/>
          <w:color w:val="8B1E3F"/>
          <w:sz w:val="20"/>
        </w:rPr>
        <w:t>knowledge_search</w:t>
      </w:r>
      <w:r>
        <w:rPr>
          <w:rFonts w:ascii="Times New Roman" w:hAnsi="Times New Roman" w:eastAsia="宋体"/>
          <w:b w:val="0"/>
          <w:i w:val="0"/>
          <w:sz w:val="21"/>
        </w:rPr>
        <w:t xml:space="preserve"> 返回 </w:t>
      </w:r>
      <w:r>
        <w:rPr>
          <w:rFonts w:ascii="Consolas" w:hAnsi="Consolas" w:eastAsia="Consolas"/>
          <w:b w:val="0"/>
          <w:i w:val="0"/>
          <w:color w:val="8B1E3F"/>
          <w:sz w:val="20"/>
        </w:rPr>
        <w:t>kind=kb</w:t>
      </w:r>
      <w:r>
        <w:rPr>
          <w:rFonts w:ascii="Times New Roman" w:hAnsi="Times New Roman" w:eastAsia="宋体"/>
          <w:b w:val="0"/>
          <w:i w:val="0"/>
          <w:sz w:val="21"/>
        </w:rPr>
        <w:t xml:space="preserve">，其余工具返回 </w:t>
      </w:r>
      <w:r>
        <w:rPr>
          <w:rFonts w:ascii="Consolas" w:hAnsi="Consolas" w:eastAsia="Consolas"/>
          <w:b w:val="0"/>
          <w:i w:val="0"/>
          <w:color w:val="8B1E3F"/>
          <w:sz w:val="20"/>
        </w:rPr>
        <w:t>kind=tool</w:t>
      </w:r>
      <w:r>
        <w:rPr>
          <w:rFonts w:ascii="Times New Roman" w:hAnsi="Times New Roman" w:eastAsia="宋体"/>
          <w:b w:val="0"/>
          <w:i w:val="0"/>
          <w:sz w:val="21"/>
        </w:rPr>
        <w:t>；单位以工具输出字段为准。</w:t>
      </w:r>
    </w:p>
    <w:p>
      <w:pPr>
        <w:keepNext/>
        <w:spacing w:before="120" w:after="40"/>
        <w:jc w:val="center"/>
      </w:pPr>
      <w:r>
        <w:rPr>
          <w:rFonts w:ascii="Times New Roman" w:hAnsi="Times New Roman" w:eastAsia="宋体"/>
          <w:b/>
          <w:i w:val="0"/>
          <w:color w:val="1F3864"/>
          <w:sz w:val="19"/>
        </w:rPr>
        <w:t>表 4-4 确定性金融工具契约</w:t>
      </w:r>
    </w:p>
    <w:tbl>
      <w:tblPr>
        <w:tblStyle w:val="TableGrid"/>
        <w:tblW w:type="auto" w:w="0"/>
        <w:jc w:val="center"/>
        <w:tblLayout w:type="autofit"/>
        <w:tblLook w:firstColumn="1" w:firstRow="1" w:lastColumn="0" w:lastRow="0" w:noHBand="0" w:noVBand="1" w:val="04A0"/>
      </w:tblPr>
      <w:tblGrid>
        <w:gridCol w:w="1550"/>
        <w:gridCol w:w="1550"/>
        <w:gridCol w:w="1550"/>
        <w:gridCol w:w="1550"/>
        <w:gridCol w:w="1550"/>
        <w:gridCol w:w="1550"/>
      </w:tblGrid>
      <w:tr>
        <w:tc>
          <w:tcPr>
            <w:tcW w:type="dxa" w:w="1550"/>
          </w:tcPr>
          <w:p>
            <w:pPr>
              <w:spacing w:after="20" w:line="276" w:lineRule="auto"/>
            </w:pPr>
            <w:r>
              <w:rPr>
                <w:b/>
              </w:rPr>
            </w:r>
            <w:r>
              <w:rPr>
                <w:rFonts w:ascii="Times New Roman" w:hAnsi="Times New Roman" w:eastAsia="宋体"/>
                <w:b/>
                <w:i w:val="0"/>
                <w:sz w:val="17"/>
              </w:rPr>
              <w:t>工具名</w:t>
            </w:r>
          </w:p>
        </w:tc>
        <w:tc>
          <w:tcPr>
            <w:tcW w:type="dxa" w:w="1550"/>
          </w:tcPr>
          <w:p>
            <w:pPr>
              <w:spacing w:after="20" w:line="276" w:lineRule="auto"/>
            </w:pPr>
            <w:r>
              <w:rPr>
                <w:b/>
              </w:rPr>
            </w:r>
            <w:r>
              <w:rPr>
                <w:rFonts w:ascii="Times New Roman" w:hAnsi="Times New Roman" w:eastAsia="宋体"/>
                <w:b/>
                <w:i w:val="0"/>
                <w:sz w:val="17"/>
              </w:rPr>
              <w:t>功能与核心输出</w:t>
            </w:r>
          </w:p>
        </w:tc>
        <w:tc>
          <w:tcPr>
            <w:tcW w:type="dxa" w:w="1550"/>
          </w:tcPr>
          <w:p>
            <w:pPr>
              <w:spacing w:after="20" w:line="276" w:lineRule="auto"/>
            </w:pPr>
            <w:r>
              <w:rPr>
                <w:b/>
              </w:rPr>
            </w:r>
            <w:r>
              <w:rPr>
                <w:rFonts w:ascii="Times New Roman" w:hAnsi="Times New Roman" w:eastAsia="宋体"/>
                <w:b/>
                <w:i w:val="0"/>
                <w:sz w:val="17"/>
              </w:rPr>
              <w:t>关键输入</w:t>
            </w:r>
          </w:p>
        </w:tc>
        <w:tc>
          <w:tcPr>
            <w:tcW w:type="dxa" w:w="1550"/>
          </w:tcPr>
          <w:p>
            <w:pPr>
              <w:spacing w:after="20" w:line="276" w:lineRule="auto"/>
            </w:pPr>
            <w:r>
              <w:rPr>
                <w:b/>
              </w:rPr>
            </w:r>
            <w:r>
              <w:rPr>
                <w:rFonts w:ascii="Times New Roman" w:hAnsi="Times New Roman" w:eastAsia="宋体"/>
                <w:b/>
                <w:i w:val="0"/>
                <w:sz w:val="17"/>
              </w:rPr>
              <w:t>输出单位/类型</w:t>
            </w:r>
          </w:p>
        </w:tc>
        <w:tc>
          <w:tcPr>
            <w:tcW w:type="dxa" w:w="1550"/>
          </w:tcPr>
          <w:p>
            <w:pPr>
              <w:spacing w:after="20" w:line="276" w:lineRule="auto"/>
            </w:pPr>
            <w:r>
              <w:rPr>
                <w:b/>
              </w:rPr>
            </w:r>
            <w:r>
              <w:rPr>
                <w:rFonts w:ascii="Times New Roman" w:hAnsi="Times New Roman" w:eastAsia="宋体"/>
                <w:b/>
                <w:i w:val="0"/>
                <w:sz w:val="17"/>
              </w:rPr>
              <w:t>主要授权角色</w:t>
            </w:r>
          </w:p>
        </w:tc>
        <w:tc>
          <w:tcPr>
            <w:tcW w:type="dxa" w:w="1550"/>
          </w:tcPr>
          <w:p>
            <w:pPr>
              <w:spacing w:after="20" w:line="276" w:lineRule="auto"/>
            </w:pPr>
            <w:r>
              <w:rPr>
                <w:b/>
              </w:rPr>
            </w:r>
            <w:r>
              <w:rPr>
                <w:rFonts w:ascii="Times New Roman" w:hAnsi="Times New Roman" w:eastAsia="宋体"/>
                <w:b/>
                <w:i w:val="0"/>
                <w:sz w:val="17"/>
              </w:rPr>
              <w:t>失败语义</w:t>
            </w:r>
          </w:p>
        </w:tc>
      </w:tr>
      <w:tr>
        <w:tc>
          <w:tcPr>
            <w:tcW w:type="dxa" w:w="1550"/>
          </w:tcPr>
          <w:p>
            <w:pPr>
              <w:spacing w:after="20" w:line="276" w:lineRule="auto"/>
            </w:pPr>
            <w:r/>
            <w:r>
              <w:rPr>
                <w:rFonts w:ascii="Consolas" w:hAnsi="Consolas" w:eastAsia="Consolas"/>
                <w:b w:val="0"/>
                <w:i w:val="0"/>
                <w:color w:val="8B1E3F"/>
                <w:sz w:val="16"/>
              </w:rPr>
              <w:t>risk_measure</w:t>
            </w:r>
          </w:p>
        </w:tc>
        <w:tc>
          <w:tcPr>
            <w:tcW w:type="dxa" w:w="1550"/>
          </w:tcPr>
          <w:p>
            <w:pPr>
              <w:spacing w:after="20" w:line="276" w:lineRule="auto"/>
            </w:pPr>
            <w:r/>
            <w:r>
              <w:rPr>
                <w:rFonts w:ascii="Times New Roman" w:hAnsi="Times New Roman" w:eastAsia="宋体"/>
                <w:b w:val="0"/>
                <w:i w:val="0"/>
                <w:sz w:val="17"/>
              </w:rPr>
              <w:t>已实现波动率、VaR/CVaR（95%/99%）、最大回撤、压力分位</w:t>
            </w:r>
          </w:p>
        </w:tc>
        <w:tc>
          <w:tcPr>
            <w:tcW w:type="dxa" w:w="1550"/>
          </w:tcPr>
          <w:p>
            <w:pPr>
              <w:spacing w:after="20" w:line="276" w:lineRule="auto"/>
            </w:pPr>
            <w:r/>
            <w:r>
              <w:rPr>
                <w:rFonts w:ascii="Times New Roman" w:hAnsi="Times New Roman" w:eastAsia="宋体"/>
                <w:b w:val="0"/>
                <w:i w:val="0"/>
                <w:sz w:val="17"/>
              </w:rPr>
              <w:t>资产或序列集合、置信水平、窗口长度</w:t>
            </w:r>
          </w:p>
        </w:tc>
        <w:tc>
          <w:tcPr>
            <w:tcW w:type="dxa" w:w="1550"/>
          </w:tcPr>
          <w:p>
            <w:pPr>
              <w:spacing w:after="20" w:line="276" w:lineRule="auto"/>
            </w:pPr>
            <w:r/>
            <w:r>
              <w:rPr>
                <w:rFonts w:ascii="Consolas" w:hAnsi="Consolas" w:eastAsia="Consolas"/>
                <w:b w:val="0"/>
                <w:i w:val="0"/>
                <w:color w:val="8B1E3F"/>
                <w:sz w:val="16"/>
              </w:rPr>
              <w:t>loss_ratio</w:t>
            </w:r>
            <w:r>
              <w:rPr>
                <w:rFonts w:ascii="Times New Roman" w:hAnsi="Times New Roman" w:eastAsia="宋体"/>
                <w:b w:val="0"/>
                <w:i w:val="0"/>
                <w:sz w:val="17"/>
              </w:rPr>
              <w:t>（损失比率）</w:t>
            </w:r>
          </w:p>
        </w:tc>
        <w:tc>
          <w:tcPr>
            <w:tcW w:type="dxa" w:w="1550"/>
          </w:tcPr>
          <w:p>
            <w:pPr>
              <w:spacing w:after="20" w:line="276" w:lineRule="auto"/>
            </w:pPr>
            <w:r/>
            <w:r>
              <w:rPr>
                <w:rFonts w:ascii="Times New Roman" w:hAnsi="Times New Roman" w:eastAsia="宋体"/>
                <w:b w:val="0"/>
                <w:i w:val="0"/>
                <w:sz w:val="17"/>
              </w:rPr>
              <w:t>监管、投资、融资</w:t>
            </w:r>
          </w:p>
        </w:tc>
        <w:tc>
          <w:tcPr>
            <w:tcW w:type="dxa" w:w="1550"/>
          </w:tcPr>
          <w:p>
            <w:pPr>
              <w:spacing w:after="20" w:line="276" w:lineRule="auto"/>
            </w:pPr>
            <w:r/>
            <w:r>
              <w:rPr>
                <w:rFonts w:ascii="Times New Roman" w:hAnsi="Times New Roman" w:eastAsia="宋体"/>
                <w:b w:val="0"/>
                <w:i w:val="0"/>
                <w:sz w:val="17"/>
              </w:rPr>
              <w:t>数据不足时显式报错，不返回估计值</w:t>
            </w:r>
          </w:p>
        </w:tc>
      </w:tr>
      <w:tr>
        <w:tc>
          <w:tcPr>
            <w:tcW w:type="dxa" w:w="1550"/>
          </w:tcPr>
          <w:p>
            <w:pPr>
              <w:spacing w:after="20" w:line="276" w:lineRule="auto"/>
            </w:pPr>
            <w:r/>
            <w:r>
              <w:rPr>
                <w:rFonts w:ascii="Consolas" w:hAnsi="Consolas" w:eastAsia="Consolas"/>
                <w:b w:val="0"/>
                <w:i w:val="0"/>
                <w:color w:val="8B1E3F"/>
                <w:sz w:val="16"/>
              </w:rPr>
              <w:t>systemic_risk</w:t>
            </w:r>
          </w:p>
        </w:tc>
        <w:tc>
          <w:tcPr>
            <w:tcW w:type="dxa" w:w="1550"/>
          </w:tcPr>
          <w:p>
            <w:pPr>
              <w:spacing w:after="20" w:line="276" w:lineRule="auto"/>
            </w:pPr>
            <w:r/>
            <w:r>
              <w:rPr>
                <w:rFonts w:ascii="Times New Roman" w:hAnsi="Times New Roman" w:eastAsia="宋体"/>
                <w:b w:val="0"/>
                <w:i w:val="0"/>
                <w:sz w:val="17"/>
              </w:rPr>
              <w:t>ΔCoVaR、MES、Diebold–Yilmaz 溢出指数</w:t>
            </w:r>
          </w:p>
        </w:tc>
        <w:tc>
          <w:tcPr>
            <w:tcW w:type="dxa" w:w="1550"/>
          </w:tcPr>
          <w:p>
            <w:pPr>
              <w:spacing w:after="20" w:line="276" w:lineRule="auto"/>
            </w:pPr>
            <w:r/>
            <w:r>
              <w:rPr>
                <w:rFonts w:ascii="Times New Roman" w:hAnsi="Times New Roman" w:eastAsia="宋体"/>
                <w:b w:val="0"/>
                <w:i w:val="0"/>
                <w:sz w:val="17"/>
              </w:rPr>
              <w:t>市场收益矩阵、滚动窗口、方向设定</w:t>
            </w:r>
          </w:p>
        </w:tc>
        <w:tc>
          <w:tcPr>
            <w:tcW w:type="dxa" w:w="1550"/>
          </w:tcPr>
          <w:p>
            <w:pPr>
              <w:spacing w:after="20" w:line="276" w:lineRule="auto"/>
            </w:pPr>
            <w:r/>
            <w:r>
              <w:rPr>
                <w:rFonts w:ascii="Consolas" w:hAnsi="Consolas" w:eastAsia="Consolas"/>
                <w:b w:val="0"/>
                <w:i w:val="0"/>
                <w:color w:val="8B1E3F"/>
                <w:sz w:val="16"/>
              </w:rPr>
              <w:t>ratio</w:t>
            </w:r>
            <w:r>
              <w:rPr>
                <w:rFonts w:ascii="Times New Roman" w:hAnsi="Times New Roman" w:eastAsia="宋体"/>
                <w:b w:val="0"/>
                <w:i w:val="0"/>
                <w:sz w:val="17"/>
              </w:rPr>
              <w:t>（比率）</w:t>
            </w:r>
          </w:p>
        </w:tc>
        <w:tc>
          <w:tcPr>
            <w:tcW w:type="dxa" w:w="1550"/>
          </w:tcPr>
          <w:p>
            <w:pPr>
              <w:spacing w:after="20" w:line="276" w:lineRule="auto"/>
            </w:pPr>
            <w:r/>
            <w:r>
              <w:rPr>
                <w:rFonts w:ascii="Times New Roman" w:hAnsi="Times New Roman" w:eastAsia="宋体"/>
                <w:b w:val="0"/>
                <w:i w:val="0"/>
                <w:sz w:val="17"/>
              </w:rPr>
              <w:t>监管、投资</w:t>
            </w:r>
          </w:p>
        </w:tc>
        <w:tc>
          <w:tcPr>
            <w:tcW w:type="dxa" w:w="1550"/>
          </w:tcPr>
          <w:p>
            <w:pPr>
              <w:spacing w:after="20" w:line="276" w:lineRule="auto"/>
            </w:pPr>
            <w:r/>
            <w:r>
              <w:rPr>
                <w:rFonts w:ascii="Times New Roman" w:hAnsi="Times New Roman" w:eastAsia="宋体"/>
                <w:b w:val="0"/>
                <w:i w:val="0"/>
                <w:sz w:val="17"/>
              </w:rPr>
              <w:t>样本期重叠不足时报错并说明</w:t>
            </w:r>
          </w:p>
        </w:tc>
      </w:tr>
      <w:tr>
        <w:tc>
          <w:tcPr>
            <w:tcW w:type="dxa" w:w="1550"/>
          </w:tcPr>
          <w:p>
            <w:pPr>
              <w:spacing w:after="20" w:line="276" w:lineRule="auto"/>
            </w:pPr>
            <w:r/>
            <w:r>
              <w:rPr>
                <w:rFonts w:ascii="Consolas" w:hAnsi="Consolas" w:eastAsia="Consolas"/>
                <w:b w:val="0"/>
                <w:i w:val="0"/>
                <w:color w:val="8B1E3F"/>
                <w:sz w:val="16"/>
              </w:rPr>
              <w:t>capital_flow</w:t>
            </w:r>
          </w:p>
        </w:tc>
        <w:tc>
          <w:tcPr>
            <w:tcW w:type="dxa" w:w="1550"/>
          </w:tcPr>
          <w:p>
            <w:pPr>
              <w:spacing w:after="20" w:line="276" w:lineRule="auto"/>
            </w:pPr>
            <w:r/>
            <w:r>
              <w:rPr>
                <w:rFonts w:ascii="Times New Roman" w:hAnsi="Times New Roman" w:eastAsia="宋体"/>
                <w:b w:val="0"/>
                <w:i w:val="0"/>
                <w:sz w:val="17"/>
              </w:rPr>
              <w:t>异常净流入 z 分数、同步撤离、资金集中度、AH 溢价</w:t>
            </w:r>
          </w:p>
        </w:tc>
        <w:tc>
          <w:tcPr>
            <w:tcW w:type="dxa" w:w="1550"/>
          </w:tcPr>
          <w:p>
            <w:pPr>
              <w:spacing w:after="20" w:line="276" w:lineRule="auto"/>
            </w:pPr>
            <w:r/>
            <w:r>
              <w:rPr>
                <w:rFonts w:ascii="Times New Roman" w:hAnsi="Times New Roman" w:eastAsia="宋体"/>
                <w:b w:val="0"/>
                <w:i w:val="0"/>
                <w:sz w:val="17"/>
              </w:rPr>
              <w:t>跨境资金序列、行业/个股映射</w:t>
            </w:r>
          </w:p>
        </w:tc>
        <w:tc>
          <w:tcPr>
            <w:tcW w:type="dxa" w:w="1550"/>
          </w:tcPr>
          <w:p>
            <w:pPr>
              <w:spacing w:after="20" w:line="276" w:lineRule="auto"/>
            </w:pPr>
            <w:r/>
            <w:r>
              <w:rPr>
                <w:rFonts w:ascii="Consolas" w:hAnsi="Consolas" w:eastAsia="Consolas"/>
                <w:b w:val="0"/>
                <w:i w:val="0"/>
                <w:color w:val="8B1E3F"/>
                <w:sz w:val="16"/>
              </w:rPr>
              <w:t>z</w:t>
            </w:r>
            <w:r>
              <w:rPr>
                <w:rFonts w:ascii="Times New Roman" w:hAnsi="Times New Roman" w:eastAsia="宋体"/>
                <w:b w:val="0"/>
                <w:i w:val="0"/>
                <w:sz w:val="17"/>
              </w:rPr>
              <w:t>（无量纲 z 值）</w:t>
            </w:r>
          </w:p>
        </w:tc>
        <w:tc>
          <w:tcPr>
            <w:tcW w:type="dxa" w:w="1550"/>
          </w:tcPr>
          <w:p>
            <w:pPr>
              <w:spacing w:after="20" w:line="276" w:lineRule="auto"/>
            </w:pPr>
            <w:r/>
            <w:r>
              <w:rPr>
                <w:rFonts w:ascii="Times New Roman" w:hAnsi="Times New Roman" w:eastAsia="宋体"/>
                <w:b w:val="0"/>
                <w:i w:val="0"/>
                <w:sz w:val="17"/>
              </w:rPr>
              <w:t>监管、投资</w:t>
            </w:r>
          </w:p>
        </w:tc>
        <w:tc>
          <w:tcPr>
            <w:tcW w:type="dxa" w:w="1550"/>
          </w:tcPr>
          <w:p>
            <w:pPr>
              <w:spacing w:after="20" w:line="276" w:lineRule="auto"/>
            </w:pPr>
            <w:r/>
            <w:r>
              <w:rPr>
                <w:rFonts w:ascii="Times New Roman" w:hAnsi="Times New Roman" w:eastAsia="宋体"/>
                <w:b w:val="0"/>
                <w:i w:val="0"/>
                <w:sz w:val="17"/>
              </w:rPr>
              <w:t>通道数据缺失时按缺失处理</w:t>
            </w:r>
          </w:p>
        </w:tc>
      </w:tr>
      <w:tr>
        <w:tc>
          <w:tcPr>
            <w:tcW w:type="dxa" w:w="1550"/>
          </w:tcPr>
          <w:p>
            <w:pPr>
              <w:spacing w:after="20" w:line="276" w:lineRule="auto"/>
            </w:pPr>
            <w:r/>
            <w:r>
              <w:rPr>
                <w:rFonts w:ascii="Consolas" w:hAnsi="Consolas" w:eastAsia="Consolas"/>
                <w:b w:val="0"/>
                <w:i w:val="0"/>
                <w:color w:val="8B1E3F"/>
                <w:sz w:val="16"/>
              </w:rPr>
              <w:t>scenario</w:t>
            </w:r>
          </w:p>
        </w:tc>
        <w:tc>
          <w:tcPr>
            <w:tcW w:type="dxa" w:w="1550"/>
          </w:tcPr>
          <w:p>
            <w:pPr>
              <w:spacing w:after="20" w:line="276" w:lineRule="auto"/>
            </w:pPr>
            <w:r/>
            <w:r>
              <w:rPr>
                <w:rFonts w:ascii="Times New Roman" w:hAnsi="Times New Roman" w:eastAsia="宋体"/>
                <w:b w:val="0"/>
                <w:i w:val="0"/>
                <w:sz w:val="17"/>
              </w:rPr>
              <w:t xml:space="preserve">情景冲击（汇率贬 </w:t>
            </w:r>
            <w:r>
              <w:rPr>
                <w:rFonts w:ascii="Times New Roman" w:hAnsi="Times New Roman" w:eastAsia="宋体"/>
                <w:b w:val="0"/>
                <w:i/>
                <w:color w:val="1F3864"/>
                <w:sz w:val="17"/>
              </w:rPr>
              <w:t>x</w:t>
            </w:r>
            <w:r>
              <w:rPr>
                <w:rFonts w:ascii="Times New Roman" w:hAnsi="Times New Roman" w:eastAsia="宋体"/>
                <w:b w:val="0"/>
                <w:i w:val="0"/>
                <w:sz w:val="17"/>
              </w:rPr>
              <w:t xml:space="preserve">%、美股跌 </w:t>
            </w:r>
            <w:r>
              <w:rPr>
                <w:rFonts w:ascii="Times New Roman" w:hAnsi="Times New Roman" w:eastAsia="宋体"/>
                <w:b w:val="0"/>
                <w:i/>
                <w:color w:val="1F3864"/>
                <w:sz w:val="17"/>
              </w:rPr>
              <w:t>y</w:t>
            </w:r>
            <w:r>
              <w:rPr>
                <w:rFonts w:ascii="Times New Roman" w:hAnsi="Times New Roman" w:eastAsia="宋体"/>
                <w:b w:val="0"/>
                <w:i w:val="0"/>
                <w:sz w:val="17"/>
              </w:rPr>
              <w:t>%）下的压力传导与损失估计</w:t>
            </w:r>
          </w:p>
        </w:tc>
        <w:tc>
          <w:tcPr>
            <w:tcW w:type="dxa" w:w="1550"/>
          </w:tcPr>
          <w:p>
            <w:pPr>
              <w:spacing w:after="20" w:line="276" w:lineRule="auto"/>
            </w:pPr>
            <w:r/>
            <w:r>
              <w:rPr>
                <w:rFonts w:ascii="Times New Roman" w:hAnsi="Times New Roman" w:eastAsia="宋体"/>
                <w:b w:val="0"/>
                <w:i w:val="0"/>
                <w:sz w:val="17"/>
              </w:rPr>
              <w:t>冲击幅度、资产映射、传导假设</w:t>
            </w:r>
          </w:p>
        </w:tc>
        <w:tc>
          <w:tcPr>
            <w:tcW w:type="dxa" w:w="1550"/>
          </w:tcPr>
          <w:p>
            <w:pPr>
              <w:spacing w:after="20" w:line="276" w:lineRule="auto"/>
            </w:pPr>
            <w:r/>
            <w:r>
              <w:rPr>
                <w:rFonts w:ascii="Consolas" w:hAnsi="Consolas" w:eastAsia="Consolas"/>
                <w:b w:val="0"/>
                <w:i w:val="0"/>
                <w:color w:val="8B1E3F"/>
                <w:sz w:val="16"/>
              </w:rPr>
              <w:t>ratio</w:t>
            </w:r>
            <w:r>
              <w:rPr>
                <w:rFonts w:ascii="Times New Roman" w:hAnsi="Times New Roman" w:eastAsia="宋体"/>
                <w:b w:val="0"/>
                <w:i w:val="0"/>
                <w:sz w:val="17"/>
              </w:rPr>
              <w:t>（压力比率）</w:t>
            </w:r>
          </w:p>
        </w:tc>
        <w:tc>
          <w:tcPr>
            <w:tcW w:type="dxa" w:w="1550"/>
          </w:tcPr>
          <w:p>
            <w:pPr>
              <w:spacing w:after="20" w:line="276" w:lineRule="auto"/>
            </w:pPr>
            <w:r/>
            <w:r>
              <w:rPr>
                <w:rFonts w:ascii="Times New Roman" w:hAnsi="Times New Roman" w:eastAsia="宋体"/>
                <w:b w:val="0"/>
                <w:i w:val="0"/>
                <w:sz w:val="17"/>
              </w:rPr>
              <w:t>监管、投资、融资</w:t>
            </w:r>
          </w:p>
        </w:tc>
        <w:tc>
          <w:tcPr>
            <w:tcW w:type="dxa" w:w="1550"/>
          </w:tcPr>
          <w:p>
            <w:pPr>
              <w:spacing w:after="20" w:line="276" w:lineRule="auto"/>
            </w:pPr>
            <w:r/>
            <w:r>
              <w:rPr>
                <w:rFonts w:ascii="Times New Roman" w:hAnsi="Times New Roman" w:eastAsia="宋体"/>
                <w:b w:val="0"/>
                <w:i w:val="0"/>
                <w:sz w:val="17"/>
              </w:rPr>
              <w:t>未声明假设时拒绝执行</w:t>
            </w:r>
          </w:p>
        </w:tc>
      </w:tr>
      <w:tr>
        <w:tc>
          <w:tcPr>
            <w:tcW w:type="dxa" w:w="1550"/>
          </w:tcPr>
          <w:p>
            <w:pPr>
              <w:spacing w:after="20" w:line="276" w:lineRule="auto"/>
            </w:pPr>
            <w:r/>
            <w:r>
              <w:rPr>
                <w:rFonts w:ascii="Consolas" w:hAnsi="Consolas" w:eastAsia="Consolas"/>
                <w:b w:val="0"/>
                <w:i w:val="0"/>
                <w:color w:val="8B1E3F"/>
                <w:sz w:val="16"/>
              </w:rPr>
              <w:t>forecast</w:t>
            </w:r>
          </w:p>
        </w:tc>
        <w:tc>
          <w:tcPr>
            <w:tcW w:type="dxa" w:w="1550"/>
          </w:tcPr>
          <w:p>
            <w:pPr>
              <w:spacing w:after="20" w:line="276" w:lineRule="auto"/>
            </w:pPr>
            <w:r/>
            <w:r>
              <w:rPr>
                <w:rFonts w:ascii="Times New Roman" w:hAnsi="Times New Roman" w:eastAsia="宋体"/>
                <w:b w:val="0"/>
                <w:i w:val="0"/>
                <w:sz w:val="17"/>
              </w:rPr>
              <w:t>只读调用融合预测器，返回 5/10/20 日高压力概率与归因</w:t>
            </w:r>
          </w:p>
        </w:tc>
        <w:tc>
          <w:tcPr>
            <w:tcW w:type="dxa" w:w="1550"/>
          </w:tcPr>
          <w:p>
            <w:pPr>
              <w:spacing w:after="20" w:line="276" w:lineRule="auto"/>
            </w:pPr>
            <w:r/>
            <w:r>
              <w:rPr>
                <w:rFonts w:ascii="Consolas" w:hAnsi="Consolas" w:eastAsia="Consolas"/>
                <w:b w:val="0"/>
                <w:i w:val="0"/>
                <w:color w:val="8B1E3F"/>
                <w:sz w:val="16"/>
              </w:rPr>
              <w:t>as_of</w:t>
            </w:r>
            <w:r>
              <w:rPr>
                <w:rFonts w:ascii="Times New Roman" w:hAnsi="Times New Roman" w:eastAsia="宋体"/>
                <w:b w:val="0"/>
                <w:i w:val="0"/>
                <w:sz w:val="17"/>
              </w:rPr>
              <w:t>、模型版本</w:t>
            </w:r>
          </w:p>
        </w:tc>
        <w:tc>
          <w:tcPr>
            <w:tcW w:type="dxa" w:w="1550"/>
          </w:tcPr>
          <w:p>
            <w:pPr>
              <w:spacing w:after="20" w:line="276" w:lineRule="auto"/>
            </w:pPr>
            <w:r/>
            <w:r>
              <w:rPr>
                <w:rFonts w:ascii="Consolas" w:hAnsi="Consolas" w:eastAsia="Consolas"/>
                <w:b w:val="0"/>
                <w:i w:val="0"/>
                <w:color w:val="8B1E3F"/>
                <w:sz w:val="16"/>
              </w:rPr>
              <w:t>probability</w:t>
            </w:r>
            <w:r>
              <w:rPr>
                <w:rFonts w:ascii="Times New Roman" w:hAnsi="Times New Roman" w:eastAsia="宋体"/>
                <w:b w:val="0"/>
                <w:i w:val="0"/>
                <w:sz w:val="17"/>
              </w:rPr>
              <w:t>（概率）</w:t>
            </w:r>
          </w:p>
        </w:tc>
        <w:tc>
          <w:tcPr>
            <w:tcW w:type="dxa" w:w="1550"/>
          </w:tcPr>
          <w:p>
            <w:pPr>
              <w:spacing w:after="20" w:line="276" w:lineRule="auto"/>
            </w:pPr>
            <w:r/>
            <w:r>
              <w:rPr>
                <w:rFonts w:ascii="Times New Roman" w:hAnsi="Times New Roman" w:eastAsia="宋体"/>
                <w:b w:val="0"/>
                <w:i w:val="0"/>
                <w:sz w:val="17"/>
              </w:rPr>
              <w:t>监管、投资、融资</w:t>
            </w:r>
          </w:p>
        </w:tc>
        <w:tc>
          <w:tcPr>
            <w:tcW w:type="dxa" w:w="1550"/>
          </w:tcPr>
          <w:p>
            <w:pPr>
              <w:spacing w:after="20" w:line="276" w:lineRule="auto"/>
            </w:pPr>
            <w:r/>
            <w:r>
              <w:rPr>
                <w:rFonts w:ascii="Times New Roman" w:hAnsi="Times New Roman" w:eastAsia="宋体"/>
                <w:b w:val="0"/>
                <w:i w:val="0"/>
                <w:sz w:val="17"/>
              </w:rPr>
              <w:t>模型版本不匹配时报错</w:t>
            </w:r>
          </w:p>
        </w:tc>
      </w:tr>
      <w:tr>
        <w:tc>
          <w:tcPr>
            <w:tcW w:type="dxa" w:w="1550"/>
          </w:tcPr>
          <w:p>
            <w:pPr>
              <w:spacing w:after="20" w:line="276" w:lineRule="auto"/>
            </w:pPr>
            <w:r/>
            <w:r>
              <w:rPr>
                <w:rFonts w:ascii="Consolas" w:hAnsi="Consolas" w:eastAsia="Consolas"/>
                <w:b w:val="0"/>
                <w:i w:val="0"/>
                <w:color w:val="8B1E3F"/>
                <w:sz w:val="16"/>
              </w:rPr>
              <w:t>funding_cost</w:t>
            </w:r>
          </w:p>
        </w:tc>
        <w:tc>
          <w:tcPr>
            <w:tcW w:type="dxa" w:w="1550"/>
          </w:tcPr>
          <w:p>
            <w:pPr>
              <w:spacing w:after="20" w:line="276" w:lineRule="auto"/>
            </w:pPr>
            <w:r/>
            <w:r>
              <w:rPr>
                <w:rFonts w:ascii="Times New Roman" w:hAnsi="Times New Roman" w:eastAsia="宋体"/>
                <w:b w:val="0"/>
                <w:i w:val="0"/>
                <w:sz w:val="17"/>
              </w:rPr>
              <w:t>融资成本变化（bp）、信用利差、再融资窗口、现金流缓冲</w:t>
            </w:r>
          </w:p>
        </w:tc>
        <w:tc>
          <w:tcPr>
            <w:tcW w:type="dxa" w:w="1550"/>
          </w:tcPr>
          <w:p>
            <w:pPr>
              <w:spacing w:after="20" w:line="276" w:lineRule="auto"/>
            </w:pPr>
            <w:r/>
            <w:r>
              <w:rPr>
                <w:rFonts w:ascii="Times New Roman" w:hAnsi="Times New Roman" w:eastAsia="宋体"/>
                <w:b w:val="0"/>
                <w:i w:val="0"/>
                <w:sz w:val="17"/>
              </w:rPr>
              <w:t>信用等级、期限结构、行业、融资事件</w:t>
            </w:r>
          </w:p>
        </w:tc>
        <w:tc>
          <w:tcPr>
            <w:tcW w:type="dxa" w:w="1550"/>
          </w:tcPr>
          <w:p>
            <w:pPr>
              <w:spacing w:after="20" w:line="276" w:lineRule="auto"/>
            </w:pPr>
            <w:r/>
            <w:r>
              <w:rPr>
                <w:rFonts w:ascii="Consolas" w:hAnsi="Consolas" w:eastAsia="Consolas"/>
                <w:b w:val="0"/>
                <w:i w:val="0"/>
                <w:color w:val="8B1E3F"/>
                <w:sz w:val="16"/>
              </w:rPr>
              <w:t>bp</w:t>
            </w:r>
            <w:r>
              <w:rPr>
                <w:rFonts w:ascii="Times New Roman" w:hAnsi="Times New Roman" w:eastAsia="宋体"/>
                <w:b w:val="0"/>
                <w:i w:val="0"/>
                <w:sz w:val="17"/>
              </w:rPr>
              <w:t>（基点）</w:t>
            </w:r>
          </w:p>
        </w:tc>
        <w:tc>
          <w:tcPr>
            <w:tcW w:type="dxa" w:w="1550"/>
          </w:tcPr>
          <w:p>
            <w:pPr>
              <w:spacing w:after="20" w:line="276" w:lineRule="auto"/>
            </w:pPr>
            <w:r/>
            <w:r>
              <w:rPr>
                <w:rFonts w:ascii="Times New Roman" w:hAnsi="Times New Roman" w:eastAsia="宋体"/>
                <w:b w:val="0"/>
                <w:i w:val="0"/>
                <w:sz w:val="17"/>
              </w:rPr>
              <w:t>融资</w:t>
            </w:r>
          </w:p>
        </w:tc>
        <w:tc>
          <w:tcPr>
            <w:tcW w:type="dxa" w:w="1550"/>
          </w:tcPr>
          <w:p>
            <w:pPr>
              <w:spacing w:after="20" w:line="276" w:lineRule="auto"/>
            </w:pPr>
            <w:r/>
            <w:r>
              <w:rPr>
                <w:rFonts w:ascii="Times New Roman" w:hAnsi="Times New Roman" w:eastAsia="宋体"/>
                <w:b w:val="0"/>
                <w:i w:val="0"/>
                <w:sz w:val="17"/>
              </w:rPr>
              <w:t>缺少信用曲线时不外推</w:t>
            </w:r>
          </w:p>
        </w:tc>
      </w:tr>
      <w:tr>
        <w:tc>
          <w:tcPr>
            <w:tcW w:type="dxa" w:w="1550"/>
          </w:tcPr>
          <w:p>
            <w:pPr>
              <w:spacing w:after="20" w:line="276" w:lineRule="auto"/>
            </w:pPr>
            <w:r/>
            <w:r>
              <w:rPr>
                <w:rFonts w:ascii="Consolas" w:hAnsi="Consolas" w:eastAsia="Consolas"/>
                <w:b w:val="0"/>
                <w:i w:val="0"/>
                <w:color w:val="8B1E3F"/>
                <w:sz w:val="16"/>
              </w:rPr>
              <w:t>knowledge_search</w:t>
            </w:r>
          </w:p>
        </w:tc>
        <w:tc>
          <w:tcPr>
            <w:tcW w:type="dxa" w:w="1550"/>
          </w:tcPr>
          <w:p>
            <w:pPr>
              <w:spacing w:after="20" w:line="276" w:lineRule="auto"/>
            </w:pPr>
            <w:r/>
            <w:r>
              <w:rPr>
                <w:rFonts w:ascii="Times New Roman" w:hAnsi="Times New Roman" w:eastAsia="宋体"/>
                <w:b w:val="0"/>
                <w:i w:val="0"/>
                <w:sz w:val="17"/>
              </w:rPr>
              <w:t>时点过滤的知识检索，返回片段与引文</w:t>
            </w:r>
          </w:p>
        </w:tc>
        <w:tc>
          <w:tcPr>
            <w:tcW w:type="dxa" w:w="1550"/>
          </w:tcPr>
          <w:p>
            <w:pPr>
              <w:spacing w:after="20" w:line="276" w:lineRule="auto"/>
            </w:pPr>
            <w:r/>
            <w:r>
              <w:rPr>
                <w:rFonts w:ascii="Times New Roman" w:hAnsi="Times New Roman" w:eastAsia="宋体"/>
                <w:b w:val="0"/>
                <w:i w:val="0"/>
                <w:sz w:val="17"/>
              </w:rPr>
              <w:t>查询、</w:t>
            </w:r>
            <w:r>
              <w:rPr>
                <w:rFonts w:ascii="Consolas" w:hAnsi="Consolas" w:eastAsia="Consolas"/>
                <w:b w:val="0"/>
                <w:i w:val="0"/>
                <w:color w:val="8B1E3F"/>
                <w:sz w:val="16"/>
              </w:rPr>
              <w:t>as_of</w:t>
            </w:r>
            <w:r>
              <w:rPr>
                <w:rFonts w:ascii="Times New Roman" w:hAnsi="Times New Roman" w:eastAsia="宋体"/>
                <w:b w:val="0"/>
                <w:i w:val="0"/>
                <w:sz w:val="17"/>
              </w:rPr>
              <w:t>、</w:t>
            </w:r>
            <w:r>
              <w:rPr>
                <w:rFonts w:ascii="Consolas" w:hAnsi="Consolas" w:eastAsia="Consolas"/>
                <w:b w:val="0"/>
                <w:i w:val="0"/>
                <w:color w:val="8B1E3F"/>
                <w:sz w:val="16"/>
              </w:rPr>
              <w:t>top_k</w:t>
            </w:r>
            <w:r>
              <w:rPr>
                <w:rFonts w:ascii="Times New Roman" w:hAnsi="Times New Roman" w:eastAsia="宋体"/>
                <w:b w:val="0"/>
                <w:i w:val="0"/>
                <w:sz w:val="17"/>
              </w:rPr>
              <w:t>、过滤条件</w:t>
            </w:r>
          </w:p>
        </w:tc>
        <w:tc>
          <w:tcPr>
            <w:tcW w:type="dxa" w:w="1550"/>
          </w:tcPr>
          <w:p>
            <w:pPr>
              <w:spacing w:after="20" w:line="276" w:lineRule="auto"/>
            </w:pPr>
            <w:r/>
            <w:r>
              <w:rPr>
                <w:rFonts w:ascii="Times New Roman" w:hAnsi="Times New Roman" w:eastAsia="宋体"/>
                <w:b w:val="0"/>
                <w:i w:val="0"/>
                <w:sz w:val="17"/>
              </w:rPr>
              <w:t>无单位（文本）</w:t>
            </w:r>
          </w:p>
        </w:tc>
        <w:tc>
          <w:tcPr>
            <w:tcW w:type="dxa" w:w="1550"/>
          </w:tcPr>
          <w:p>
            <w:pPr>
              <w:spacing w:after="20" w:line="276" w:lineRule="auto"/>
            </w:pPr>
            <w:r/>
            <w:r>
              <w:rPr>
                <w:rFonts w:ascii="Times New Roman" w:hAnsi="Times New Roman" w:eastAsia="宋体"/>
                <w:b w:val="0"/>
                <w:i w:val="0"/>
                <w:sz w:val="17"/>
              </w:rPr>
              <w:t>监管、投资、融资</w:t>
            </w:r>
          </w:p>
        </w:tc>
        <w:tc>
          <w:tcPr>
            <w:tcW w:type="dxa" w:w="1550"/>
          </w:tcPr>
          <w:p>
            <w:pPr>
              <w:spacing w:after="20" w:line="276" w:lineRule="auto"/>
            </w:pPr>
            <w:r/>
            <w:r>
              <w:rPr>
                <w:rFonts w:ascii="Times New Roman" w:hAnsi="Times New Roman" w:eastAsia="宋体"/>
                <w:b w:val="0"/>
                <w:i w:val="0"/>
                <w:sz w:val="17"/>
              </w:rPr>
              <w:t>无命中时返回空结果，不虚构引文</w:t>
            </w:r>
          </w:p>
        </w:tc>
      </w:tr>
    </w:tbl>
    <w:p>
      <w:pPr>
        <w:spacing w:after="40"/>
      </w:pPr>
    </w:p>
    <w:p>
      <w:pPr>
        <w:keepNext/>
        <w:spacing w:before="120" w:after="40"/>
        <w:jc w:val="center"/>
      </w:pPr>
      <w:r>
        <w:rPr>
          <w:rFonts w:ascii="Times New Roman" w:hAnsi="Times New Roman" w:eastAsia="宋体"/>
          <w:b/>
          <w:i w:val="0"/>
          <w:color w:val="1F3864"/>
          <w:sz w:val="19"/>
        </w:rPr>
        <w:t>表 4-5 角色—工具权限矩阵</w:t>
      </w:r>
    </w:p>
    <w:tbl>
      <w:tblPr>
        <w:tblStyle w:val="TableGrid"/>
        <w:tblW w:type="auto" w:w="0"/>
        <w:jc w:val="center"/>
        <w:tblLayout w:type="autofit"/>
        <w:tblLook w:firstColumn="1" w:firstRow="1" w:lastColumn="0" w:lastRow="0" w:noHBand="0" w:noVBand="1" w:val="04A0"/>
      </w:tblPr>
      <w:tblGrid>
        <w:gridCol w:w="1860"/>
        <w:gridCol w:w="1860"/>
        <w:gridCol w:w="1860"/>
        <w:gridCol w:w="1860"/>
        <w:gridCol w:w="1860"/>
      </w:tblGrid>
      <w:tr>
        <w:tc>
          <w:tcPr>
            <w:tcW w:type="dxa" w:w="1860"/>
          </w:tcPr>
          <w:p>
            <w:pPr>
              <w:spacing w:after="20" w:line="276" w:lineRule="auto"/>
            </w:pPr>
            <w:r>
              <w:rPr>
                <w:b/>
              </w:rPr>
            </w:r>
            <w:r>
              <w:rPr>
                <w:rFonts w:ascii="Times New Roman" w:hAnsi="Times New Roman" w:eastAsia="宋体"/>
                <w:b/>
                <w:i w:val="0"/>
                <w:sz w:val="17"/>
              </w:rPr>
              <w:t>工具</w:t>
            </w:r>
          </w:p>
        </w:tc>
        <w:tc>
          <w:tcPr>
            <w:tcW w:type="dxa" w:w="1860"/>
          </w:tcPr>
          <w:p>
            <w:pPr>
              <w:spacing w:after="20" w:line="276" w:lineRule="auto"/>
            </w:pPr>
            <w:r>
              <w:rPr>
                <w:b/>
              </w:rPr>
            </w:r>
            <w:r>
              <w:rPr>
                <w:rFonts w:ascii="Times New Roman" w:hAnsi="Times New Roman" w:eastAsia="宋体"/>
                <w:b/>
                <w:i w:val="0"/>
                <w:sz w:val="17"/>
              </w:rPr>
              <w:t>监管主体</w:t>
            </w:r>
          </w:p>
        </w:tc>
        <w:tc>
          <w:tcPr>
            <w:tcW w:type="dxa" w:w="1860"/>
          </w:tcPr>
          <w:p>
            <w:pPr>
              <w:spacing w:after="20" w:line="276" w:lineRule="auto"/>
            </w:pPr>
            <w:r>
              <w:rPr>
                <w:b/>
              </w:rPr>
            </w:r>
            <w:r>
              <w:rPr>
                <w:rFonts w:ascii="Times New Roman" w:hAnsi="Times New Roman" w:eastAsia="宋体"/>
                <w:b/>
                <w:i w:val="0"/>
                <w:sz w:val="17"/>
              </w:rPr>
              <w:t>投资主体</w:t>
            </w:r>
          </w:p>
        </w:tc>
        <w:tc>
          <w:tcPr>
            <w:tcW w:type="dxa" w:w="1860"/>
          </w:tcPr>
          <w:p>
            <w:pPr>
              <w:spacing w:after="20" w:line="276" w:lineRule="auto"/>
            </w:pPr>
            <w:r>
              <w:rPr>
                <w:b/>
              </w:rPr>
            </w:r>
            <w:r>
              <w:rPr>
                <w:rFonts w:ascii="Times New Roman" w:hAnsi="Times New Roman" w:eastAsia="宋体"/>
                <w:b/>
                <w:i w:val="0"/>
                <w:sz w:val="17"/>
              </w:rPr>
              <w:t>融资主体</w:t>
            </w:r>
          </w:p>
        </w:tc>
        <w:tc>
          <w:tcPr>
            <w:tcW w:type="dxa" w:w="1860"/>
          </w:tcPr>
          <w:p>
            <w:pPr>
              <w:spacing w:after="20" w:line="276" w:lineRule="auto"/>
            </w:pPr>
            <w:r>
              <w:rPr>
                <w:b/>
              </w:rPr>
            </w:r>
            <w:r>
              <w:rPr>
                <w:rFonts w:ascii="Times New Roman" w:hAnsi="Times New Roman" w:eastAsia="宋体"/>
                <w:b/>
                <w:i w:val="0"/>
                <w:sz w:val="17"/>
              </w:rPr>
              <w:t>说明</w:t>
            </w:r>
          </w:p>
        </w:tc>
      </w:tr>
      <w:tr>
        <w:tc>
          <w:tcPr>
            <w:tcW w:type="dxa" w:w="1860"/>
          </w:tcPr>
          <w:p>
            <w:pPr>
              <w:spacing w:after="20" w:line="276" w:lineRule="auto"/>
            </w:pPr>
            <w:r/>
            <w:r>
              <w:rPr>
                <w:rFonts w:ascii="Consolas" w:hAnsi="Consolas" w:eastAsia="Consolas"/>
                <w:b w:val="0"/>
                <w:i w:val="0"/>
                <w:color w:val="8B1E3F"/>
                <w:sz w:val="16"/>
              </w:rPr>
              <w:t>risk_measure</w:t>
            </w:r>
          </w:p>
        </w:tc>
        <w:tc>
          <w:tcPr>
            <w:tcW w:type="dxa" w:w="1860"/>
          </w:tcPr>
          <w:p>
            <w:pPr>
              <w:spacing w:after="20" w:line="276" w:lineRule="auto"/>
            </w:pPr>
            <w:r/>
            <w:r>
              <w:rPr>
                <w:rFonts w:ascii="Times New Roman" w:hAnsi="Times New Roman" w:eastAsia="宋体"/>
                <w:b w:val="0"/>
                <w:i w:val="0"/>
                <w:sz w:val="17"/>
              </w:rPr>
              <w:t>允许</w:t>
            </w:r>
          </w:p>
        </w:tc>
        <w:tc>
          <w:tcPr>
            <w:tcW w:type="dxa" w:w="1860"/>
          </w:tcPr>
          <w:p>
            <w:pPr>
              <w:spacing w:after="20" w:line="276" w:lineRule="auto"/>
            </w:pPr>
            <w:r/>
            <w:r>
              <w:rPr>
                <w:rFonts w:ascii="Times New Roman" w:hAnsi="Times New Roman" w:eastAsia="宋体"/>
                <w:b w:val="0"/>
                <w:i w:val="0"/>
                <w:sz w:val="17"/>
              </w:rPr>
              <w:t>允许</w:t>
            </w:r>
          </w:p>
        </w:tc>
        <w:tc>
          <w:tcPr>
            <w:tcW w:type="dxa" w:w="1860"/>
          </w:tcPr>
          <w:p>
            <w:pPr>
              <w:spacing w:after="20" w:line="276" w:lineRule="auto"/>
            </w:pPr>
            <w:r/>
            <w:r>
              <w:rPr>
                <w:rFonts w:ascii="Times New Roman" w:hAnsi="Times New Roman" w:eastAsia="宋体"/>
                <w:b w:val="0"/>
                <w:i w:val="0"/>
                <w:sz w:val="17"/>
              </w:rPr>
              <w:t>允许</w:t>
            </w:r>
          </w:p>
        </w:tc>
        <w:tc>
          <w:tcPr>
            <w:tcW w:type="dxa" w:w="1860"/>
          </w:tcPr>
          <w:p>
            <w:pPr>
              <w:spacing w:after="20" w:line="276" w:lineRule="auto"/>
            </w:pPr>
            <w:r/>
            <w:r>
              <w:rPr>
                <w:rFonts w:ascii="Times New Roman" w:hAnsi="Times New Roman" w:eastAsia="宋体"/>
                <w:b w:val="0"/>
                <w:i w:val="0"/>
                <w:sz w:val="17"/>
              </w:rPr>
              <w:t>三主体共同的数值基础，但使用口径不同：监管看系统压力分位，投资看组合尾部，融资看信用利差波动</w:t>
            </w:r>
          </w:p>
        </w:tc>
      </w:tr>
      <w:tr>
        <w:tc>
          <w:tcPr>
            <w:tcW w:type="dxa" w:w="1860"/>
          </w:tcPr>
          <w:p>
            <w:pPr>
              <w:spacing w:after="20" w:line="276" w:lineRule="auto"/>
            </w:pPr>
            <w:r/>
            <w:r>
              <w:rPr>
                <w:rFonts w:ascii="Consolas" w:hAnsi="Consolas" w:eastAsia="Consolas"/>
                <w:b w:val="0"/>
                <w:i w:val="0"/>
                <w:color w:val="8B1E3F"/>
                <w:sz w:val="16"/>
              </w:rPr>
              <w:t>systemic_risk</w:t>
            </w:r>
          </w:p>
        </w:tc>
        <w:tc>
          <w:tcPr>
            <w:tcW w:type="dxa" w:w="1860"/>
          </w:tcPr>
          <w:p>
            <w:pPr>
              <w:spacing w:after="20" w:line="276" w:lineRule="auto"/>
            </w:pPr>
            <w:r/>
            <w:r>
              <w:rPr>
                <w:rFonts w:ascii="Times New Roman" w:hAnsi="Times New Roman" w:eastAsia="宋体"/>
                <w:b w:val="0"/>
                <w:i w:val="0"/>
                <w:sz w:val="17"/>
              </w:rPr>
              <w:t>允许</w:t>
            </w:r>
          </w:p>
        </w:tc>
        <w:tc>
          <w:tcPr>
            <w:tcW w:type="dxa" w:w="1860"/>
          </w:tcPr>
          <w:p>
            <w:pPr>
              <w:spacing w:after="20" w:line="276" w:lineRule="auto"/>
            </w:pPr>
            <w:r/>
            <w:r>
              <w:rPr>
                <w:rFonts w:ascii="Times New Roman" w:hAnsi="Times New Roman" w:eastAsia="宋体"/>
                <w:b w:val="0"/>
                <w:i w:val="0"/>
                <w:sz w:val="17"/>
              </w:rPr>
              <w:t>允许</w:t>
            </w:r>
          </w:p>
        </w:tc>
        <w:tc>
          <w:tcPr>
            <w:tcW w:type="dxa" w:w="1860"/>
          </w:tcPr>
          <w:p>
            <w:pPr>
              <w:spacing w:after="20" w:line="276" w:lineRule="auto"/>
            </w:pPr>
            <w:r/>
            <w:r>
              <w:rPr>
                <w:rFonts w:ascii="Times New Roman" w:hAnsi="Times New Roman" w:eastAsia="宋体"/>
                <w:b w:val="0"/>
                <w:i w:val="0"/>
                <w:sz w:val="17"/>
              </w:rPr>
              <w:t>拒绝</w:t>
            </w:r>
          </w:p>
        </w:tc>
        <w:tc>
          <w:tcPr>
            <w:tcW w:type="dxa" w:w="1860"/>
          </w:tcPr>
          <w:p>
            <w:pPr>
              <w:spacing w:after="20" w:line="276" w:lineRule="auto"/>
            </w:pPr>
            <w:r/>
            <w:r>
              <w:rPr>
                <w:rFonts w:ascii="Times New Roman" w:hAnsi="Times New Roman" w:eastAsia="宋体"/>
                <w:b w:val="0"/>
                <w:i w:val="0"/>
                <w:sz w:val="17"/>
              </w:rPr>
              <w:t>溢出与连通性属市场体系层面，融资主体无对应任务与数据权限</w:t>
            </w:r>
          </w:p>
        </w:tc>
      </w:tr>
      <w:tr>
        <w:tc>
          <w:tcPr>
            <w:tcW w:type="dxa" w:w="1860"/>
          </w:tcPr>
          <w:p>
            <w:pPr>
              <w:spacing w:after="20" w:line="276" w:lineRule="auto"/>
            </w:pPr>
            <w:r/>
            <w:r>
              <w:rPr>
                <w:rFonts w:ascii="Consolas" w:hAnsi="Consolas" w:eastAsia="Consolas"/>
                <w:b w:val="0"/>
                <w:i w:val="0"/>
                <w:color w:val="8B1E3F"/>
                <w:sz w:val="16"/>
              </w:rPr>
              <w:t>capital_flow</w:t>
            </w:r>
          </w:p>
        </w:tc>
        <w:tc>
          <w:tcPr>
            <w:tcW w:type="dxa" w:w="1860"/>
          </w:tcPr>
          <w:p>
            <w:pPr>
              <w:spacing w:after="20" w:line="276" w:lineRule="auto"/>
            </w:pPr>
            <w:r/>
            <w:r>
              <w:rPr>
                <w:rFonts w:ascii="Times New Roman" w:hAnsi="Times New Roman" w:eastAsia="宋体"/>
                <w:b w:val="0"/>
                <w:i w:val="0"/>
                <w:sz w:val="17"/>
              </w:rPr>
              <w:t>允许</w:t>
            </w:r>
          </w:p>
        </w:tc>
        <w:tc>
          <w:tcPr>
            <w:tcW w:type="dxa" w:w="1860"/>
          </w:tcPr>
          <w:p>
            <w:pPr>
              <w:spacing w:after="20" w:line="276" w:lineRule="auto"/>
            </w:pPr>
            <w:r/>
            <w:r>
              <w:rPr>
                <w:rFonts w:ascii="Times New Roman" w:hAnsi="Times New Roman" w:eastAsia="宋体"/>
                <w:b w:val="0"/>
                <w:i w:val="0"/>
                <w:sz w:val="17"/>
              </w:rPr>
              <w:t>允许</w:t>
            </w:r>
          </w:p>
        </w:tc>
        <w:tc>
          <w:tcPr>
            <w:tcW w:type="dxa" w:w="1860"/>
          </w:tcPr>
          <w:p>
            <w:pPr>
              <w:spacing w:after="20" w:line="276" w:lineRule="auto"/>
            </w:pPr>
            <w:r/>
            <w:r>
              <w:rPr>
                <w:rFonts w:ascii="Times New Roman" w:hAnsi="Times New Roman" w:eastAsia="宋体"/>
                <w:b w:val="0"/>
                <w:i w:val="0"/>
                <w:sz w:val="17"/>
              </w:rPr>
              <w:t>拒绝</w:t>
            </w:r>
          </w:p>
        </w:tc>
        <w:tc>
          <w:tcPr>
            <w:tcW w:type="dxa" w:w="1860"/>
          </w:tcPr>
          <w:p>
            <w:pPr>
              <w:spacing w:after="20" w:line="276" w:lineRule="auto"/>
            </w:pPr>
            <w:r/>
            <w:r>
              <w:rPr>
                <w:rFonts w:ascii="Times New Roman" w:hAnsi="Times New Roman" w:eastAsia="宋体"/>
                <w:b w:val="0"/>
                <w:i w:val="0"/>
                <w:sz w:val="17"/>
              </w:rPr>
              <w:t>跨境资金流属总量与市场信息，融资主体只能通过融资事件与利率间接观察</w:t>
            </w:r>
          </w:p>
        </w:tc>
      </w:tr>
      <w:tr>
        <w:tc>
          <w:tcPr>
            <w:tcW w:type="dxa" w:w="1860"/>
          </w:tcPr>
          <w:p>
            <w:pPr>
              <w:spacing w:after="20" w:line="276" w:lineRule="auto"/>
            </w:pPr>
            <w:r/>
            <w:r>
              <w:rPr>
                <w:rFonts w:ascii="Consolas" w:hAnsi="Consolas" w:eastAsia="Consolas"/>
                <w:b w:val="0"/>
                <w:i w:val="0"/>
                <w:color w:val="8B1E3F"/>
                <w:sz w:val="16"/>
              </w:rPr>
              <w:t>scenario</w:t>
            </w:r>
          </w:p>
        </w:tc>
        <w:tc>
          <w:tcPr>
            <w:tcW w:type="dxa" w:w="1860"/>
          </w:tcPr>
          <w:p>
            <w:pPr>
              <w:spacing w:after="20" w:line="276" w:lineRule="auto"/>
            </w:pPr>
            <w:r/>
            <w:r>
              <w:rPr>
                <w:rFonts w:ascii="Times New Roman" w:hAnsi="Times New Roman" w:eastAsia="宋体"/>
                <w:b w:val="0"/>
                <w:i w:val="0"/>
                <w:sz w:val="17"/>
              </w:rPr>
              <w:t>允许</w:t>
            </w:r>
          </w:p>
        </w:tc>
        <w:tc>
          <w:tcPr>
            <w:tcW w:type="dxa" w:w="1860"/>
          </w:tcPr>
          <w:p>
            <w:pPr>
              <w:spacing w:after="20" w:line="276" w:lineRule="auto"/>
            </w:pPr>
            <w:r/>
            <w:r>
              <w:rPr>
                <w:rFonts w:ascii="Times New Roman" w:hAnsi="Times New Roman" w:eastAsia="宋体"/>
                <w:b w:val="0"/>
                <w:i w:val="0"/>
                <w:sz w:val="17"/>
              </w:rPr>
              <w:t>允许</w:t>
            </w:r>
          </w:p>
        </w:tc>
        <w:tc>
          <w:tcPr>
            <w:tcW w:type="dxa" w:w="1860"/>
          </w:tcPr>
          <w:p>
            <w:pPr>
              <w:spacing w:after="20" w:line="276" w:lineRule="auto"/>
            </w:pPr>
            <w:r/>
            <w:r>
              <w:rPr>
                <w:rFonts w:ascii="Times New Roman" w:hAnsi="Times New Roman" w:eastAsia="宋体"/>
                <w:b w:val="0"/>
                <w:i w:val="0"/>
                <w:sz w:val="17"/>
              </w:rPr>
              <w:t>允许</w:t>
            </w:r>
          </w:p>
        </w:tc>
        <w:tc>
          <w:tcPr>
            <w:tcW w:type="dxa" w:w="1860"/>
          </w:tcPr>
          <w:p>
            <w:pPr>
              <w:spacing w:after="20" w:line="276" w:lineRule="auto"/>
            </w:pPr>
            <w:r/>
            <w:r>
              <w:rPr>
                <w:rFonts w:ascii="Times New Roman" w:hAnsi="Times New Roman" w:eastAsia="宋体"/>
                <w:b w:val="0"/>
                <w:i w:val="0"/>
                <w:sz w:val="17"/>
              </w:rPr>
              <w:t>三主体均需情景冲击，但冲击参数与损失映射不同</w:t>
            </w:r>
          </w:p>
        </w:tc>
      </w:tr>
      <w:tr>
        <w:tc>
          <w:tcPr>
            <w:tcW w:type="dxa" w:w="1860"/>
          </w:tcPr>
          <w:p>
            <w:pPr>
              <w:spacing w:after="20" w:line="276" w:lineRule="auto"/>
            </w:pPr>
            <w:r/>
            <w:r>
              <w:rPr>
                <w:rFonts w:ascii="Consolas" w:hAnsi="Consolas" w:eastAsia="Consolas"/>
                <w:b w:val="0"/>
                <w:i w:val="0"/>
                <w:color w:val="8B1E3F"/>
                <w:sz w:val="16"/>
              </w:rPr>
              <w:t>forecast</w:t>
            </w:r>
          </w:p>
        </w:tc>
        <w:tc>
          <w:tcPr>
            <w:tcW w:type="dxa" w:w="1860"/>
          </w:tcPr>
          <w:p>
            <w:pPr>
              <w:spacing w:after="20" w:line="276" w:lineRule="auto"/>
            </w:pPr>
            <w:r/>
            <w:r>
              <w:rPr>
                <w:rFonts w:ascii="Times New Roman" w:hAnsi="Times New Roman" w:eastAsia="宋体"/>
                <w:b w:val="0"/>
                <w:i w:val="0"/>
                <w:sz w:val="17"/>
              </w:rPr>
              <w:t>允许</w:t>
            </w:r>
          </w:p>
        </w:tc>
        <w:tc>
          <w:tcPr>
            <w:tcW w:type="dxa" w:w="1860"/>
          </w:tcPr>
          <w:p>
            <w:pPr>
              <w:spacing w:after="20" w:line="276" w:lineRule="auto"/>
            </w:pPr>
            <w:r/>
            <w:r>
              <w:rPr>
                <w:rFonts w:ascii="Times New Roman" w:hAnsi="Times New Roman" w:eastAsia="宋体"/>
                <w:b w:val="0"/>
                <w:i w:val="0"/>
                <w:sz w:val="17"/>
              </w:rPr>
              <w:t>允许</w:t>
            </w:r>
          </w:p>
        </w:tc>
        <w:tc>
          <w:tcPr>
            <w:tcW w:type="dxa" w:w="1860"/>
          </w:tcPr>
          <w:p>
            <w:pPr>
              <w:spacing w:after="20" w:line="276" w:lineRule="auto"/>
            </w:pPr>
            <w:r/>
            <w:r>
              <w:rPr>
                <w:rFonts w:ascii="Times New Roman" w:hAnsi="Times New Roman" w:eastAsia="宋体"/>
                <w:b w:val="0"/>
                <w:i w:val="0"/>
                <w:sz w:val="17"/>
              </w:rPr>
              <w:t>允许</w:t>
            </w:r>
          </w:p>
        </w:tc>
        <w:tc>
          <w:tcPr>
            <w:tcW w:type="dxa" w:w="1860"/>
          </w:tcPr>
          <w:p>
            <w:pPr>
              <w:spacing w:after="20" w:line="276" w:lineRule="auto"/>
            </w:pPr>
            <w:r/>
            <w:r>
              <w:rPr>
                <w:rFonts w:ascii="Times New Roman" w:hAnsi="Times New Roman" w:eastAsia="宋体"/>
                <w:b w:val="0"/>
                <w:i w:val="0"/>
                <w:sz w:val="17"/>
              </w:rPr>
              <w:t>只读共享风险信号，禁止写入或修改模型</w:t>
            </w:r>
          </w:p>
        </w:tc>
      </w:tr>
      <w:tr>
        <w:tc>
          <w:tcPr>
            <w:tcW w:type="dxa" w:w="1860"/>
          </w:tcPr>
          <w:p>
            <w:pPr>
              <w:spacing w:after="20" w:line="276" w:lineRule="auto"/>
            </w:pPr>
            <w:r/>
            <w:r>
              <w:rPr>
                <w:rFonts w:ascii="Consolas" w:hAnsi="Consolas" w:eastAsia="Consolas"/>
                <w:b w:val="0"/>
                <w:i w:val="0"/>
                <w:color w:val="8B1E3F"/>
                <w:sz w:val="16"/>
              </w:rPr>
              <w:t>funding_cost</w:t>
            </w:r>
          </w:p>
        </w:tc>
        <w:tc>
          <w:tcPr>
            <w:tcW w:type="dxa" w:w="1860"/>
          </w:tcPr>
          <w:p>
            <w:pPr>
              <w:spacing w:after="20" w:line="276" w:lineRule="auto"/>
            </w:pPr>
            <w:r/>
            <w:r>
              <w:rPr>
                <w:rFonts w:ascii="Times New Roman" w:hAnsi="Times New Roman" w:eastAsia="宋体"/>
                <w:b w:val="0"/>
                <w:i w:val="0"/>
                <w:sz w:val="17"/>
              </w:rPr>
              <w:t>拒绝</w:t>
            </w:r>
          </w:p>
        </w:tc>
        <w:tc>
          <w:tcPr>
            <w:tcW w:type="dxa" w:w="1860"/>
          </w:tcPr>
          <w:p>
            <w:pPr>
              <w:spacing w:after="20" w:line="276" w:lineRule="auto"/>
            </w:pPr>
            <w:r/>
            <w:r>
              <w:rPr>
                <w:rFonts w:ascii="Times New Roman" w:hAnsi="Times New Roman" w:eastAsia="宋体"/>
                <w:b w:val="0"/>
                <w:i w:val="0"/>
                <w:sz w:val="17"/>
              </w:rPr>
              <w:t>拒绝</w:t>
            </w:r>
          </w:p>
        </w:tc>
        <w:tc>
          <w:tcPr>
            <w:tcW w:type="dxa" w:w="1860"/>
          </w:tcPr>
          <w:p>
            <w:pPr>
              <w:spacing w:after="20" w:line="276" w:lineRule="auto"/>
            </w:pPr>
            <w:r/>
            <w:r>
              <w:rPr>
                <w:rFonts w:ascii="Times New Roman" w:hAnsi="Times New Roman" w:eastAsia="宋体"/>
                <w:b w:val="0"/>
                <w:i w:val="0"/>
                <w:sz w:val="17"/>
              </w:rPr>
              <w:t>允许</w:t>
            </w:r>
          </w:p>
        </w:tc>
        <w:tc>
          <w:tcPr>
            <w:tcW w:type="dxa" w:w="1860"/>
          </w:tcPr>
          <w:p>
            <w:pPr>
              <w:spacing w:after="20" w:line="276" w:lineRule="auto"/>
            </w:pPr>
            <w:r/>
            <w:r>
              <w:rPr>
                <w:rFonts w:ascii="Times New Roman" w:hAnsi="Times New Roman" w:eastAsia="宋体"/>
                <w:b w:val="0"/>
                <w:i w:val="0"/>
                <w:sz w:val="17"/>
              </w:rPr>
              <w:t>融资成本与再融资窗口是融资主体的专属工具，体现工具权限的实质差异</w:t>
            </w:r>
          </w:p>
        </w:tc>
      </w:tr>
      <w:tr>
        <w:tc>
          <w:tcPr>
            <w:tcW w:type="dxa" w:w="1860"/>
          </w:tcPr>
          <w:p>
            <w:pPr>
              <w:spacing w:after="20" w:line="276" w:lineRule="auto"/>
            </w:pPr>
            <w:r/>
            <w:r>
              <w:rPr>
                <w:rFonts w:ascii="Consolas" w:hAnsi="Consolas" w:eastAsia="Consolas"/>
                <w:b w:val="0"/>
                <w:i w:val="0"/>
                <w:color w:val="8B1E3F"/>
                <w:sz w:val="16"/>
              </w:rPr>
              <w:t>knowledge_search</w:t>
            </w:r>
          </w:p>
        </w:tc>
        <w:tc>
          <w:tcPr>
            <w:tcW w:type="dxa" w:w="1860"/>
          </w:tcPr>
          <w:p>
            <w:pPr>
              <w:spacing w:after="20" w:line="276" w:lineRule="auto"/>
            </w:pPr>
            <w:r/>
            <w:r>
              <w:rPr>
                <w:rFonts w:ascii="Times New Roman" w:hAnsi="Times New Roman" w:eastAsia="宋体"/>
                <w:b w:val="0"/>
                <w:i w:val="0"/>
                <w:sz w:val="17"/>
              </w:rPr>
              <w:t>允许</w:t>
            </w:r>
          </w:p>
        </w:tc>
        <w:tc>
          <w:tcPr>
            <w:tcW w:type="dxa" w:w="1860"/>
          </w:tcPr>
          <w:p>
            <w:pPr>
              <w:spacing w:after="20" w:line="276" w:lineRule="auto"/>
            </w:pPr>
            <w:r/>
            <w:r>
              <w:rPr>
                <w:rFonts w:ascii="Times New Roman" w:hAnsi="Times New Roman" w:eastAsia="宋体"/>
                <w:b w:val="0"/>
                <w:i w:val="0"/>
                <w:sz w:val="17"/>
              </w:rPr>
              <w:t>允许</w:t>
            </w:r>
          </w:p>
        </w:tc>
        <w:tc>
          <w:tcPr>
            <w:tcW w:type="dxa" w:w="1860"/>
          </w:tcPr>
          <w:p>
            <w:pPr>
              <w:spacing w:after="20" w:line="276" w:lineRule="auto"/>
            </w:pPr>
            <w:r/>
            <w:r>
              <w:rPr>
                <w:rFonts w:ascii="Times New Roman" w:hAnsi="Times New Roman" w:eastAsia="宋体"/>
                <w:b w:val="0"/>
                <w:i w:val="0"/>
                <w:sz w:val="17"/>
              </w:rPr>
              <w:t>允许</w:t>
            </w:r>
          </w:p>
        </w:tc>
        <w:tc>
          <w:tcPr>
            <w:tcW w:type="dxa" w:w="1860"/>
          </w:tcPr>
          <w:p>
            <w:pPr>
              <w:spacing w:after="20" w:line="276" w:lineRule="auto"/>
            </w:pPr>
            <w:r/>
            <w:r>
              <w:rPr>
                <w:rFonts w:ascii="Times New Roman" w:hAnsi="Times New Roman" w:eastAsia="宋体"/>
                <w:b w:val="0"/>
                <w:i w:val="0"/>
                <w:sz w:val="17"/>
              </w:rPr>
              <w:t>检索范围受信息权限约束（如政策全文仅监管可用）</w:t>
            </w:r>
          </w:p>
        </w:tc>
      </w:tr>
    </w:tbl>
    <w:p>
      <w:pPr>
        <w:spacing w:after="40"/>
      </w:pPr>
    </w:p>
    <w:p>
      <w:r>
        <w:rPr>
          <w:rFonts w:ascii="Times New Roman" w:hAnsi="Times New Roman" w:eastAsia="宋体"/>
          <w:b w:val="0"/>
          <w:i w:val="0"/>
          <w:sz w:val="21"/>
        </w:rPr>
        <w:t xml:space="preserve">工具调用遵循固定顺序：语言模型根据 RoleSpec 的目标、阈值与禁止行为形成工具使用计划；参数经 schema 校验后，由工具注册表执行 </w:t>
      </w:r>
      <w:r>
        <w:rPr>
          <w:rFonts w:ascii="Consolas" w:hAnsi="Consolas" w:eastAsia="Consolas"/>
          <w:b w:val="0"/>
          <w:i w:val="0"/>
          <w:color w:val="8B1E3F"/>
          <w:sz w:val="20"/>
        </w:rPr>
        <w:t>allow(role, tool)</w:t>
      </w:r>
      <w:r>
        <w:rPr>
          <w:rFonts w:ascii="Times New Roman" w:hAnsi="Times New Roman" w:eastAsia="宋体"/>
          <w:b w:val="0"/>
          <w:i w:val="0"/>
          <w:sz w:val="21"/>
        </w:rPr>
        <w:t xml:space="preserve"> 权限判断；权限通过后调用 </w:t>
      </w:r>
      <w:r>
        <w:rPr>
          <w:rFonts w:ascii="Consolas" w:hAnsi="Consolas" w:eastAsia="Consolas"/>
          <w:b w:val="0"/>
          <w:i w:val="0"/>
          <w:color w:val="8B1E3F"/>
          <w:sz w:val="20"/>
        </w:rPr>
        <w:t>tool.run(as_of=t, ...)</w:t>
      </w:r>
      <w:r>
        <w:rPr>
          <w:rFonts w:ascii="Times New Roman" w:hAnsi="Times New Roman" w:eastAsia="宋体"/>
          <w:b w:val="0"/>
          <w:i w:val="0"/>
          <w:sz w:val="21"/>
        </w:rPr>
        <w:t>，工具内部只读时点数据并做确定性计算；成功则返回证据，失败则显式返回错误。任何情况下，工具失败不得由语言模型补值，越权调用在入口处被阻断并写入审计。注册表采用默认拒绝策略（</w:t>
      </w:r>
      <w:r>
        <w:rPr>
          <w:rFonts w:ascii="Consolas" w:hAnsi="Consolas" w:eastAsia="Consolas"/>
          <w:b w:val="0"/>
          <w:i w:val="0"/>
          <w:color w:val="8B1E3F"/>
          <w:sz w:val="20"/>
        </w:rPr>
        <w:t>default_deny</w:t>
      </w:r>
      <w:r>
        <w:rPr>
          <w:rFonts w:ascii="Times New Roman" w:hAnsi="Times New Roman" w:eastAsia="宋体"/>
          <w:b w:val="0"/>
          <w:i w:val="0"/>
          <w:sz w:val="21"/>
        </w:rPr>
        <w:t xml:space="preserve">），角色权限的唯一来源是 </w:t>
      </w:r>
      <w:r>
        <w:rPr>
          <w:rFonts w:ascii="Consolas" w:hAnsi="Consolas" w:eastAsia="Consolas"/>
          <w:b w:val="0"/>
          <w:i w:val="0"/>
          <w:color w:val="8B1E3F"/>
          <w:sz w:val="20"/>
        </w:rPr>
        <w:t>configs/roles.yaml</w:t>
      </w:r>
      <w:r>
        <w:rPr>
          <w:rFonts w:ascii="Times New Roman" w:hAnsi="Times New Roman" w:eastAsia="宋体"/>
          <w:b w:val="0"/>
          <w:i w:val="0"/>
          <w:sz w:val="21"/>
        </w:rPr>
        <w:t>；同一输入哈希应得到同一输出，这是后文数值核验与复现的前提。</w:t>
      </w:r>
    </w:p>
    <w:p>
      <w:pPr>
        <w:pStyle w:val="Heading3"/>
      </w:pPr>
      <w:r>
        <w:rPr>
          <w:rFonts w:ascii="Times New Roman" w:hAnsi="Times New Roman" w:eastAsia="宋体"/>
          <w:b w:val="0"/>
          <w:i w:val="0"/>
          <w:sz w:val="23"/>
        </w:rPr>
        <w:t>4.2.3 数值核验与无依据断言度量</w:t>
      </w:r>
    </w:p>
    <w:p>
      <w:r>
        <w:rPr>
          <w:rFonts w:ascii="Times New Roman" w:hAnsi="Times New Roman" w:eastAsia="宋体"/>
          <w:b w:val="0"/>
          <w:i w:val="0"/>
          <w:sz w:val="21"/>
        </w:rPr>
        <w:t xml:space="preserve">核验机制对智能体输出做结构化审查，而非依赖人工阅读。数值核验抽取 RiskCard 中 </w:t>
      </w:r>
      <w:r>
        <w:rPr>
          <w:rFonts w:ascii="Consolas" w:hAnsi="Consolas" w:eastAsia="Consolas"/>
          <w:b w:val="0"/>
          <w:i w:val="0"/>
          <w:color w:val="8B1E3F"/>
          <w:sz w:val="20"/>
        </w:rPr>
        <w:t>key_metrics</w:t>
      </w:r>
      <w:r>
        <w:rPr>
          <w:rFonts w:ascii="Times New Roman" w:hAnsi="Times New Roman" w:eastAsia="宋体"/>
          <w:b w:val="0"/>
          <w:i w:val="0"/>
          <w:sz w:val="21"/>
        </w:rPr>
        <w:t>、</w:t>
      </w:r>
      <w:r>
        <w:rPr>
          <w:rFonts w:ascii="Consolas" w:hAnsi="Consolas" w:eastAsia="Consolas"/>
          <w:b w:val="0"/>
          <w:i w:val="0"/>
          <w:color w:val="8B1E3F"/>
          <w:sz w:val="20"/>
        </w:rPr>
        <w:t>claims</w:t>
      </w:r>
      <w:r>
        <w:rPr>
          <w:rFonts w:ascii="Times New Roman" w:hAnsi="Times New Roman" w:eastAsia="宋体"/>
          <w:b w:val="0"/>
          <w:i w:val="0"/>
          <w:sz w:val="21"/>
        </w:rPr>
        <w:t xml:space="preserve"> 的数值字段以及推荐文本中的数字，将其与所绑定证据的工具输出比对，通过条件为</w:t>
      </w:r>
    </w:p>
    <w:p>
      <w:pPr>
        <w:spacing w:before="80" w:after="80"/>
        <w:jc w:val="center"/>
      </w:pPr>
      <w:r>
        <w:rPr>
          <w:rFonts w:ascii="Times New Roman" w:hAnsi="Times New Roman" w:eastAsia="宋体"/>
          <w:b w:val="0"/>
          <w:i/>
          <w:color w:val="1F3864"/>
          <w:sz w:val="21"/>
        </w:rPr>
        <w:t>|v_claim-v_tool|≤ (ε_abs, ε_rel·|v_tool|) 4-11</w:t>
      </w:r>
    </w:p>
    <w:p>
      <w:r>
        <w:rPr>
          <w:rFonts w:ascii="Times New Roman" w:hAnsi="Times New Roman" w:eastAsia="宋体"/>
          <w:b w:val="0"/>
          <w:i w:val="0"/>
          <w:sz w:val="21"/>
        </w:rPr>
        <w:t xml:space="preserve">其中绝对容差 </w:t>
      </w:r>
      <w:r>
        <w:rPr>
          <w:rFonts w:ascii="Times New Roman" w:hAnsi="Times New Roman" w:eastAsia="宋体"/>
          <w:b w:val="0"/>
          <w:i/>
          <w:color w:val="1F3864"/>
          <w:sz w:val="21"/>
        </w:rPr>
        <w:t>ε_abs</w:t>
      </w:r>
      <w:r>
        <w:rPr>
          <w:rFonts w:ascii="Times New Roman" w:hAnsi="Times New Roman" w:eastAsia="宋体"/>
          <w:b w:val="0"/>
          <w:i w:val="0"/>
          <w:sz w:val="21"/>
        </w:rPr>
        <w:t xml:space="preserve"> 与相对容差 </w:t>
      </w:r>
      <w:r>
        <w:rPr>
          <w:rFonts w:ascii="Times New Roman" w:hAnsi="Times New Roman" w:eastAsia="宋体"/>
          <w:b w:val="0"/>
          <w:i/>
          <w:color w:val="1F3864"/>
          <w:sz w:val="21"/>
        </w:rPr>
        <w:t>ε_rel</w:t>
      </w:r>
      <w:r>
        <w:rPr>
          <w:rFonts w:ascii="Times New Roman" w:hAnsi="Times New Roman" w:eastAsia="宋体"/>
          <w:b w:val="0"/>
          <w:i w:val="0"/>
          <w:sz w:val="21"/>
        </w:rPr>
        <w:t xml:space="preserve"> 由配置给出（默认 </w:t>
      </w:r>
      <w:r>
        <w:rPr>
          <w:rFonts w:ascii="Times New Roman" w:hAnsi="Times New Roman" w:eastAsia="宋体"/>
          <w:b w:val="0"/>
          <w:i/>
          <w:color w:val="1F3864"/>
          <w:sz w:val="21"/>
        </w:rPr>
        <w:t>10-6</w:t>
      </w:r>
      <w:r>
        <w:rPr>
          <w:rFonts w:ascii="Times New Roman" w:hAnsi="Times New Roman" w:eastAsia="宋体"/>
          <w:b w:val="0"/>
          <w:i w:val="0"/>
          <w:sz w:val="21"/>
        </w:rPr>
        <w:t xml:space="preserve"> 与 </w:t>
      </w:r>
      <w:r>
        <w:rPr>
          <w:rFonts w:ascii="Times New Roman" w:hAnsi="Times New Roman" w:eastAsia="宋体"/>
          <w:b w:val="0"/>
          <w:i/>
          <w:color w:val="1F3864"/>
          <w:sz w:val="21"/>
        </w:rPr>
        <w:t>10-3</w:t>
      </w:r>
      <w:r>
        <w:rPr>
          <w:rFonts w:ascii="Times New Roman" w:hAnsi="Times New Roman" w:eastAsia="宋体"/>
          <w:b w:val="0"/>
          <w:i w:val="0"/>
          <w:sz w:val="21"/>
        </w:rPr>
        <w:t xml:space="preserve">，见 </w:t>
      </w:r>
      <w:r>
        <w:rPr>
          <w:rFonts w:ascii="Consolas" w:hAnsi="Consolas" w:eastAsia="Consolas"/>
          <w:b w:val="0"/>
          <w:i w:val="0"/>
          <w:color w:val="8B1E3F"/>
          <w:sz w:val="20"/>
        </w:rPr>
        <w:t>orchestration.numeric_tolerance_abs</w:t>
      </w:r>
      <w:r>
        <w:rPr>
          <w:rFonts w:ascii="Times New Roman" w:hAnsi="Times New Roman" w:eastAsia="宋体"/>
          <w:b w:val="0"/>
          <w:i w:val="0"/>
          <w:sz w:val="21"/>
        </w:rPr>
        <w:t xml:space="preserve"> 与 </w:t>
      </w:r>
      <w:r>
        <w:rPr>
          <w:rFonts w:ascii="Consolas" w:hAnsi="Consolas" w:eastAsia="Consolas"/>
          <w:b w:val="0"/>
          <w:i w:val="0"/>
          <w:color w:val="8B1E3F"/>
          <w:sz w:val="20"/>
        </w:rPr>
        <w:t>numeric_tolerance_rel</w:t>
      </w:r>
      <w:r>
        <w:rPr>
          <w:rFonts w:ascii="Times New Roman" w:hAnsi="Times New Roman" w:eastAsia="宋体"/>
          <w:b w:val="0"/>
          <w:i w:val="0"/>
          <w:sz w:val="21"/>
        </w:rPr>
        <w:t>）。由此定义数值错误率</w:t>
      </w:r>
    </w:p>
    <w:p>
      <w:pPr>
        <w:spacing w:before="80" w:after="80"/>
        <w:jc w:val="center"/>
      </w:pPr>
      <w:r>
        <w:rPr>
          <w:rFonts w:ascii="Times New Roman" w:hAnsi="Times New Roman" w:eastAsia="宋体"/>
          <w:b w:val="0"/>
          <w:i/>
          <w:color w:val="1F3864"/>
          <w:sz w:val="21"/>
        </w:rPr>
        <w:t>NER=1- #通过数值核验的数值主张 #数值主张总数 4-12</w:t>
      </w:r>
    </w:p>
    <w:p>
      <w:r>
        <w:rPr>
          <w:rFonts w:ascii="Times New Roman" w:hAnsi="Times New Roman" w:eastAsia="宋体"/>
          <w:b w:val="0"/>
          <w:i w:val="0"/>
          <w:sz w:val="21"/>
        </w:rPr>
        <w:t xml:space="preserve">引文核验要求每条文本主张能够沿 </w:t>
      </w:r>
      <w:r>
        <w:rPr>
          <w:rFonts w:ascii="Consolas" w:hAnsi="Consolas" w:eastAsia="Consolas"/>
          <w:b w:val="0"/>
          <w:i w:val="0"/>
          <w:color w:val="8B1E3F"/>
          <w:sz w:val="20"/>
        </w:rPr>
        <w:t>evidence_id → chunk_id → 原文</w:t>
      </w:r>
      <w:r>
        <w:rPr>
          <w:rFonts w:ascii="Times New Roman" w:hAnsi="Times New Roman" w:eastAsia="宋体"/>
          <w:b w:val="0"/>
          <w:i w:val="0"/>
          <w:sz w:val="21"/>
        </w:rPr>
        <w:t xml:space="preserve"> 链条定位，且证据发布时间不晚于 </w:t>
      </w:r>
      <w:r>
        <w:rPr>
          <w:rFonts w:ascii="Consolas" w:hAnsi="Consolas" w:eastAsia="Consolas"/>
          <w:b w:val="0"/>
          <w:i w:val="0"/>
          <w:color w:val="8B1E3F"/>
          <w:sz w:val="20"/>
        </w:rPr>
        <w:t>as_of</w:t>
      </w:r>
      <w:r>
        <w:rPr>
          <w:rFonts w:ascii="Times New Roman" w:hAnsi="Times New Roman" w:eastAsia="宋体"/>
          <w:b w:val="0"/>
          <w:i w:val="0"/>
          <w:sz w:val="21"/>
        </w:rPr>
        <w:t>；通过率记为证据准确率</w:t>
      </w:r>
    </w:p>
    <w:p>
      <w:pPr>
        <w:spacing w:before="80" w:after="80"/>
        <w:jc w:val="center"/>
      </w:pPr>
      <w:r>
        <w:rPr>
          <w:rFonts w:ascii="Times New Roman" w:hAnsi="Times New Roman" w:eastAsia="宋体"/>
          <w:b w:val="0"/>
          <w:i/>
          <w:color w:val="1F3864"/>
          <w:sz w:val="21"/>
        </w:rPr>
        <w:t>EA= #通过引文核验的文本主张 #文本主张总数 4-13</w:t>
      </w:r>
    </w:p>
    <w:p>
      <w:r>
        <w:rPr>
          <w:rFonts w:ascii="Times New Roman" w:hAnsi="Times New Roman" w:eastAsia="宋体"/>
          <w:b w:val="0"/>
          <w:i w:val="0"/>
          <w:sz w:val="21"/>
        </w:rPr>
        <w:t>无依据断言指没有绑定证据、或绑定证据无法定位、或证据时点越界的主张。其比率定义为</w:t>
      </w:r>
    </w:p>
    <w:p>
      <w:pPr>
        <w:spacing w:before="80" w:after="80"/>
        <w:jc w:val="center"/>
      </w:pPr>
      <w:r>
        <w:rPr>
          <w:rFonts w:ascii="Times New Roman" w:hAnsi="Times New Roman" w:eastAsia="宋体"/>
          <w:b w:val="0"/>
          <w:i/>
          <w:color w:val="1F3864"/>
          <w:sz w:val="21"/>
        </w:rPr>
        <w:t>UCR= #无依据主张 #通过引文核验的主张+ #无依据主张 4-14</w:t>
      </w:r>
    </w:p>
    <w:p>
      <w:r>
        <w:rPr>
          <w:rFonts w:ascii="Times New Roman" w:hAnsi="Times New Roman" w:eastAsia="宋体"/>
          <w:b w:val="0"/>
          <w:i w:val="0"/>
          <w:sz w:val="21"/>
        </w:rPr>
        <w:t xml:space="preserve">式（4-12）–（4-14）与核验报告 </w:t>
      </w:r>
      <w:r>
        <w:rPr>
          <w:rFonts w:ascii="Consolas" w:hAnsi="Consolas" w:eastAsia="Consolas"/>
          <w:b w:val="0"/>
          <w:i w:val="0"/>
          <w:color w:val="8B1E3F"/>
          <w:sz w:val="20"/>
        </w:rPr>
        <w:t>VerificationReport</w:t>
      </w:r>
      <w:r>
        <w:rPr>
          <w:rFonts w:ascii="Times New Roman" w:hAnsi="Times New Roman" w:eastAsia="宋体"/>
          <w:b w:val="0"/>
          <w:i w:val="0"/>
          <w:sz w:val="21"/>
        </w:rPr>
        <w:t xml:space="preserve"> 的字段一一对应（</w:t>
      </w:r>
      <w:r>
        <w:rPr>
          <w:rFonts w:ascii="Consolas" w:hAnsi="Consolas" w:eastAsia="Consolas"/>
          <w:b w:val="0"/>
          <w:i w:val="0"/>
          <w:color w:val="8B1E3F"/>
          <w:sz w:val="20"/>
        </w:rPr>
        <w:t>numeric_error_rate</w:t>
      </w:r>
      <w:r>
        <w:rPr>
          <w:rFonts w:ascii="Times New Roman" w:hAnsi="Times New Roman" w:eastAsia="宋体"/>
          <w:b w:val="0"/>
          <w:i w:val="0"/>
          <w:sz w:val="21"/>
        </w:rPr>
        <w:t>、</w:t>
      </w:r>
      <w:r>
        <w:rPr>
          <w:rFonts w:ascii="Consolas" w:hAnsi="Consolas" w:eastAsia="Consolas"/>
          <w:b w:val="0"/>
          <w:i w:val="0"/>
          <w:color w:val="8B1E3F"/>
          <w:sz w:val="20"/>
        </w:rPr>
        <w:t>evidence_accuracy</w:t>
      </w:r>
      <w:r>
        <w:rPr>
          <w:rFonts w:ascii="Times New Roman" w:hAnsi="Times New Roman" w:eastAsia="宋体"/>
          <w:b w:val="0"/>
          <w:i w:val="0"/>
          <w:sz w:val="21"/>
        </w:rPr>
        <w:t>、</w:t>
      </w:r>
      <w:r>
        <w:rPr>
          <w:rFonts w:ascii="Consolas" w:hAnsi="Consolas" w:eastAsia="Consolas"/>
          <w:b w:val="0"/>
          <w:i w:val="0"/>
          <w:color w:val="8B1E3F"/>
          <w:sz w:val="20"/>
        </w:rPr>
        <w:t>unsupported_claim_rate</w:t>
      </w:r>
      <w:r>
        <w:rPr>
          <w:rFonts w:ascii="Times New Roman" w:hAnsi="Times New Roman" w:eastAsia="宋体"/>
          <w:b w:val="0"/>
          <w:i w:val="0"/>
          <w:sz w:val="21"/>
        </w:rPr>
        <w:t xml:space="preserve">），并伴随四类计数：时点泄漏事件数 </w:t>
      </w:r>
      <w:r>
        <w:rPr>
          <w:rFonts w:ascii="Consolas" w:hAnsi="Consolas" w:eastAsia="Consolas"/>
          <w:b w:val="0"/>
          <w:i w:val="0"/>
          <w:color w:val="8B1E3F"/>
          <w:sz w:val="20"/>
        </w:rPr>
        <w:t>leakage_events</w:t>
      </w:r>
      <w:r>
        <w:rPr>
          <w:rFonts w:ascii="Times New Roman" w:hAnsi="Times New Roman" w:eastAsia="宋体"/>
          <w:b w:val="0"/>
          <w:i w:val="0"/>
          <w:sz w:val="21"/>
        </w:rPr>
        <w:t xml:space="preserve">、越权违规数 </w:t>
      </w:r>
      <w:r>
        <w:rPr>
          <w:rFonts w:ascii="Consolas" w:hAnsi="Consolas" w:eastAsia="Consolas"/>
          <w:b w:val="0"/>
          <w:i w:val="0"/>
          <w:color w:val="8B1E3F"/>
          <w:sz w:val="20"/>
        </w:rPr>
        <w:t>permission_violations</w:t>
      </w:r>
      <w:r>
        <w:rPr>
          <w:rFonts w:ascii="Times New Roman" w:hAnsi="Times New Roman" w:eastAsia="宋体"/>
          <w:b w:val="0"/>
          <w:i w:val="0"/>
          <w:sz w:val="21"/>
        </w:rPr>
        <w:t xml:space="preserve">、schema 错误数 </w:t>
      </w:r>
      <w:r>
        <w:rPr>
          <w:rFonts w:ascii="Consolas" w:hAnsi="Consolas" w:eastAsia="Consolas"/>
          <w:b w:val="0"/>
          <w:i w:val="0"/>
          <w:color w:val="8B1E3F"/>
          <w:sz w:val="20"/>
        </w:rPr>
        <w:t>schema_errors</w:t>
      </w:r>
      <w:r>
        <w:rPr>
          <w:rFonts w:ascii="Times New Roman" w:hAnsi="Times New Roman" w:eastAsia="宋体"/>
          <w:b w:val="0"/>
          <w:i w:val="0"/>
          <w:sz w:val="21"/>
        </w:rPr>
        <w:t xml:space="preserve"> 与问题清单 </w:t>
      </w:r>
      <w:r>
        <w:rPr>
          <w:rFonts w:ascii="Consolas" w:hAnsi="Consolas" w:eastAsia="Consolas"/>
          <w:b w:val="0"/>
          <w:i w:val="0"/>
          <w:color w:val="8B1E3F"/>
          <w:sz w:val="20"/>
        </w:rPr>
        <w:t>issues</w:t>
      </w:r>
      <w:r>
        <w:rPr>
          <w:rFonts w:ascii="Times New Roman" w:hAnsi="Times New Roman" w:eastAsia="宋体"/>
          <w:b w:val="0"/>
          <w:i w:val="0"/>
          <w:sz w:val="21"/>
        </w:rPr>
        <w:t>。核验报告只有在数值错误率、越权、泄漏与 schema 错误均为零时判定为通过；该判定不替代业务判断，而是把“可用”与“不可用”的边界显式化。</w:t>
      </w:r>
    </w:p>
    <w:p>
      <w:r>
        <w:rPr>
          <w:rFonts w:ascii="Times New Roman" w:hAnsi="Times New Roman" w:eastAsia="宋体"/>
          <w:b w:val="0"/>
          <w:i w:val="0"/>
          <w:sz w:val="21"/>
        </w:rPr>
        <w:t xml:space="preserve">核验并非事后惩罚，而是闭环：发现的问题以 </w:t>
      </w:r>
      <w:r>
        <w:rPr>
          <w:rFonts w:ascii="Consolas" w:hAnsi="Consolas" w:eastAsia="Consolas"/>
          <w:b w:val="0"/>
          <w:i w:val="0"/>
          <w:color w:val="8B1E3F"/>
          <w:sz w:val="20"/>
        </w:rPr>
        <w:t>VerificationIssue</w:t>
      </w:r>
      <w:r>
        <w:rPr>
          <w:rFonts w:ascii="Times New Roman" w:hAnsi="Times New Roman" w:eastAsia="宋体"/>
          <w:b w:val="0"/>
          <w:i w:val="0"/>
          <w:sz w:val="21"/>
        </w:rPr>
        <w:t xml:space="preserve"> 返回协调层，触发补充工具调用、主张修订或人工复核；主张状态随之在 </w:t>
      </w:r>
      <w:r>
        <w:rPr>
          <w:rFonts w:ascii="Consolas" w:hAnsi="Consolas" w:eastAsia="Consolas"/>
          <w:b w:val="0"/>
          <w:i w:val="0"/>
          <w:color w:val="8B1E3F"/>
          <w:sz w:val="20"/>
        </w:rPr>
        <w:t>unverified → verified / conflicted / rejected / preference</w:t>
      </w:r>
      <w:r>
        <w:rPr>
          <w:rFonts w:ascii="Times New Roman" w:hAnsi="Times New Roman" w:eastAsia="宋体"/>
          <w:b w:val="0"/>
          <w:i w:val="0"/>
          <w:sz w:val="21"/>
        </w:rPr>
        <w:t xml:space="preserve"> 之间迁移，使可复核性成为可观测、可统计的流程。</w:t>
      </w:r>
    </w:p>
    <w:p>
      <w:pPr>
        <w:pStyle w:val="Heading3"/>
      </w:pPr>
      <w:r>
        <w:rPr>
          <w:rFonts w:ascii="Times New Roman" w:hAnsi="Times New Roman" w:eastAsia="宋体"/>
          <w:b w:val="0"/>
          <w:i w:val="0"/>
          <w:sz w:val="23"/>
        </w:rPr>
        <w:t>4.2.4 语言模型与工具的职责边界</w:t>
      </w:r>
    </w:p>
    <w:p>
      <w:r>
        <w:rPr>
          <w:rFonts w:ascii="Times New Roman" w:hAnsi="Times New Roman" w:eastAsia="宋体"/>
          <w:b w:val="0"/>
          <w:i w:val="0"/>
          <w:sz w:val="21"/>
        </w:rPr>
        <w:t>职责边界可概括为：语言模型不产生数值，只产生可核验的主张与解释；它负责任务分解、工具选择与参数编制、证据比较、解释与局限说明以及对话交互；它不得生成或估算任何进入结论的数值，不得引用未检索到的文本，不得绕过工具权限，不得修改工具输出。该边界通过“事前约束 + 事后核验”落实：事前写入禁止行为清单并在提示与输出 schema 中限定形态；事后由 4.2.3 统一审查，违规主张废弃或降级。</w:t>
      </w:r>
    </w:p>
    <w:p>
      <w:r>
        <w:rPr>
          <w:rFonts w:ascii="Times New Roman" w:hAnsi="Times New Roman" w:eastAsia="宋体"/>
          <w:b w:val="0"/>
          <w:i w:val="0"/>
          <w:sz w:val="21"/>
        </w:rPr>
        <w:t xml:space="preserve">失败语义显式规定：工具失败时须在 </w:t>
      </w:r>
      <w:r>
        <w:rPr>
          <w:rFonts w:ascii="Consolas" w:hAnsi="Consolas" w:eastAsia="Consolas"/>
          <w:b w:val="0"/>
          <w:i w:val="0"/>
          <w:color w:val="8B1E3F"/>
          <w:sz w:val="20"/>
        </w:rPr>
        <w:t>limitations</w:t>
      </w:r>
      <w:r>
        <w:rPr>
          <w:rFonts w:ascii="Times New Roman" w:hAnsi="Times New Roman" w:eastAsia="宋体"/>
          <w:b w:val="0"/>
          <w:i w:val="0"/>
          <w:sz w:val="21"/>
        </w:rPr>
        <w:t xml:space="preserve"> 说明数据缺口并降低结论强度，不得以模型知识补齐；检索无命中则撤回或标记未验证；schema 不通过允许有限次重试，仍失败则降级为仅引用共享信号的保守输出。由此，“不知道”成为允许的输出，避免以确定性口吻掩盖证据不足。</w:t>
      </w:r>
    </w:p>
    <w:p>
      <w:r>
        <w:rPr>
          <w:rFonts w:ascii="Times New Roman" w:hAnsi="Times New Roman" w:eastAsia="宋体"/>
          <w:b w:val="0"/>
          <w:i w:val="0"/>
          <w:sz w:val="21"/>
        </w:rPr>
        <w:t>P2 的可检验设计采用四组递增配置：E3 为仅语言模型（无知识检索、无工具），E4 在 E3 基础上加入时点知识检索，E5 在 E3 基础上加入确定性工具，E6 同时加入两者。四组共用同一底层模型、同一提示框架、同一 token 与工具调用预算、同一评估情景集合，仅增强模块开关不同。评价指标为数值错误率、证据准确率、无依据断言率、越权阻断次数与 schema 失败率；可检验含义是：知识检索主要改善证据准确率与无依据断言率，工具调用主要改善数值错误率，二者组合应同时改善两类错误。该方向为待实验验证的设计假设，本章不预设其成立。</w:t>
      </w:r>
    </w:p>
    <w:p>
      <w:pPr>
        <w:pStyle w:val="Heading2"/>
      </w:pPr>
      <w:r>
        <w:rPr>
          <w:rFonts w:ascii="Times New Roman" w:hAnsi="Times New Roman" w:eastAsia="宋体"/>
          <w:b w:val="0"/>
          <w:i w:val="0"/>
          <w:sz w:val="26"/>
        </w:rPr>
        <w:t>4.3 监管、投资与融资预警智能体设计</w:t>
      </w:r>
    </w:p>
    <w:p>
      <w:r>
        <w:rPr>
          <w:rFonts w:ascii="Times New Roman" w:hAnsi="Times New Roman" w:eastAsia="宋体"/>
          <w:b w:val="0"/>
          <w:i w:val="0"/>
          <w:sz w:val="21"/>
        </w:rPr>
        <w:t>【对应命题 P3 的方法基础；实验章节：5.2、6.3；实现：L4 智能体层、</w:t>
      </w:r>
      <w:r>
        <w:rPr>
          <w:rFonts w:ascii="Consolas" w:hAnsi="Consolas" w:eastAsia="Consolas"/>
          <w:b w:val="0"/>
          <w:i w:val="0"/>
          <w:color w:val="8B1E3F"/>
          <w:sz w:val="20"/>
        </w:rPr>
        <w:t>src/cbr/agents/</w:t>
      </w:r>
      <w:r>
        <w:rPr>
          <w:rFonts w:ascii="Times New Roman" w:hAnsi="Times New Roman" w:eastAsia="宋体"/>
          <w:b w:val="0"/>
          <w:i w:val="0"/>
          <w:sz w:val="21"/>
        </w:rPr>
        <w:t>、</w:t>
      </w:r>
      <w:r>
        <w:rPr>
          <w:rFonts w:ascii="Consolas" w:hAnsi="Consolas" w:eastAsia="Consolas"/>
          <w:b w:val="0"/>
          <w:i w:val="0"/>
          <w:color w:val="8B1E3F"/>
          <w:sz w:val="20"/>
        </w:rPr>
        <w:t>configs/roles.yaml</w:t>
      </w:r>
      <w:r>
        <w:rPr>
          <w:rFonts w:ascii="Times New Roman" w:hAnsi="Times New Roman" w:eastAsia="宋体"/>
          <w:b w:val="0"/>
          <w:i w:val="0"/>
          <w:sz w:val="21"/>
        </w:rPr>
        <w:t>】</w:t>
      </w:r>
    </w:p>
    <w:p>
      <w:r>
        <w:rPr>
          <w:rFonts w:ascii="Times New Roman" w:hAnsi="Times New Roman" w:eastAsia="宋体"/>
          <w:b w:val="0"/>
          <w:i w:val="0"/>
          <w:sz w:val="21"/>
        </w:rPr>
        <w:t>本节把三类主体的差异落实为可配置、可核验、可比较的智能体设计。4.3.1 以角色规范的形式化回答“为什么是三个智能体”，4.3.2 定义结构化输出 RiskCard 与 Claim，4.3.3 给出统一的 Agent Loop，4.3.4 说明可审查约束与决策损失口径。</w:t>
      </w:r>
    </w:p>
    <w:p>
      <w:pPr>
        <w:pStyle w:val="Heading3"/>
      </w:pPr>
      <w:r>
        <w:rPr>
          <w:rFonts w:ascii="Times New Roman" w:hAnsi="Times New Roman" w:eastAsia="宋体"/>
          <w:b w:val="0"/>
          <w:i w:val="0"/>
          <w:sz w:val="23"/>
        </w:rPr>
        <w:t>4.3.1 为什么是三个智能体：主体差异的六元组刻画</w:t>
      </w:r>
    </w:p>
    <w:p>
      <w:r>
        <w:rPr>
          <w:rFonts w:ascii="Times New Roman" w:hAnsi="Times New Roman" w:eastAsia="宋体"/>
          <w:b w:val="0"/>
          <w:i w:val="0"/>
          <w:sz w:val="21"/>
        </w:rPr>
        <w:t>在跨境金融风险情景下，监管、投资与融资三类主体的差异不是措辞差异，而是信息、工具、目标与损失函数的实质差异。本章将角色规范形式化为六元组</w:t>
      </w:r>
    </w:p>
    <w:p>
      <w:pPr>
        <w:spacing w:before="80" w:after="80"/>
        <w:jc w:val="center"/>
      </w:pPr>
      <w:r>
        <w:rPr>
          <w:rFonts w:ascii="Times New Roman" w:hAnsi="Times New Roman" w:eastAsia="宋体"/>
          <w:b w:val="0"/>
          <w:i/>
          <w:color w:val="1F3864"/>
          <w:sz w:val="21"/>
        </w:rPr>
        <w:t>ρ_r=(O_r, I_r, T_r, Θ_r, λ_r, F_r) 4-15</w:t>
      </w:r>
    </w:p>
    <w:p>
      <w:r>
        <w:rPr>
          <w:rFonts w:ascii="Times New Roman" w:hAnsi="Times New Roman" w:eastAsia="宋体"/>
          <w:b w:val="0"/>
          <w:i w:val="0"/>
          <w:sz w:val="21"/>
        </w:rPr>
        <w:t xml:space="preserve">其中 </w:t>
      </w:r>
      <w:r>
        <w:rPr>
          <w:rFonts w:ascii="Times New Roman" w:hAnsi="Times New Roman" w:eastAsia="宋体"/>
          <w:b w:val="0"/>
          <w:i/>
          <w:color w:val="1F3864"/>
          <w:sz w:val="21"/>
        </w:rPr>
        <w:t>O_r</w:t>
      </w:r>
      <w:r>
        <w:rPr>
          <w:rFonts w:ascii="Times New Roman" w:hAnsi="Times New Roman" w:eastAsia="宋体"/>
          <w:b w:val="0"/>
          <w:i w:val="0"/>
          <w:sz w:val="21"/>
        </w:rPr>
        <w:t xml:space="preserve"> 为目标函数，</w:t>
      </w:r>
      <w:r>
        <w:rPr>
          <w:rFonts w:ascii="Times New Roman" w:hAnsi="Times New Roman" w:eastAsia="宋体"/>
          <w:b w:val="0"/>
          <w:i/>
          <w:color w:val="1F3864"/>
          <w:sz w:val="21"/>
        </w:rPr>
        <w:t>I_r</w:t>
      </w:r>
      <w:r>
        <w:rPr>
          <w:rFonts w:ascii="Times New Roman" w:hAnsi="Times New Roman" w:eastAsia="宋体"/>
          <w:b w:val="0"/>
          <w:i w:val="0"/>
          <w:sz w:val="21"/>
        </w:rPr>
        <w:t xml:space="preserve"> 为信息权限，</w:t>
      </w:r>
      <w:r>
        <w:rPr>
          <w:rFonts w:ascii="Times New Roman" w:hAnsi="Times New Roman" w:eastAsia="宋体"/>
          <w:b w:val="0"/>
          <w:i/>
          <w:color w:val="1F3864"/>
          <w:sz w:val="21"/>
        </w:rPr>
        <w:t>T_r</w:t>
      </w:r>
      <w:r>
        <w:rPr>
          <w:rFonts w:ascii="Times New Roman" w:hAnsi="Times New Roman" w:eastAsia="宋体"/>
          <w:b w:val="0"/>
          <w:i w:val="0"/>
          <w:sz w:val="21"/>
        </w:rPr>
        <w:t xml:space="preserve"> 为工具权限，</w:t>
      </w:r>
      <w:r>
        <w:rPr>
          <w:rFonts w:ascii="Times New Roman" w:hAnsi="Times New Roman" w:eastAsia="宋体"/>
          <w:b w:val="0"/>
          <w:i/>
          <w:color w:val="1F3864"/>
          <w:sz w:val="21"/>
        </w:rPr>
        <w:t>Θ_r</w:t>
      </w:r>
      <w:r>
        <w:rPr>
          <w:rFonts w:ascii="Times New Roman" w:hAnsi="Times New Roman" w:eastAsia="宋体"/>
          <w:b w:val="0"/>
          <w:i w:val="0"/>
          <w:sz w:val="21"/>
        </w:rPr>
        <w:t xml:space="preserve"> 为预警阈值，</w:t>
      </w:r>
      <w:r>
        <w:rPr>
          <w:rFonts w:ascii="Times New Roman" w:hAnsi="Times New Roman" w:eastAsia="宋体"/>
          <w:b w:val="0"/>
          <w:i/>
          <w:color w:val="1F3864"/>
          <w:sz w:val="21"/>
        </w:rPr>
        <w:t>λ_r</w:t>
      </w:r>
      <w:r>
        <w:rPr>
          <w:rFonts w:ascii="Times New Roman" w:hAnsi="Times New Roman" w:eastAsia="宋体"/>
          <w:b w:val="0"/>
          <w:i w:val="0"/>
          <w:sz w:val="21"/>
        </w:rPr>
        <w:t xml:space="preserve"> 为决策损失权重，</w:t>
      </w:r>
      <w:r>
        <w:rPr>
          <w:rFonts w:ascii="Times New Roman" w:hAnsi="Times New Roman" w:eastAsia="宋体"/>
          <w:b w:val="0"/>
          <w:i/>
          <w:color w:val="1F3864"/>
          <w:sz w:val="21"/>
        </w:rPr>
        <w:t>F_r</w:t>
      </w:r>
      <w:r>
        <w:rPr>
          <w:rFonts w:ascii="Times New Roman" w:hAnsi="Times New Roman" w:eastAsia="宋体"/>
          <w:b w:val="0"/>
          <w:i w:val="0"/>
          <w:sz w:val="21"/>
        </w:rPr>
        <w:t xml:space="preserve"> 为禁止行为集合。角色规范的完整实例见表 4-6；配置来源于 </w:t>
      </w:r>
      <w:r>
        <w:rPr>
          <w:rFonts w:ascii="Consolas" w:hAnsi="Consolas" w:eastAsia="Consolas"/>
          <w:b w:val="0"/>
          <w:i w:val="0"/>
          <w:color w:val="8B1E3F"/>
          <w:sz w:val="20"/>
        </w:rPr>
        <w:t>configs/roles.yaml</w:t>
      </w:r>
      <w:r>
        <w:rPr>
          <w:rFonts w:ascii="Times New Roman" w:hAnsi="Times New Roman" w:eastAsia="宋体"/>
          <w:b w:val="0"/>
          <w:i w:val="0"/>
          <w:sz w:val="21"/>
        </w:rPr>
        <w:t xml:space="preserve">，由 </w:t>
      </w:r>
      <w:r>
        <w:rPr>
          <w:rFonts w:ascii="Consolas" w:hAnsi="Consolas" w:eastAsia="Consolas"/>
          <w:b w:val="0"/>
          <w:i w:val="0"/>
          <w:color w:val="8B1E3F"/>
          <w:sz w:val="20"/>
        </w:rPr>
        <w:t>RoleRegistryImpl</w:t>
      </w:r>
      <w:r>
        <w:rPr>
          <w:rFonts w:ascii="Times New Roman" w:hAnsi="Times New Roman" w:eastAsia="宋体"/>
          <w:b w:val="0"/>
          <w:i w:val="0"/>
          <w:sz w:val="21"/>
        </w:rPr>
        <w:t>（</w:t>
      </w:r>
      <w:r>
        <w:rPr>
          <w:rFonts w:ascii="Consolas" w:hAnsi="Consolas" w:eastAsia="Consolas"/>
          <w:b w:val="0"/>
          <w:i w:val="0"/>
          <w:color w:val="8B1E3F"/>
          <w:sz w:val="20"/>
        </w:rPr>
        <w:t>load_role_registry()</w:t>
      </w:r>
      <w:r>
        <w:rPr>
          <w:rFonts w:ascii="Times New Roman" w:hAnsi="Times New Roman" w:eastAsia="宋体"/>
          <w:b w:val="0"/>
          <w:i w:val="0"/>
          <w:sz w:val="21"/>
        </w:rPr>
        <w:t>）装配为 RoleSpec 对象，同一份 Agent Loop 代码在不同 RoleSpec 下实例化为不同智能体。</w:t>
      </w:r>
    </w:p>
    <w:p>
      <w:pPr>
        <w:keepNext/>
        <w:spacing w:before="120" w:after="40"/>
        <w:jc w:val="center"/>
      </w:pPr>
      <w:r>
        <w:rPr>
          <w:rFonts w:ascii="Times New Roman" w:hAnsi="Times New Roman" w:eastAsia="宋体"/>
          <w:b/>
          <w:i w:val="0"/>
          <w:color w:val="1F3864"/>
          <w:sz w:val="19"/>
        </w:rPr>
        <w:t>表 4-6 三类预警智能体的 RoleSpec 规格</w:t>
      </w:r>
    </w:p>
    <w:tbl>
      <w:tblPr>
        <w:tblStyle w:val="TableGrid"/>
        <w:tblW w:type="auto" w:w="0"/>
        <w:jc w:val="center"/>
        <w:tblLayout w:type="autofit"/>
        <w:tblLook w:firstColumn="1" w:firstRow="1" w:lastColumn="0" w:lastRow="0" w:noHBand="0" w:noVBand="1" w:val="04A0"/>
      </w:tblPr>
      <w:tblGrid>
        <w:gridCol w:w="2324"/>
        <w:gridCol w:w="2324"/>
        <w:gridCol w:w="2324"/>
        <w:gridCol w:w="2324"/>
      </w:tblGrid>
      <w:tr>
        <w:tc>
          <w:tcPr>
            <w:tcW w:type="dxa" w:w="2324"/>
          </w:tcPr>
          <w:p>
            <w:pPr>
              <w:spacing w:after="20" w:line="276" w:lineRule="auto"/>
            </w:pPr>
            <w:r>
              <w:rPr>
                <w:b/>
              </w:rPr>
            </w:r>
            <w:r>
              <w:rPr>
                <w:rFonts w:ascii="Times New Roman" w:hAnsi="Times New Roman" w:eastAsia="宋体"/>
                <w:b/>
                <w:i w:val="0"/>
                <w:sz w:val="17"/>
              </w:rPr>
              <w:t>字段</w:t>
            </w:r>
          </w:p>
        </w:tc>
        <w:tc>
          <w:tcPr>
            <w:tcW w:type="dxa" w:w="2324"/>
          </w:tcPr>
          <w:p>
            <w:pPr>
              <w:spacing w:after="20" w:line="276" w:lineRule="auto"/>
            </w:pPr>
            <w:r>
              <w:rPr>
                <w:b/>
              </w:rPr>
            </w:r>
            <w:r>
              <w:rPr>
                <w:rFonts w:ascii="Times New Roman" w:hAnsi="Times New Roman" w:eastAsia="宋体"/>
                <w:b/>
                <w:i w:val="0"/>
                <w:sz w:val="17"/>
              </w:rPr>
              <w:t>监管主体智能体</w:t>
            </w:r>
          </w:p>
        </w:tc>
        <w:tc>
          <w:tcPr>
            <w:tcW w:type="dxa" w:w="2324"/>
          </w:tcPr>
          <w:p>
            <w:pPr>
              <w:spacing w:after="20" w:line="276" w:lineRule="auto"/>
            </w:pPr>
            <w:r>
              <w:rPr>
                <w:b/>
              </w:rPr>
            </w:r>
            <w:r>
              <w:rPr>
                <w:rFonts w:ascii="Times New Roman" w:hAnsi="Times New Roman" w:eastAsia="宋体"/>
                <w:b/>
                <w:i w:val="0"/>
                <w:sz w:val="17"/>
              </w:rPr>
              <w:t>投资主体智能体</w:t>
            </w:r>
          </w:p>
        </w:tc>
        <w:tc>
          <w:tcPr>
            <w:tcW w:type="dxa" w:w="2324"/>
          </w:tcPr>
          <w:p>
            <w:pPr>
              <w:spacing w:after="20" w:line="276" w:lineRule="auto"/>
            </w:pPr>
            <w:r>
              <w:rPr>
                <w:b/>
              </w:rPr>
            </w:r>
            <w:r>
              <w:rPr>
                <w:rFonts w:ascii="Times New Roman" w:hAnsi="Times New Roman" w:eastAsia="宋体"/>
                <w:b/>
                <w:i w:val="0"/>
                <w:sz w:val="17"/>
              </w:rPr>
              <w:t>融资主体智能体</w:t>
            </w:r>
          </w:p>
        </w:tc>
      </w:tr>
      <w:tr>
        <w:tc>
          <w:tcPr>
            <w:tcW w:type="dxa" w:w="2324"/>
          </w:tcPr>
          <w:p>
            <w:pPr>
              <w:spacing w:after="20" w:line="276" w:lineRule="auto"/>
            </w:pPr>
            <w:r/>
            <w:r>
              <w:rPr>
                <w:rFonts w:ascii="Times New Roman" w:hAnsi="Times New Roman" w:eastAsia="宋体"/>
                <w:b w:val="0"/>
                <w:i w:val="0"/>
                <w:sz w:val="17"/>
              </w:rPr>
              <w:t>角色标识</w:t>
            </w:r>
          </w:p>
        </w:tc>
        <w:tc>
          <w:tcPr>
            <w:tcW w:type="dxa" w:w="2324"/>
          </w:tcPr>
          <w:p>
            <w:pPr>
              <w:spacing w:after="20" w:line="276" w:lineRule="auto"/>
            </w:pPr>
            <w:r/>
            <w:r>
              <w:rPr>
                <w:rFonts w:ascii="Consolas" w:hAnsi="Consolas" w:eastAsia="Consolas"/>
                <w:b w:val="0"/>
                <w:i w:val="0"/>
                <w:color w:val="8B1E3F"/>
                <w:sz w:val="16"/>
              </w:rPr>
              <w:t>regulator</w:t>
            </w:r>
          </w:p>
        </w:tc>
        <w:tc>
          <w:tcPr>
            <w:tcW w:type="dxa" w:w="2324"/>
          </w:tcPr>
          <w:p>
            <w:pPr>
              <w:spacing w:after="20" w:line="276" w:lineRule="auto"/>
            </w:pPr>
            <w:r/>
            <w:r>
              <w:rPr>
                <w:rFonts w:ascii="Consolas" w:hAnsi="Consolas" w:eastAsia="Consolas"/>
                <w:b w:val="0"/>
                <w:i w:val="0"/>
                <w:color w:val="8B1E3F"/>
                <w:sz w:val="16"/>
              </w:rPr>
              <w:t>investor</w:t>
            </w:r>
          </w:p>
        </w:tc>
        <w:tc>
          <w:tcPr>
            <w:tcW w:type="dxa" w:w="2324"/>
          </w:tcPr>
          <w:p>
            <w:pPr>
              <w:spacing w:after="20" w:line="276" w:lineRule="auto"/>
            </w:pPr>
            <w:r/>
            <w:r>
              <w:rPr>
                <w:rFonts w:ascii="Consolas" w:hAnsi="Consolas" w:eastAsia="Consolas"/>
                <w:b w:val="0"/>
                <w:i w:val="0"/>
                <w:color w:val="8B1E3F"/>
                <w:sz w:val="16"/>
              </w:rPr>
              <w:t>financing</w:t>
            </w:r>
          </w:p>
        </w:tc>
      </w:tr>
      <w:tr>
        <w:tc>
          <w:tcPr>
            <w:tcW w:type="dxa" w:w="2324"/>
          </w:tcPr>
          <w:p>
            <w:pPr>
              <w:spacing w:after="20" w:line="276" w:lineRule="auto"/>
            </w:pPr>
            <w:r/>
            <w:r>
              <w:rPr>
                <w:rFonts w:ascii="Times New Roman" w:hAnsi="Times New Roman" w:eastAsia="宋体"/>
                <w:b w:val="0"/>
                <w:i w:val="0"/>
                <w:sz w:val="17"/>
              </w:rPr>
              <w:t>目标函数</w:t>
            </w:r>
          </w:p>
        </w:tc>
        <w:tc>
          <w:tcPr>
            <w:tcW w:type="dxa" w:w="2324"/>
          </w:tcPr>
          <w:p>
            <w:pPr>
              <w:spacing w:after="20" w:line="276" w:lineRule="auto"/>
            </w:pPr>
            <w:r/>
            <w:r>
              <w:rPr>
                <w:rFonts w:ascii="Times New Roman" w:hAnsi="Times New Roman" w:eastAsia="宋体"/>
                <w:b w:val="0"/>
                <w:i w:val="0"/>
                <w:sz w:val="17"/>
              </w:rPr>
              <w:t>监测跨境金融市场压力与跨市场外溢，在漏报成本远高于误报的约束下给出系统性风险预警、关键驱动、外溢渠道与监管关注建议</w:t>
            </w:r>
          </w:p>
        </w:tc>
        <w:tc>
          <w:tcPr>
            <w:tcW w:type="dxa" w:w="2324"/>
          </w:tcPr>
          <w:p>
            <w:pPr>
              <w:spacing w:after="20" w:line="276" w:lineRule="auto"/>
            </w:pPr>
            <w:r/>
            <w:r>
              <w:rPr>
                <w:rFonts w:ascii="Times New Roman" w:hAnsi="Times New Roman" w:eastAsia="宋体"/>
                <w:b w:val="0"/>
                <w:i w:val="0"/>
                <w:sz w:val="17"/>
              </w:rPr>
              <w:t>在压力情景下控制组合尾部损失与最大回撤，评估相关性上升与流动性收缩的影响，给出仓位、对冲与风险预算建议</w:t>
            </w:r>
          </w:p>
        </w:tc>
        <w:tc>
          <w:tcPr>
            <w:tcW w:type="dxa" w:w="2324"/>
          </w:tcPr>
          <w:p>
            <w:pPr>
              <w:spacing w:after="20" w:line="276" w:lineRule="auto"/>
            </w:pPr>
            <w:r/>
            <w:r>
              <w:rPr>
                <w:rFonts w:ascii="Times New Roman" w:hAnsi="Times New Roman" w:eastAsia="宋体"/>
                <w:b w:val="0"/>
                <w:i w:val="0"/>
                <w:sz w:val="17"/>
              </w:rPr>
              <w:t>评估压力对融资成本、信用利差与现金流的影响，识别再融资风险窗口，给出融资安排、久期与现金流缓冲建议</w:t>
            </w:r>
          </w:p>
        </w:tc>
      </w:tr>
      <w:tr>
        <w:tc>
          <w:tcPr>
            <w:tcW w:type="dxa" w:w="2324"/>
          </w:tcPr>
          <w:p>
            <w:pPr>
              <w:spacing w:after="20" w:line="276" w:lineRule="auto"/>
            </w:pPr>
            <w:r/>
            <w:r>
              <w:rPr>
                <w:rFonts w:ascii="Times New Roman" w:hAnsi="Times New Roman" w:eastAsia="宋体"/>
                <w:b w:val="0"/>
                <w:i w:val="0"/>
                <w:sz w:val="17"/>
              </w:rPr>
              <w:t>关注对象</w:t>
            </w:r>
          </w:p>
        </w:tc>
        <w:tc>
          <w:tcPr>
            <w:tcW w:type="dxa" w:w="2324"/>
          </w:tcPr>
          <w:p>
            <w:pPr>
              <w:spacing w:after="20" w:line="276" w:lineRule="auto"/>
            </w:pPr>
            <w:r/>
            <w:r>
              <w:rPr>
                <w:rFonts w:ascii="Times New Roman" w:hAnsi="Times New Roman" w:eastAsia="宋体"/>
                <w:b w:val="0"/>
                <w:i w:val="0"/>
                <w:sz w:val="17"/>
              </w:rPr>
              <w:t>系统性金融风险、跨境资金异常流动与同步撤离、跨市场风险传染、宏观审慎政策</w:t>
            </w:r>
          </w:p>
        </w:tc>
        <w:tc>
          <w:tcPr>
            <w:tcW w:type="dxa" w:w="2324"/>
          </w:tcPr>
          <w:p>
            <w:pPr>
              <w:spacing w:after="20" w:line="276" w:lineRule="auto"/>
            </w:pPr>
            <w:r/>
            <w:r>
              <w:rPr>
                <w:rFonts w:ascii="Times New Roman" w:hAnsi="Times New Roman" w:eastAsia="宋体"/>
                <w:b w:val="0"/>
                <w:i w:val="0"/>
                <w:sz w:val="17"/>
              </w:rPr>
              <w:t>组合尾部损失（VaR/CVaR）、跨市场相关性与风险传染、流动性冲击、对冲与仓位调整</w:t>
            </w:r>
          </w:p>
        </w:tc>
        <w:tc>
          <w:tcPr>
            <w:tcW w:type="dxa" w:w="2324"/>
          </w:tcPr>
          <w:p>
            <w:pPr>
              <w:spacing w:after="20" w:line="276" w:lineRule="auto"/>
            </w:pPr>
            <w:r/>
            <w:r>
              <w:rPr>
                <w:rFonts w:ascii="Times New Roman" w:hAnsi="Times New Roman" w:eastAsia="宋体"/>
                <w:b w:val="0"/>
                <w:i w:val="0"/>
                <w:sz w:val="17"/>
              </w:rPr>
              <w:t>融资成本与信用利差、再融资风险、现金流压力、汇率敞口</w:t>
            </w:r>
          </w:p>
        </w:tc>
      </w:tr>
      <w:tr>
        <w:tc>
          <w:tcPr>
            <w:tcW w:type="dxa" w:w="2324"/>
          </w:tcPr>
          <w:p>
            <w:pPr>
              <w:spacing w:after="20" w:line="276" w:lineRule="auto"/>
            </w:pPr>
            <w:r/>
            <w:r>
              <w:rPr>
                <w:rFonts w:ascii="Times New Roman" w:hAnsi="Times New Roman" w:eastAsia="宋体"/>
                <w:b w:val="0"/>
                <w:i w:val="0"/>
                <w:sz w:val="17"/>
              </w:rPr>
              <w:t>信息权限</w:t>
            </w:r>
          </w:p>
        </w:tc>
        <w:tc>
          <w:tcPr>
            <w:tcW w:type="dxa" w:w="2324"/>
          </w:tcPr>
          <w:p>
            <w:pPr>
              <w:spacing w:after="20" w:line="276" w:lineRule="auto"/>
            </w:pPr>
            <w:r/>
            <w:r>
              <w:rPr>
                <w:rFonts w:ascii="Times New Roman" w:hAnsi="Times New Roman" w:eastAsia="宋体"/>
                <w:b w:val="0"/>
                <w:i w:val="0"/>
                <w:sz w:val="17"/>
              </w:rPr>
              <w:t>中国权益、债券、外汇、全球市场，跨境资金流与持仓，宏观，政策全文，新闻标题</w:t>
            </w:r>
          </w:p>
        </w:tc>
        <w:tc>
          <w:tcPr>
            <w:tcW w:type="dxa" w:w="2324"/>
          </w:tcPr>
          <w:p>
            <w:pPr>
              <w:spacing w:after="20" w:line="276" w:lineRule="auto"/>
            </w:pPr>
            <w:r/>
            <w:r>
              <w:rPr>
                <w:rFonts w:ascii="Times New Roman" w:hAnsi="Times New Roman" w:eastAsia="宋体"/>
                <w:b w:val="0"/>
                <w:i w:val="0"/>
                <w:sz w:val="17"/>
              </w:rPr>
              <w:t>中国权益、债券、外汇、全球市场，跨境资金流，新闻标题，组合暴露</w:t>
            </w:r>
          </w:p>
        </w:tc>
        <w:tc>
          <w:tcPr>
            <w:tcW w:type="dxa" w:w="2324"/>
          </w:tcPr>
          <w:p>
            <w:pPr>
              <w:spacing w:after="20" w:line="276" w:lineRule="auto"/>
            </w:pPr>
            <w:r/>
            <w:r>
              <w:rPr>
                <w:rFonts w:ascii="Times New Roman" w:hAnsi="Times New Roman" w:eastAsia="宋体"/>
                <w:b w:val="0"/>
                <w:i w:val="0"/>
                <w:sz w:val="17"/>
              </w:rPr>
              <w:t>中国债券、外汇，宏观，利率与信用，行业信用，新闻标题，融资事件</w:t>
            </w:r>
          </w:p>
        </w:tc>
      </w:tr>
      <w:tr>
        <w:tc>
          <w:tcPr>
            <w:tcW w:type="dxa" w:w="2324"/>
          </w:tcPr>
          <w:p>
            <w:pPr>
              <w:spacing w:after="20" w:line="276" w:lineRule="auto"/>
            </w:pPr>
            <w:r/>
            <w:r>
              <w:rPr>
                <w:rFonts w:ascii="Times New Roman" w:hAnsi="Times New Roman" w:eastAsia="宋体"/>
                <w:b w:val="0"/>
                <w:i w:val="0"/>
                <w:sz w:val="17"/>
              </w:rPr>
              <w:t>工具权限</w:t>
            </w:r>
          </w:p>
        </w:tc>
        <w:tc>
          <w:tcPr>
            <w:tcW w:type="dxa" w:w="2324"/>
          </w:tcPr>
          <w:p>
            <w:pPr>
              <w:spacing w:after="20" w:line="276" w:lineRule="auto"/>
            </w:pPr>
            <w:r/>
            <w:r>
              <w:rPr>
                <w:rFonts w:ascii="Consolas" w:hAnsi="Consolas" w:eastAsia="Consolas"/>
                <w:b w:val="0"/>
                <w:i w:val="0"/>
                <w:color w:val="8B1E3F"/>
                <w:sz w:val="16"/>
              </w:rPr>
              <w:t>risk_measure</w:t>
            </w:r>
            <w:r>
              <w:rPr>
                <w:rFonts w:ascii="Times New Roman" w:hAnsi="Times New Roman" w:eastAsia="宋体"/>
                <w:b w:val="0"/>
                <w:i w:val="0"/>
                <w:sz w:val="17"/>
              </w:rPr>
              <w:t>、</w:t>
            </w:r>
            <w:r>
              <w:rPr>
                <w:rFonts w:ascii="Consolas" w:hAnsi="Consolas" w:eastAsia="Consolas"/>
                <w:b w:val="0"/>
                <w:i w:val="0"/>
                <w:color w:val="8B1E3F"/>
                <w:sz w:val="16"/>
              </w:rPr>
              <w:t>systemic_risk</w:t>
            </w:r>
            <w:r>
              <w:rPr>
                <w:rFonts w:ascii="Times New Roman" w:hAnsi="Times New Roman" w:eastAsia="宋体"/>
                <w:b w:val="0"/>
                <w:i w:val="0"/>
                <w:sz w:val="17"/>
              </w:rPr>
              <w:t>、</w:t>
            </w:r>
            <w:r>
              <w:rPr>
                <w:rFonts w:ascii="Consolas" w:hAnsi="Consolas" w:eastAsia="Consolas"/>
                <w:b w:val="0"/>
                <w:i w:val="0"/>
                <w:color w:val="8B1E3F"/>
                <w:sz w:val="16"/>
              </w:rPr>
              <w:t>capital_flow</w:t>
            </w:r>
            <w:r>
              <w:rPr>
                <w:rFonts w:ascii="Times New Roman" w:hAnsi="Times New Roman" w:eastAsia="宋体"/>
                <w:b w:val="0"/>
                <w:i w:val="0"/>
                <w:sz w:val="17"/>
              </w:rPr>
              <w:t>、</w:t>
            </w:r>
            <w:r>
              <w:rPr>
                <w:rFonts w:ascii="Consolas" w:hAnsi="Consolas" w:eastAsia="Consolas"/>
                <w:b w:val="0"/>
                <w:i w:val="0"/>
                <w:color w:val="8B1E3F"/>
                <w:sz w:val="16"/>
              </w:rPr>
              <w:t>scenario</w:t>
            </w:r>
            <w:r>
              <w:rPr>
                <w:rFonts w:ascii="Times New Roman" w:hAnsi="Times New Roman" w:eastAsia="宋体"/>
                <w:b w:val="0"/>
                <w:i w:val="0"/>
                <w:sz w:val="17"/>
              </w:rPr>
              <w:t>、</w:t>
            </w:r>
            <w:r>
              <w:rPr>
                <w:rFonts w:ascii="Consolas" w:hAnsi="Consolas" w:eastAsia="Consolas"/>
                <w:b w:val="0"/>
                <w:i w:val="0"/>
                <w:color w:val="8B1E3F"/>
                <w:sz w:val="16"/>
              </w:rPr>
              <w:t>forecast</w:t>
            </w:r>
            <w:r>
              <w:rPr>
                <w:rFonts w:ascii="Times New Roman" w:hAnsi="Times New Roman" w:eastAsia="宋体"/>
                <w:b w:val="0"/>
                <w:i w:val="0"/>
                <w:sz w:val="17"/>
              </w:rPr>
              <w:t>、</w:t>
            </w:r>
            <w:r>
              <w:rPr>
                <w:rFonts w:ascii="Consolas" w:hAnsi="Consolas" w:eastAsia="Consolas"/>
                <w:b w:val="0"/>
                <w:i w:val="0"/>
                <w:color w:val="8B1E3F"/>
                <w:sz w:val="16"/>
              </w:rPr>
              <w:t>knowledge_search</w:t>
            </w:r>
          </w:p>
        </w:tc>
        <w:tc>
          <w:tcPr>
            <w:tcW w:type="dxa" w:w="2324"/>
          </w:tcPr>
          <w:p>
            <w:pPr>
              <w:spacing w:after="20" w:line="276" w:lineRule="auto"/>
            </w:pPr>
            <w:r/>
            <w:r>
              <w:rPr>
                <w:rFonts w:ascii="Consolas" w:hAnsi="Consolas" w:eastAsia="Consolas"/>
                <w:b w:val="0"/>
                <w:i w:val="0"/>
                <w:color w:val="8B1E3F"/>
                <w:sz w:val="16"/>
              </w:rPr>
              <w:t>risk_measure</w:t>
            </w:r>
            <w:r>
              <w:rPr>
                <w:rFonts w:ascii="Times New Roman" w:hAnsi="Times New Roman" w:eastAsia="宋体"/>
                <w:b w:val="0"/>
                <w:i w:val="0"/>
                <w:sz w:val="17"/>
              </w:rPr>
              <w:t>、</w:t>
            </w:r>
            <w:r>
              <w:rPr>
                <w:rFonts w:ascii="Consolas" w:hAnsi="Consolas" w:eastAsia="Consolas"/>
                <w:b w:val="0"/>
                <w:i w:val="0"/>
                <w:color w:val="8B1E3F"/>
                <w:sz w:val="16"/>
              </w:rPr>
              <w:t>systemic_risk</w:t>
            </w:r>
            <w:r>
              <w:rPr>
                <w:rFonts w:ascii="Times New Roman" w:hAnsi="Times New Roman" w:eastAsia="宋体"/>
                <w:b w:val="0"/>
                <w:i w:val="0"/>
                <w:sz w:val="17"/>
              </w:rPr>
              <w:t>、</w:t>
            </w:r>
            <w:r>
              <w:rPr>
                <w:rFonts w:ascii="Consolas" w:hAnsi="Consolas" w:eastAsia="Consolas"/>
                <w:b w:val="0"/>
                <w:i w:val="0"/>
                <w:color w:val="8B1E3F"/>
                <w:sz w:val="16"/>
              </w:rPr>
              <w:t>capital_flow</w:t>
            </w:r>
            <w:r>
              <w:rPr>
                <w:rFonts w:ascii="Times New Roman" w:hAnsi="Times New Roman" w:eastAsia="宋体"/>
                <w:b w:val="0"/>
                <w:i w:val="0"/>
                <w:sz w:val="17"/>
              </w:rPr>
              <w:t>、</w:t>
            </w:r>
            <w:r>
              <w:rPr>
                <w:rFonts w:ascii="Consolas" w:hAnsi="Consolas" w:eastAsia="Consolas"/>
                <w:b w:val="0"/>
                <w:i w:val="0"/>
                <w:color w:val="8B1E3F"/>
                <w:sz w:val="16"/>
              </w:rPr>
              <w:t>scenario</w:t>
            </w:r>
            <w:r>
              <w:rPr>
                <w:rFonts w:ascii="Times New Roman" w:hAnsi="Times New Roman" w:eastAsia="宋体"/>
                <w:b w:val="0"/>
                <w:i w:val="0"/>
                <w:sz w:val="17"/>
              </w:rPr>
              <w:t>、</w:t>
            </w:r>
            <w:r>
              <w:rPr>
                <w:rFonts w:ascii="Consolas" w:hAnsi="Consolas" w:eastAsia="Consolas"/>
                <w:b w:val="0"/>
                <w:i w:val="0"/>
                <w:color w:val="8B1E3F"/>
                <w:sz w:val="16"/>
              </w:rPr>
              <w:t>forecast</w:t>
            </w:r>
            <w:r>
              <w:rPr>
                <w:rFonts w:ascii="Times New Roman" w:hAnsi="Times New Roman" w:eastAsia="宋体"/>
                <w:b w:val="0"/>
                <w:i w:val="0"/>
                <w:sz w:val="17"/>
              </w:rPr>
              <w:t>、</w:t>
            </w:r>
            <w:r>
              <w:rPr>
                <w:rFonts w:ascii="Consolas" w:hAnsi="Consolas" w:eastAsia="Consolas"/>
                <w:b w:val="0"/>
                <w:i w:val="0"/>
                <w:color w:val="8B1E3F"/>
                <w:sz w:val="16"/>
              </w:rPr>
              <w:t>knowledge_search</w:t>
            </w:r>
          </w:p>
        </w:tc>
        <w:tc>
          <w:tcPr>
            <w:tcW w:type="dxa" w:w="2324"/>
          </w:tcPr>
          <w:p>
            <w:pPr>
              <w:spacing w:after="20" w:line="276" w:lineRule="auto"/>
            </w:pPr>
            <w:r/>
            <w:r>
              <w:rPr>
                <w:rFonts w:ascii="Consolas" w:hAnsi="Consolas" w:eastAsia="Consolas"/>
                <w:b w:val="0"/>
                <w:i w:val="0"/>
                <w:color w:val="8B1E3F"/>
                <w:sz w:val="16"/>
              </w:rPr>
              <w:t>risk_measure</w:t>
            </w:r>
            <w:r>
              <w:rPr>
                <w:rFonts w:ascii="Times New Roman" w:hAnsi="Times New Roman" w:eastAsia="宋体"/>
                <w:b w:val="0"/>
                <w:i w:val="0"/>
                <w:sz w:val="17"/>
              </w:rPr>
              <w:t>、</w:t>
            </w:r>
            <w:r>
              <w:rPr>
                <w:rFonts w:ascii="Consolas" w:hAnsi="Consolas" w:eastAsia="Consolas"/>
                <w:b w:val="0"/>
                <w:i w:val="0"/>
                <w:color w:val="8B1E3F"/>
                <w:sz w:val="16"/>
              </w:rPr>
              <w:t>funding_cost</w:t>
            </w:r>
            <w:r>
              <w:rPr>
                <w:rFonts w:ascii="Times New Roman" w:hAnsi="Times New Roman" w:eastAsia="宋体"/>
                <w:b w:val="0"/>
                <w:i w:val="0"/>
                <w:sz w:val="17"/>
              </w:rPr>
              <w:t>、</w:t>
            </w:r>
            <w:r>
              <w:rPr>
                <w:rFonts w:ascii="Consolas" w:hAnsi="Consolas" w:eastAsia="Consolas"/>
                <w:b w:val="0"/>
                <w:i w:val="0"/>
                <w:color w:val="8B1E3F"/>
                <w:sz w:val="16"/>
              </w:rPr>
              <w:t>scenario</w:t>
            </w:r>
            <w:r>
              <w:rPr>
                <w:rFonts w:ascii="Times New Roman" w:hAnsi="Times New Roman" w:eastAsia="宋体"/>
                <w:b w:val="0"/>
                <w:i w:val="0"/>
                <w:sz w:val="17"/>
              </w:rPr>
              <w:t>、</w:t>
            </w:r>
            <w:r>
              <w:rPr>
                <w:rFonts w:ascii="Consolas" w:hAnsi="Consolas" w:eastAsia="Consolas"/>
                <w:b w:val="0"/>
                <w:i w:val="0"/>
                <w:color w:val="8B1E3F"/>
                <w:sz w:val="16"/>
              </w:rPr>
              <w:t>forecast</w:t>
            </w:r>
            <w:r>
              <w:rPr>
                <w:rFonts w:ascii="Times New Roman" w:hAnsi="Times New Roman" w:eastAsia="宋体"/>
                <w:b w:val="0"/>
                <w:i w:val="0"/>
                <w:sz w:val="17"/>
              </w:rPr>
              <w:t>、</w:t>
            </w:r>
            <w:r>
              <w:rPr>
                <w:rFonts w:ascii="Consolas" w:hAnsi="Consolas" w:eastAsia="Consolas"/>
                <w:b w:val="0"/>
                <w:i w:val="0"/>
                <w:color w:val="8B1E3F"/>
                <w:sz w:val="16"/>
              </w:rPr>
              <w:t>knowledge_search</w:t>
            </w:r>
          </w:p>
        </w:tc>
      </w:tr>
      <w:tr>
        <w:tc>
          <w:tcPr>
            <w:tcW w:type="dxa" w:w="2324"/>
          </w:tcPr>
          <w:p>
            <w:pPr>
              <w:spacing w:after="20" w:line="276" w:lineRule="auto"/>
            </w:pPr>
            <w:r/>
            <w:r>
              <w:rPr>
                <w:rFonts w:ascii="Times New Roman" w:hAnsi="Times New Roman" w:eastAsia="宋体"/>
                <w:b w:val="0"/>
                <w:i w:val="0"/>
                <w:sz w:val="17"/>
              </w:rPr>
              <w:t>预警阈值</w:t>
            </w:r>
          </w:p>
        </w:tc>
        <w:tc>
          <w:tcPr>
            <w:tcW w:type="dxa" w:w="2324"/>
          </w:tcPr>
          <w:p>
            <w:pPr>
              <w:spacing w:after="20" w:line="276" w:lineRule="auto"/>
            </w:pPr>
            <w:r/>
            <w:r>
              <w:rPr>
                <w:rFonts w:ascii="Times New Roman" w:hAnsi="Times New Roman" w:eastAsia="宋体"/>
                <w:b w:val="0"/>
                <w:i w:val="0"/>
                <w:sz w:val="17"/>
              </w:rPr>
              <w:t>高压力概率 0.50、极高压力概率 0.70、DY 溢出 0.50、资金流出 z 值 1.50</w:t>
            </w:r>
          </w:p>
        </w:tc>
        <w:tc>
          <w:tcPr>
            <w:tcW w:type="dxa" w:w="2324"/>
          </w:tcPr>
          <w:p>
            <w:pPr>
              <w:spacing w:after="20" w:line="276" w:lineRule="auto"/>
            </w:pPr>
            <w:r/>
            <w:r>
              <w:rPr>
                <w:rFonts w:ascii="Times New Roman" w:hAnsi="Times New Roman" w:eastAsia="宋体"/>
                <w:b w:val="0"/>
                <w:i w:val="0"/>
                <w:sz w:val="17"/>
              </w:rPr>
              <w:t>高压力概率 0.45、VaR 突破概率 0.10、最大回撤 0.10、相关性跳升 0.70</w:t>
            </w:r>
          </w:p>
        </w:tc>
        <w:tc>
          <w:tcPr>
            <w:tcW w:type="dxa" w:w="2324"/>
          </w:tcPr>
          <w:p>
            <w:pPr>
              <w:spacing w:after="20" w:line="276" w:lineRule="auto"/>
            </w:pPr>
            <w:r/>
            <w:r>
              <w:rPr>
                <w:rFonts w:ascii="Times New Roman" w:hAnsi="Times New Roman" w:eastAsia="宋体"/>
                <w:b w:val="0"/>
                <w:i w:val="0"/>
                <w:sz w:val="17"/>
              </w:rPr>
              <w:t>高压力概率 0.40、融资成本跳升 50bp、再融资窗口 90 天、现金流缓冲 3 个月</w:t>
            </w:r>
          </w:p>
        </w:tc>
      </w:tr>
      <w:tr>
        <w:tc>
          <w:tcPr>
            <w:tcW w:type="dxa" w:w="2324"/>
          </w:tcPr>
          <w:p>
            <w:pPr>
              <w:spacing w:after="20" w:line="276" w:lineRule="auto"/>
            </w:pPr>
            <w:r/>
            <w:r>
              <w:rPr>
                <w:rFonts w:ascii="Times New Roman" w:hAnsi="Times New Roman" w:eastAsia="宋体"/>
                <w:b w:val="0"/>
                <w:i w:val="0"/>
                <w:sz w:val="17"/>
              </w:rPr>
              <w:t>决策损失权重</w:t>
            </w:r>
          </w:p>
        </w:tc>
        <w:tc>
          <w:tcPr>
            <w:tcW w:type="dxa" w:w="2324"/>
          </w:tcPr>
          <w:p>
            <w:pPr>
              <w:spacing w:after="20" w:line="276" w:lineRule="auto"/>
            </w:pPr>
            <w:r/>
            <w:r>
              <w:rPr>
                <w:rFonts w:ascii="Times New Roman" w:hAnsi="Times New Roman" w:eastAsia="宋体"/>
                <w:b w:val="0"/>
                <w:i w:val="0"/>
                <w:sz w:val="17"/>
              </w:rPr>
              <w:t>漏报 5.0、误报 1.0、延迟 2.0</w:t>
            </w:r>
          </w:p>
        </w:tc>
        <w:tc>
          <w:tcPr>
            <w:tcW w:type="dxa" w:w="2324"/>
          </w:tcPr>
          <w:p>
            <w:pPr>
              <w:spacing w:after="20" w:line="276" w:lineRule="auto"/>
            </w:pPr>
            <w:r/>
            <w:r>
              <w:rPr>
                <w:rFonts w:ascii="Times New Roman" w:hAnsi="Times New Roman" w:eastAsia="宋体"/>
                <w:b w:val="0"/>
                <w:i w:val="0"/>
                <w:sz w:val="17"/>
              </w:rPr>
              <w:t>尾部损失 5.0、交易成本 1.0、错失退出 3.0</w:t>
            </w:r>
          </w:p>
        </w:tc>
        <w:tc>
          <w:tcPr>
            <w:tcW w:type="dxa" w:w="2324"/>
          </w:tcPr>
          <w:p>
            <w:pPr>
              <w:spacing w:after="20" w:line="276" w:lineRule="auto"/>
            </w:pPr>
            <w:r/>
            <w:r>
              <w:rPr>
                <w:rFonts w:ascii="Times New Roman" w:hAnsi="Times New Roman" w:eastAsia="宋体"/>
                <w:b w:val="0"/>
                <w:i w:val="0"/>
                <w:sz w:val="17"/>
              </w:rPr>
              <w:t>成本超支 3.0、流动性短缺 5.0、过度对冲 1.0</w:t>
            </w:r>
          </w:p>
        </w:tc>
      </w:tr>
      <w:tr>
        <w:tc>
          <w:tcPr>
            <w:tcW w:type="dxa" w:w="2324"/>
          </w:tcPr>
          <w:p>
            <w:pPr>
              <w:spacing w:after="20" w:line="276" w:lineRule="auto"/>
            </w:pPr>
            <w:r/>
            <w:r>
              <w:rPr>
                <w:rFonts w:ascii="Times New Roman" w:hAnsi="Times New Roman" w:eastAsia="宋体"/>
                <w:b w:val="0"/>
                <w:i w:val="0"/>
                <w:sz w:val="17"/>
              </w:rPr>
              <w:t>禁止行为</w:t>
            </w:r>
          </w:p>
        </w:tc>
        <w:tc>
          <w:tcPr>
            <w:tcW w:type="dxa" w:w="2324"/>
          </w:tcPr>
          <w:p>
            <w:pPr>
              <w:spacing w:after="20" w:line="276" w:lineRule="auto"/>
            </w:pPr>
            <w:r/>
            <w:r>
              <w:rPr>
                <w:rFonts w:ascii="Times New Roman" w:hAnsi="Times New Roman" w:eastAsia="宋体"/>
                <w:b w:val="0"/>
                <w:i w:val="0"/>
                <w:sz w:val="17"/>
              </w:rPr>
              <w:t>输出未经工具计算或未经知识库引用的数值；给出具体证券买卖建议；访问组合与融资成本数据</w:t>
            </w:r>
          </w:p>
        </w:tc>
        <w:tc>
          <w:tcPr>
            <w:tcW w:type="dxa" w:w="2324"/>
          </w:tcPr>
          <w:p>
            <w:pPr>
              <w:spacing w:after="20" w:line="276" w:lineRule="auto"/>
            </w:pPr>
            <w:r/>
            <w:r>
              <w:rPr>
                <w:rFonts w:ascii="Times New Roman" w:hAnsi="Times New Roman" w:eastAsia="宋体"/>
                <w:b w:val="0"/>
                <w:i w:val="0"/>
                <w:sz w:val="17"/>
              </w:rPr>
              <w:t>输出未经工具计算或未经知识库引用的数值；访问监管政策全文以外的非授权数据；直接建议具体个股买卖</w:t>
            </w:r>
          </w:p>
        </w:tc>
        <w:tc>
          <w:tcPr>
            <w:tcW w:type="dxa" w:w="2324"/>
          </w:tcPr>
          <w:p>
            <w:pPr>
              <w:spacing w:after="20" w:line="276" w:lineRule="auto"/>
            </w:pPr>
            <w:r/>
            <w:r>
              <w:rPr>
                <w:rFonts w:ascii="Times New Roman" w:hAnsi="Times New Roman" w:eastAsia="宋体"/>
                <w:b w:val="0"/>
                <w:i w:val="0"/>
                <w:sz w:val="17"/>
              </w:rPr>
              <w:t>输出未经工具计算或未经知识库引用的数值；访问市场交易头寸等非授权数据</w:t>
            </w:r>
          </w:p>
        </w:tc>
      </w:tr>
      <w:tr>
        <w:tc>
          <w:tcPr>
            <w:tcW w:type="dxa" w:w="2324"/>
          </w:tcPr>
          <w:p>
            <w:pPr>
              <w:spacing w:after="20" w:line="276" w:lineRule="auto"/>
            </w:pPr>
            <w:r/>
            <w:r>
              <w:rPr>
                <w:rFonts w:ascii="Times New Roman" w:hAnsi="Times New Roman" w:eastAsia="宋体"/>
                <w:b w:val="0"/>
                <w:i w:val="0"/>
                <w:sz w:val="17"/>
              </w:rPr>
              <w:t>输出风格</w:t>
            </w:r>
          </w:p>
        </w:tc>
        <w:tc>
          <w:tcPr>
            <w:tcW w:type="dxa" w:w="2324"/>
          </w:tcPr>
          <w:p>
            <w:pPr>
              <w:spacing w:after="20" w:line="276" w:lineRule="auto"/>
            </w:pPr>
            <w:r/>
            <w:r>
              <w:rPr>
                <w:rFonts w:ascii="Times New Roman" w:hAnsi="Times New Roman" w:eastAsia="宋体"/>
                <w:b w:val="0"/>
                <w:i w:val="0"/>
                <w:sz w:val="17"/>
              </w:rPr>
              <w:t>结构化监管预警简报：风险等级、5/10/20 日概率、驱动与证据编号、外溢渠道、关注措施、局限</w:t>
            </w:r>
          </w:p>
        </w:tc>
        <w:tc>
          <w:tcPr>
            <w:tcW w:type="dxa" w:w="2324"/>
          </w:tcPr>
          <w:p>
            <w:pPr>
              <w:spacing w:after="20" w:line="276" w:lineRule="auto"/>
            </w:pPr>
            <w:r/>
            <w:r>
              <w:rPr>
                <w:rFonts w:ascii="Times New Roman" w:hAnsi="Times New Roman" w:eastAsia="宋体"/>
                <w:b w:val="0"/>
                <w:i w:val="0"/>
                <w:sz w:val="17"/>
              </w:rPr>
              <w:t>组合风险提示：压力等级、组合 VaR/CVaR 与情景损失、相关性变化、风险预算与对冲比例调整、证据编号、局限</w:t>
            </w:r>
          </w:p>
        </w:tc>
        <w:tc>
          <w:tcPr>
            <w:tcW w:type="dxa" w:w="2324"/>
          </w:tcPr>
          <w:p>
            <w:pPr>
              <w:spacing w:after="20" w:line="276" w:lineRule="auto"/>
            </w:pPr>
            <w:r/>
            <w:r>
              <w:rPr>
                <w:rFonts w:ascii="Times New Roman" w:hAnsi="Times New Roman" w:eastAsia="宋体"/>
                <w:b w:val="0"/>
                <w:i w:val="0"/>
                <w:sz w:val="17"/>
              </w:rPr>
              <w:t>融资风险提示：压力等级、融资成本变化（bp）、再融资窗口、现金流缓冲评估、融资安排、证据编号、局限</w:t>
            </w:r>
          </w:p>
        </w:tc>
      </w:tr>
    </w:tbl>
    <w:p>
      <w:pPr>
        <w:spacing w:after="40"/>
      </w:pPr>
    </w:p>
    <w:p>
      <w:r>
        <w:rPr>
          <w:rFonts w:ascii="Times New Roman" w:hAnsi="Times New Roman" w:eastAsia="宋体"/>
          <w:b w:val="0"/>
          <w:i w:val="0"/>
          <w:sz w:val="21"/>
        </w:rPr>
        <w:t>因此，三个智能体的必要性不是“角色数量越多越好”，而是主体差异在目标、信息、工具与阈值四个维度上同时存在。该判断可检验：除 E6、E7、E9 三模式对照外，实验另设 E8“三个相同通用角色”的伪分工配置；若专业化角色优于伪分工，则增益来自分工内容而非角色数量，反之说明协同机制未有效利用分工，属于适用边界。</w:t>
      </w:r>
    </w:p>
    <w:p>
      <w:r>
        <w:rPr>
          <w:rFonts w:ascii="Times New Roman" w:hAnsi="Times New Roman" w:eastAsia="宋体"/>
          <w:b w:val="0"/>
          <w:i w:val="0"/>
          <w:sz w:val="21"/>
        </w:rPr>
        <w:t xml:space="preserve">三类智能体共享同一风险锚：每份 RiskCard 通过 </w:t>
      </w:r>
      <w:r>
        <w:rPr>
          <w:rFonts w:ascii="Consolas" w:hAnsi="Consolas" w:eastAsia="Consolas"/>
          <w:b w:val="0"/>
          <w:i w:val="0"/>
          <w:color w:val="8B1E3F"/>
          <w:sz w:val="20"/>
        </w:rPr>
        <w:t>base_signal_ref</w:t>
      </w:r>
      <w:r>
        <w:rPr>
          <w:rFonts w:ascii="Times New Roman" w:hAnsi="Times New Roman" w:eastAsia="宋体"/>
          <w:b w:val="0"/>
          <w:i w:val="0"/>
          <w:sz w:val="21"/>
        </w:rPr>
        <w:t xml:space="preserve"> 引用共享 RiskSignal 的 </w:t>
      </w:r>
      <w:r>
        <w:rPr>
          <w:rFonts w:ascii="Consolas" w:hAnsi="Consolas" w:eastAsia="Consolas"/>
          <w:b w:val="0"/>
          <w:i w:val="0"/>
          <w:color w:val="8B1E3F"/>
          <w:sz w:val="20"/>
        </w:rPr>
        <w:t>evidence_id</w:t>
      </w:r>
      <w:r>
        <w:rPr>
          <w:rFonts w:ascii="Times New Roman" w:hAnsi="Times New Roman" w:eastAsia="宋体"/>
          <w:b w:val="0"/>
          <w:i w:val="0"/>
          <w:sz w:val="21"/>
        </w:rPr>
        <w:t>，不得自行修改信号数值。角色差异体现在对信号的目标解读、阈值映射、证据补充与建议生成上，而不是在信号本身。该约束是 P3 中“同一风险情景”比较的前提，也避免把标签差异误读为角色能力差异。</w:t>
      </w:r>
    </w:p>
    <w:p>
      <w:pPr>
        <w:pStyle w:val="Heading3"/>
      </w:pPr>
      <w:r>
        <w:rPr>
          <w:rFonts w:ascii="Times New Roman" w:hAnsi="Times New Roman" w:eastAsia="宋体"/>
          <w:b w:val="0"/>
          <w:i w:val="0"/>
          <w:sz w:val="23"/>
        </w:rPr>
        <w:t>4.3.2 RiskCard 与 Claim：结构化、可核验的输出</w:t>
      </w:r>
    </w:p>
    <w:p>
      <w:r>
        <w:rPr>
          <w:rFonts w:ascii="Times New Roman" w:hAnsi="Times New Roman" w:eastAsia="宋体"/>
          <w:b w:val="0"/>
          <w:i w:val="0"/>
          <w:sz w:val="21"/>
        </w:rPr>
        <w:t>智能体输出为结构化 RiskCard，其字段承担核验职责：</w:t>
      </w:r>
      <w:r>
        <w:rPr>
          <w:rFonts w:ascii="Consolas" w:hAnsi="Consolas" w:eastAsia="Consolas"/>
          <w:b w:val="0"/>
          <w:i w:val="0"/>
          <w:color w:val="8B1E3F"/>
          <w:sz w:val="20"/>
        </w:rPr>
        <w:t>role</w:t>
      </w:r>
      <w:r>
        <w:rPr>
          <w:rFonts w:ascii="Times New Roman" w:hAnsi="Times New Roman" w:eastAsia="宋体"/>
          <w:b w:val="0"/>
          <w:i w:val="0"/>
          <w:sz w:val="21"/>
        </w:rPr>
        <w:t>/</w:t>
      </w:r>
      <w:r>
        <w:rPr>
          <w:rFonts w:ascii="Consolas" w:hAnsi="Consolas" w:eastAsia="Consolas"/>
          <w:b w:val="0"/>
          <w:i w:val="0"/>
          <w:color w:val="8B1E3F"/>
          <w:sz w:val="20"/>
        </w:rPr>
        <w:t>as_of</w:t>
      </w:r>
      <w:r>
        <w:rPr>
          <w:rFonts w:ascii="Times New Roman" w:hAnsi="Times New Roman" w:eastAsia="宋体"/>
          <w:b w:val="0"/>
          <w:i w:val="0"/>
          <w:sz w:val="21"/>
        </w:rPr>
        <w:t>/</w:t>
      </w:r>
      <w:r>
        <w:rPr>
          <w:rFonts w:ascii="Consolas" w:hAnsi="Consolas" w:eastAsia="Consolas"/>
          <w:b w:val="0"/>
          <w:i w:val="0"/>
          <w:color w:val="8B1E3F"/>
          <w:sz w:val="20"/>
        </w:rPr>
        <w:t>round</w:t>
      </w:r>
      <w:r>
        <w:rPr>
          <w:rFonts w:ascii="Times New Roman" w:hAnsi="Times New Roman" w:eastAsia="宋体"/>
          <w:b w:val="0"/>
          <w:i w:val="0"/>
          <w:sz w:val="21"/>
        </w:rPr>
        <w:t xml:space="preserve"> 标识主体、时点与轮次；</w:t>
      </w:r>
      <w:r>
        <w:rPr>
          <w:rFonts w:ascii="Consolas" w:hAnsi="Consolas" w:eastAsia="Consolas"/>
          <w:b w:val="0"/>
          <w:i w:val="0"/>
          <w:color w:val="8B1E3F"/>
          <w:sz w:val="20"/>
        </w:rPr>
        <w:t>risk_level</w:t>
      </w:r>
      <w:r>
        <w:rPr>
          <w:rFonts w:ascii="Times New Roman" w:hAnsi="Times New Roman" w:eastAsia="宋体"/>
          <w:b w:val="0"/>
          <w:i w:val="0"/>
          <w:sz w:val="21"/>
        </w:rPr>
        <w:t xml:space="preserve"> 为低/中/高/极高四级；</w:t>
      </w:r>
      <w:r>
        <w:rPr>
          <w:rFonts w:ascii="Consolas" w:hAnsi="Consolas" w:eastAsia="Consolas"/>
          <w:b w:val="0"/>
          <w:i w:val="0"/>
          <w:color w:val="8B1E3F"/>
          <w:sz w:val="20"/>
        </w:rPr>
        <w:t>headline</w:t>
      </w:r>
      <w:r>
        <w:rPr>
          <w:rFonts w:ascii="Times New Roman" w:hAnsi="Times New Roman" w:eastAsia="宋体"/>
          <w:b w:val="0"/>
          <w:i w:val="0"/>
          <w:sz w:val="21"/>
        </w:rPr>
        <w:t xml:space="preserve"> 为一句话结论；</w:t>
      </w:r>
      <w:r>
        <w:rPr>
          <w:rFonts w:ascii="Consolas" w:hAnsi="Consolas" w:eastAsia="Consolas"/>
          <w:b w:val="0"/>
          <w:i w:val="0"/>
          <w:color w:val="8B1E3F"/>
          <w:sz w:val="20"/>
        </w:rPr>
        <w:t>base_signal_ref</w:t>
      </w:r>
      <w:r>
        <w:rPr>
          <w:rFonts w:ascii="Times New Roman" w:hAnsi="Times New Roman" w:eastAsia="宋体"/>
          <w:b w:val="0"/>
          <w:i w:val="0"/>
          <w:sz w:val="21"/>
        </w:rPr>
        <w:t xml:space="preserve"> 绑定共享信号；</w:t>
      </w:r>
      <w:r>
        <w:rPr>
          <w:rFonts w:ascii="Consolas" w:hAnsi="Consolas" w:eastAsia="Consolas"/>
          <w:b w:val="0"/>
          <w:i w:val="0"/>
          <w:color w:val="8B1E3F"/>
          <w:sz w:val="20"/>
        </w:rPr>
        <w:t>key_metrics</w:t>
      </w:r>
      <w:r>
        <w:rPr>
          <w:rFonts w:ascii="Times New Roman" w:hAnsi="Times New Roman" w:eastAsia="宋体"/>
          <w:b w:val="0"/>
          <w:i w:val="0"/>
          <w:sz w:val="21"/>
        </w:rPr>
        <w:t xml:space="preserve"> 为 MetricItem 列表，每项带 </w:t>
      </w:r>
      <w:r>
        <w:rPr>
          <w:rFonts w:ascii="Consolas" w:hAnsi="Consolas" w:eastAsia="Consolas"/>
          <w:b w:val="0"/>
          <w:i w:val="0"/>
          <w:color w:val="8B1E3F"/>
          <w:sz w:val="20"/>
        </w:rPr>
        <w:t>evidence_id</w:t>
      </w:r>
      <w:r>
        <w:rPr>
          <w:rFonts w:ascii="Times New Roman" w:hAnsi="Times New Roman" w:eastAsia="宋体"/>
          <w:b w:val="0"/>
          <w:i w:val="0"/>
          <w:sz w:val="21"/>
        </w:rPr>
        <w:t>；</w:t>
      </w:r>
      <w:r>
        <w:rPr>
          <w:rFonts w:ascii="Consolas" w:hAnsi="Consolas" w:eastAsia="Consolas"/>
          <w:b w:val="0"/>
          <w:i w:val="0"/>
          <w:color w:val="8B1E3F"/>
          <w:sz w:val="20"/>
        </w:rPr>
        <w:t>claims</w:t>
      </w:r>
      <w:r>
        <w:rPr>
          <w:rFonts w:ascii="Times New Roman" w:hAnsi="Times New Roman" w:eastAsia="宋体"/>
          <w:b w:val="0"/>
          <w:i w:val="0"/>
          <w:sz w:val="21"/>
        </w:rPr>
        <w:t xml:space="preserve"> 为逐条主张；</w:t>
      </w:r>
      <w:r>
        <w:rPr>
          <w:rFonts w:ascii="Consolas" w:hAnsi="Consolas" w:eastAsia="Consolas"/>
          <w:b w:val="0"/>
          <w:i w:val="0"/>
          <w:color w:val="8B1E3F"/>
          <w:sz w:val="20"/>
        </w:rPr>
        <w:t>recommendation</w:t>
      </w:r>
      <w:r>
        <w:rPr>
          <w:rFonts w:ascii="Times New Roman" w:hAnsi="Times New Roman" w:eastAsia="宋体"/>
          <w:b w:val="0"/>
          <w:i w:val="0"/>
          <w:sz w:val="21"/>
        </w:rPr>
        <w:t xml:space="preserve"> 为面向角色的建议；</w:t>
      </w:r>
      <w:r>
        <w:rPr>
          <w:rFonts w:ascii="Consolas" w:hAnsi="Consolas" w:eastAsia="Consolas"/>
          <w:b w:val="0"/>
          <w:i w:val="0"/>
          <w:color w:val="8B1E3F"/>
          <w:sz w:val="20"/>
        </w:rPr>
        <w:t>decision_loss</w:t>
      </w:r>
      <w:r>
        <w:rPr>
          <w:rFonts w:ascii="Times New Roman" w:hAnsi="Times New Roman" w:eastAsia="宋体"/>
          <w:b w:val="0"/>
          <w:i w:val="0"/>
          <w:sz w:val="21"/>
        </w:rPr>
        <w:t xml:space="preserve"> 记录该角色在评估情景下的损失估计；</w:t>
      </w:r>
      <w:r>
        <w:rPr>
          <w:rFonts w:ascii="Consolas" w:hAnsi="Consolas" w:eastAsia="Consolas"/>
          <w:b w:val="0"/>
          <w:i w:val="0"/>
          <w:color w:val="8B1E3F"/>
          <w:sz w:val="20"/>
        </w:rPr>
        <w:t>limitations</w:t>
      </w:r>
      <w:r>
        <w:rPr>
          <w:rFonts w:ascii="Times New Roman" w:hAnsi="Times New Roman" w:eastAsia="宋体"/>
          <w:b w:val="0"/>
          <w:i w:val="0"/>
          <w:sz w:val="21"/>
        </w:rPr>
        <w:t xml:space="preserve"> 记录数据与证据缺口；</w:t>
      </w:r>
      <w:r>
        <w:rPr>
          <w:rFonts w:ascii="Consolas" w:hAnsi="Consolas" w:eastAsia="Consolas"/>
          <w:b w:val="0"/>
          <w:i w:val="0"/>
          <w:color w:val="8B1E3F"/>
          <w:sz w:val="20"/>
        </w:rPr>
        <w:t>evidence_ids</w:t>
      </w:r>
      <w:r>
        <w:rPr>
          <w:rFonts w:ascii="Times New Roman" w:hAnsi="Times New Roman" w:eastAsia="宋体"/>
          <w:b w:val="0"/>
          <w:i w:val="0"/>
          <w:sz w:val="21"/>
        </w:rPr>
        <w:t xml:space="preserve"> 汇总全部引用；</w:t>
      </w:r>
      <w:r>
        <w:rPr>
          <w:rFonts w:ascii="Consolas" w:hAnsi="Consolas" w:eastAsia="Consolas"/>
          <w:b w:val="0"/>
          <w:i w:val="0"/>
          <w:color w:val="8B1E3F"/>
          <w:sz w:val="20"/>
        </w:rPr>
        <w:t>tool_calls</w:t>
      </w:r>
      <w:r>
        <w:rPr>
          <w:rFonts w:ascii="Times New Roman" w:hAnsi="Times New Roman" w:eastAsia="宋体"/>
          <w:b w:val="0"/>
          <w:i w:val="0"/>
          <w:sz w:val="21"/>
        </w:rPr>
        <w:t>、</w:t>
      </w:r>
      <w:r>
        <w:rPr>
          <w:rFonts w:ascii="Consolas" w:hAnsi="Consolas" w:eastAsia="Consolas"/>
          <w:b w:val="0"/>
          <w:i w:val="0"/>
          <w:color w:val="8B1E3F"/>
          <w:sz w:val="20"/>
        </w:rPr>
        <w:t>tokens</w:t>
      </w:r>
      <w:r>
        <w:rPr>
          <w:rFonts w:ascii="Times New Roman" w:hAnsi="Times New Roman" w:eastAsia="宋体"/>
          <w:b w:val="0"/>
          <w:i w:val="0"/>
          <w:sz w:val="21"/>
        </w:rPr>
        <w:t>、</w:t>
      </w:r>
      <w:r>
        <w:rPr>
          <w:rFonts w:ascii="Consolas" w:hAnsi="Consolas" w:eastAsia="Consolas"/>
          <w:b w:val="0"/>
          <w:i w:val="0"/>
          <w:color w:val="8B1E3F"/>
          <w:sz w:val="20"/>
        </w:rPr>
        <w:t>latency_ms</w:t>
      </w:r>
      <w:r>
        <w:rPr>
          <w:rFonts w:ascii="Times New Roman" w:hAnsi="Times New Roman" w:eastAsia="宋体"/>
          <w:b w:val="0"/>
          <w:i w:val="0"/>
          <w:sz w:val="21"/>
        </w:rPr>
        <w:t xml:space="preserve"> 用于资源预算核算。</w:t>
      </w:r>
    </w:p>
    <w:p>
      <w:r>
        <w:rPr>
          <w:rFonts w:ascii="Times New Roman" w:hAnsi="Times New Roman" w:eastAsia="宋体"/>
          <w:b w:val="0"/>
          <w:i w:val="0"/>
          <w:sz w:val="21"/>
        </w:rPr>
        <w:t xml:space="preserve">主张 Claim 按类型分为数值型、文本型与方向型三类，并强制绑定证据：数值型主张必须引用至少一条工具证据，其 </w:t>
      </w:r>
      <w:r>
        <w:rPr>
          <w:rFonts w:ascii="Consolas" w:hAnsi="Consolas" w:eastAsia="Consolas"/>
          <w:b w:val="0"/>
          <w:i w:val="0"/>
          <w:color w:val="8B1E3F"/>
          <w:sz w:val="20"/>
        </w:rPr>
        <w:t>value</w:t>
      </w:r>
      <w:r>
        <w:rPr>
          <w:rFonts w:ascii="Times New Roman" w:hAnsi="Times New Roman" w:eastAsia="宋体"/>
          <w:b w:val="0"/>
          <w:i w:val="0"/>
          <w:sz w:val="21"/>
        </w:rPr>
        <w:t xml:space="preserve"> 与 </w:t>
      </w:r>
      <w:r>
        <w:rPr>
          <w:rFonts w:ascii="Consolas" w:hAnsi="Consolas" w:eastAsia="Consolas"/>
          <w:b w:val="0"/>
          <w:i w:val="0"/>
          <w:color w:val="8B1E3F"/>
          <w:sz w:val="20"/>
        </w:rPr>
        <w:t>unit</w:t>
      </w:r>
      <w:r>
        <w:rPr>
          <w:rFonts w:ascii="Times New Roman" w:hAnsi="Times New Roman" w:eastAsia="宋体"/>
          <w:b w:val="0"/>
          <w:i w:val="0"/>
          <w:sz w:val="21"/>
        </w:rPr>
        <w:t xml:space="preserve"> 须与该证据一致；文本型主张必须引用至少一条时点合规的知识片段；方向型主张（如“压力上升”“外溢加剧”）必须基于数值证据或共享信号的阈值判断。每条主张记录 </w:t>
      </w:r>
      <w:r>
        <w:rPr>
          <w:rFonts w:ascii="Consolas" w:hAnsi="Consolas" w:eastAsia="Consolas"/>
          <w:b w:val="0"/>
          <w:i w:val="0"/>
          <w:color w:val="8B1E3F"/>
          <w:sz w:val="20"/>
        </w:rPr>
        <w:t>subject</w:t>
      </w:r>
      <w:r>
        <w:rPr>
          <w:rFonts w:ascii="Times New Roman" w:hAnsi="Times New Roman" w:eastAsia="宋体"/>
          <w:b w:val="0"/>
          <w:i w:val="0"/>
          <w:sz w:val="21"/>
        </w:rPr>
        <w:t>（便于跨角色对齐同一比较对象）、</w:t>
      </w:r>
      <w:r>
        <w:rPr>
          <w:rFonts w:ascii="Consolas" w:hAnsi="Consolas" w:eastAsia="Consolas"/>
          <w:b w:val="0"/>
          <w:i w:val="0"/>
          <w:color w:val="8B1E3F"/>
          <w:sz w:val="20"/>
        </w:rPr>
        <w:t>confidence</w:t>
      </w:r>
      <w:r>
        <w:rPr>
          <w:rFonts w:ascii="Times New Roman" w:hAnsi="Times New Roman" w:eastAsia="宋体"/>
          <w:b w:val="0"/>
          <w:i w:val="0"/>
          <w:sz w:val="21"/>
        </w:rPr>
        <w:t xml:space="preserve">（供人工参考，不作为统计标签）与 </w:t>
      </w:r>
      <w:r>
        <w:rPr>
          <w:rFonts w:ascii="Consolas" w:hAnsi="Consolas" w:eastAsia="Consolas"/>
          <w:b w:val="0"/>
          <w:i w:val="0"/>
          <w:color w:val="8B1E3F"/>
          <w:sz w:val="20"/>
        </w:rPr>
        <w:t>status</w:t>
      </w:r>
      <w:r>
        <w:rPr>
          <w:rFonts w:ascii="Times New Roman" w:hAnsi="Times New Roman" w:eastAsia="宋体"/>
          <w:b w:val="0"/>
          <w:i w:val="0"/>
          <w:sz w:val="21"/>
        </w:rPr>
        <w:t>（核验状态）。这一结构使“主张—证据—核验”三者可逐条追踪，也是 4.4 冲突识别的输入。</w:t>
      </w:r>
    </w:p>
    <w:p>
      <w:r>
        <w:rPr>
          <w:rFonts w:ascii="Times New Roman" w:hAnsi="Times New Roman" w:eastAsia="宋体"/>
          <w:b w:val="0"/>
          <w:i w:val="0"/>
          <w:sz w:val="21"/>
        </w:rPr>
        <w:t xml:space="preserve">输出风格由 </w:t>
      </w:r>
      <w:r>
        <w:rPr>
          <w:rFonts w:ascii="Consolas" w:hAnsi="Consolas" w:eastAsia="Consolas"/>
          <w:b w:val="0"/>
          <w:i w:val="0"/>
          <w:color w:val="8B1E3F"/>
          <w:sz w:val="20"/>
        </w:rPr>
        <w:t>output_style</w:t>
      </w:r>
      <w:r>
        <w:rPr>
          <w:rFonts w:ascii="Times New Roman" w:hAnsi="Times New Roman" w:eastAsia="宋体"/>
          <w:b w:val="0"/>
          <w:i w:val="0"/>
          <w:sz w:val="21"/>
        </w:rPr>
        <w:t xml:space="preserve"> 决定：监管输出预警简报与关注措施，投资输出组合风险提示与对冲建议，融资输出融资安排与现金流缓冲建议。三者在结构上同构、在内容上异构，从而使后续的交叉验证与冲突比较在同一坐标系下进行。</w:t>
      </w:r>
    </w:p>
    <w:p>
      <w:pPr>
        <w:pStyle w:val="Heading3"/>
      </w:pPr>
      <w:r>
        <w:rPr>
          <w:rFonts w:ascii="Times New Roman" w:hAnsi="Times New Roman" w:eastAsia="宋体"/>
          <w:b w:val="0"/>
          <w:i w:val="0"/>
          <w:sz w:val="23"/>
        </w:rPr>
        <w:t>4.3.3 Agent Loop</w:t>
      </w:r>
    </w:p>
    <w:p>
      <w:r>
        <w:rPr>
          <w:rFonts w:ascii="Times New Roman" w:hAnsi="Times New Roman" w:eastAsia="宋体"/>
          <w:b w:val="0"/>
          <w:i w:val="0"/>
          <w:sz w:val="21"/>
        </w:rPr>
        <w:t>三类智能体共享同一 Agent Loop（算法 1）。循环的六个阶段为：①读取任务与共享风险信号；②依据 RoleSpec 规划工具并做权限校验；③调用工具获得 Evidence；④基于证据形成 Claims 并逐条绑定；⑤自检，包括数值回填、引文时点、禁止行为、阈值一致性与 schema 校验；⑥发布 RiskCard 与 Evidence 到证据黑板，并在协调轮中响应质询、必要时修订并保留版本。</w:t>
      </w:r>
    </w:p>
    <w:p>
      <w:pPr>
        <w:spacing w:after="40" w:line="264" w:lineRule="auto"/>
        <w:ind w:left="227"/>
        <w:shd w:fill="F2F2F2"/>
      </w:pPr>
      <w:r>
        <w:rPr>
          <w:rFonts w:ascii="Consolas" w:hAnsi="Consolas" w:eastAsia="Consolas"/>
          <w:b w:val="0"/>
          <w:i w:val="0"/>
          <w:color w:val="333333"/>
          <w:sz w:val="17"/>
        </w:rPr>
        <w:t>算法 1  单智能体 Agent Loop（角色 r，评估日 t）</w:t>
        <w:br/>
        <w:t>输入：RoleSpec ρ_r；AgentContext c_t = (as_of, mode, signal, snapshot, round, peer_evidence, budget, task)</w:t>
        <w:br/>
        <w:t>输出：AgentOutput = (RiskCard, Evidence[], tool_calls, tokens, latency_ms, TraceEvent[])</w:t>
        <w:br/>
        <w:br/>
        <w:t xml:space="preserve"> 1: 初始化预算、claims ← ∅、evidence ← ∅</w:t>
        <w:br/>
        <w:t xml:space="preserve"> 2: 解析 task，读取共享 signal 与 snapshot；round &gt; 0 时读取 peer_evidence</w:t>
        <w:br/>
        <w:t xml:space="preserve"> 3: 以 ρ_r.focus 与 Θ_r 为约束生成工具使用计划 P，且 P ⊆ ρ_r.tool_permissions</w:t>
        <w:br/>
        <w:t xml:space="preserve"> 4: for tool ∈ P do</w:t>
        <w:br/>
        <w:t xml:space="preserve"> 5:     if not registry.allow(r, tool) then 记录越权事件并跳过</w:t>
        <w:br/>
        <w:t xml:space="preserve"> 6:     res ← tool.run(as_of = t, **args)</w:t>
        <w:br/>
        <w:t xml:space="preserve"> 7:     if not res.ok then 记录错误，放弃该数值来源，不进行补值</w:t>
        <w:br/>
        <w:t xml:space="preserve"> 8:     evidence ← evidence ∪ {res.evidence}；记录 args_hash / result_hash / latency</w:t>
        <w:br/>
        <w:t xml:space="preserve"> 9: for 每条主张草稿 do</w:t>
        <w:br/>
        <w:t>10:     数值型：绑定 res.evidence，value 取自 res.data 的确定性输出</w:t>
        <w:br/>
        <w:t>11:     文本型：knowledge_search(query, as_of = t) 取回 chunk，绑定 citations</w:t>
        <w:br/>
        <w:t>12:     方向型：绑定至少一条数值证据或共享 signal 的阈值判断</w:t>
        <w:br/>
        <w:t>13: 自检：数值回填容差（式 4-11）、引文时点、禁止行为、风险等级—阈值一致性、schema</w:t>
        <w:br/>
        <w:t>14: 未通过 → 修订主张；无法修订 → 标记 unverified 或删除，并写入 limitations</w:t>
        <w:br/>
        <w:t>15: 发布 RiskCard（带 round 版本）与新增 Evidence 到黑板；写 TraceEvent</w:t>
        <w:br/>
        <w:t>16: if round &gt; 0 且收到质询 then 补充证据或修订主张，转 13</w:t>
        <w:br/>
        <w:t>17: return AgentOutput</w:t>
      </w:r>
    </w:p>
    <w:p>
      <w:pPr>
        <w:jc w:val="center"/>
      </w:pPr>
      <w:r>
        <w:drawing>
          <wp:inline xmlns:a="http://schemas.openxmlformats.org/drawingml/2006/main" xmlns:pic="http://schemas.openxmlformats.org/drawingml/2006/picture">
            <wp:extent cx="5760000" cy="31412160"/>
            <wp:docPr id="3" name="Picture 3"/>
            <wp:cNvGraphicFramePr>
              <a:graphicFrameLocks noChangeAspect="1"/>
            </wp:cNvGraphicFramePr>
            <a:graphic>
              <a:graphicData uri="http://schemas.openxmlformats.org/drawingml/2006/picture">
                <pic:pic>
                  <pic:nvPicPr>
                    <pic:cNvPr id="0" name="fig_03.png"/>
                    <pic:cNvPicPr/>
                  </pic:nvPicPr>
                  <pic:blipFill>
                    <a:blip r:embed="rId12"/>
                    <a:stretch>
                      <a:fillRect/>
                    </a:stretch>
                  </pic:blipFill>
                  <pic:spPr>
                    <a:xfrm>
                      <a:off x="0" y="0"/>
                      <a:ext cx="5760000" cy="31412160"/>
                    </a:xfrm>
                    <a:prstGeom prst="rect"/>
                  </pic:spPr>
                </pic:pic>
              </a:graphicData>
            </a:graphic>
          </wp:inline>
        </w:drawing>
      </w:r>
    </w:p>
    <w:p>
      <w:pPr>
        <w:spacing w:after="160"/>
        <w:jc w:val="center"/>
      </w:pPr>
      <w:r>
        <w:rPr>
          <w:rFonts w:ascii="Times New Roman" w:hAnsi="Times New Roman" w:eastAsia="宋体"/>
          <w:b/>
          <w:i w:val="0"/>
          <w:color w:val="1F3864"/>
          <w:sz w:val="19"/>
        </w:rPr>
        <w:t>图 4-3 给出与算法 1 对应的流程。三模式差别仅在上下文与输出汇聚：单智能体用一个通用 RoleSpec 依次完成三类任务，任务间共享推理历史；独立模式三实例并行、`peer_evidence` 为空且不进入协调轮；协同模式三实例在 R0 后经黑板交换证据并进入 R1–R5。同一代码路径保证差异只来自协同机制本身。</w:t>
      </w:r>
    </w:p>
    <w:p>
      <w:pPr>
        <w:spacing w:after="160"/>
        <w:jc w:val="center"/>
      </w:pPr>
      <w:r>
        <w:rPr>
          <w:rFonts w:ascii="Times New Roman" w:hAnsi="Times New Roman" w:eastAsia="宋体"/>
          <w:b/>
          <w:i w:val="0"/>
          <w:color w:val="1F3864"/>
          <w:sz w:val="19"/>
        </w:rPr>
        <w:t>图 4-3 单智能体 Agent Loop 流程</w:t>
      </w:r>
    </w:p>
    <w:p>
      <w:pPr>
        <w:pStyle w:val="Heading3"/>
      </w:pPr>
      <w:r>
        <w:rPr>
          <w:rFonts w:ascii="Times New Roman" w:hAnsi="Times New Roman" w:eastAsia="宋体"/>
          <w:b w:val="0"/>
          <w:i w:val="0"/>
          <w:sz w:val="23"/>
        </w:rPr>
        <w:t>4.3.4 可审查约束与决策损失口径</w:t>
      </w:r>
    </w:p>
    <w:p>
      <w:r>
        <w:rPr>
          <w:rFonts w:ascii="Times New Roman" w:hAnsi="Times New Roman" w:eastAsia="宋体"/>
          <w:b w:val="0"/>
          <w:i w:val="0"/>
          <w:sz w:val="21"/>
        </w:rPr>
        <w:t>为使输出可被机器审查，Agent Loop 内置七类硬约束：①输出必须通过 RiskCard schema 校验；②数值型主张必须绑定工具证据，且数值在容差内可回填；③文本型主张必须绑定时点合规的知识片段；④禁止行为清单在输出前逐项检查；⑤风险等级必须与角色阈值单调一致，不允许“概率低但等级高”的矛盾输出；⑥工具调用次数与 token 用量不得超过角色预算，超限即停止并声明；⑦</w:t>
      </w:r>
      <w:r>
        <w:rPr>
          <w:rFonts w:ascii="Consolas" w:hAnsi="Consolas" w:eastAsia="Consolas"/>
          <w:b w:val="0"/>
          <w:i w:val="0"/>
          <w:color w:val="8B1E3F"/>
          <w:sz w:val="20"/>
        </w:rPr>
        <w:t>limitations</w:t>
      </w:r>
      <w:r>
        <w:rPr>
          <w:rFonts w:ascii="Times New Roman" w:hAnsi="Times New Roman" w:eastAsia="宋体"/>
          <w:b w:val="0"/>
          <w:i w:val="0"/>
          <w:sz w:val="21"/>
        </w:rPr>
        <w:t xml:space="preserve"> 必须反映实际证据缺口，不得为空或仅作模板化陈述。任一约束被违反，相应主张被标记为 </w:t>
      </w:r>
      <w:r>
        <w:rPr>
          <w:rFonts w:ascii="Consolas" w:hAnsi="Consolas" w:eastAsia="Consolas"/>
          <w:b w:val="0"/>
          <w:i w:val="0"/>
          <w:color w:val="8B1E3F"/>
          <w:sz w:val="20"/>
        </w:rPr>
        <w:t>rejected</w:t>
      </w:r>
      <w:r>
        <w:rPr>
          <w:rFonts w:ascii="Times New Roman" w:hAnsi="Times New Roman" w:eastAsia="宋体"/>
          <w:b w:val="0"/>
          <w:i w:val="0"/>
          <w:sz w:val="21"/>
        </w:rPr>
        <w:t xml:space="preserve"> 或 </w:t>
      </w:r>
      <w:r>
        <w:rPr>
          <w:rFonts w:ascii="Consolas" w:hAnsi="Consolas" w:eastAsia="Consolas"/>
          <w:b w:val="0"/>
          <w:i w:val="0"/>
          <w:color w:val="8B1E3F"/>
          <w:sz w:val="20"/>
        </w:rPr>
        <w:t>conflicted</w:t>
      </w:r>
      <w:r>
        <w:rPr>
          <w:rFonts w:ascii="Times New Roman" w:hAnsi="Times New Roman" w:eastAsia="宋体"/>
          <w:b w:val="0"/>
          <w:i w:val="0"/>
          <w:sz w:val="21"/>
        </w:rPr>
        <w:t>，并生成核验问题记录；违规事件同时计入 P2 指标与审计轨迹。</w:t>
      </w:r>
    </w:p>
    <w:p>
      <w:r>
        <w:rPr>
          <w:rFonts w:ascii="Times New Roman" w:hAnsi="Times New Roman" w:eastAsia="宋体"/>
          <w:b w:val="0"/>
          <w:i w:val="0"/>
          <w:sz w:val="21"/>
        </w:rPr>
        <w:t xml:space="preserve">角色决策损失用于把“预警是否有用”从预测准确率推进到主体收益。对角色 </w:t>
      </w:r>
      <w:r>
        <w:rPr>
          <w:rFonts w:ascii="Times New Roman" w:hAnsi="Times New Roman" w:eastAsia="宋体"/>
          <w:b w:val="0"/>
          <w:i/>
          <w:color w:val="1F3864"/>
          <w:sz w:val="21"/>
        </w:rPr>
        <w:t>r</w:t>
      </w:r>
      <w:r>
        <w:rPr>
          <w:rFonts w:ascii="Times New Roman" w:hAnsi="Times New Roman" w:eastAsia="宋体"/>
          <w:b w:val="0"/>
          <w:i w:val="0"/>
          <w:sz w:val="21"/>
        </w:rPr>
        <w:t xml:space="preserve">、预测期限 </w:t>
      </w:r>
      <w:r>
        <w:rPr>
          <w:rFonts w:ascii="Times New Roman" w:hAnsi="Times New Roman" w:eastAsia="宋体"/>
          <w:b w:val="0"/>
          <w:i/>
          <w:color w:val="1F3864"/>
          <w:sz w:val="21"/>
        </w:rPr>
        <w:t>h</w:t>
      </w:r>
      <w:r>
        <w:rPr>
          <w:rFonts w:ascii="Times New Roman" w:hAnsi="Times New Roman" w:eastAsia="宋体"/>
          <w:b w:val="0"/>
          <w:i w:val="0"/>
          <w:sz w:val="21"/>
        </w:rPr>
        <w:t xml:space="preserve">，其在评估日集合 </w:t>
      </w:r>
      <w:r>
        <w:rPr>
          <w:rFonts w:ascii="Times New Roman" w:hAnsi="Times New Roman" w:eastAsia="宋体"/>
          <w:b w:val="0"/>
          <w:i/>
          <w:color w:val="1F3864"/>
          <w:sz w:val="21"/>
        </w:rPr>
        <w:t>E</w:t>
      </w:r>
      <w:r>
        <w:rPr>
          <w:rFonts w:ascii="Times New Roman" w:hAnsi="Times New Roman" w:eastAsia="宋体"/>
          <w:b w:val="0"/>
          <w:i w:val="0"/>
          <w:sz w:val="21"/>
        </w:rPr>
        <w:t xml:space="preserve"> 上的决策损失定义为</w:t>
      </w:r>
    </w:p>
    <w:p>
      <w:pPr>
        <w:spacing w:before="80" w:after="80"/>
        <w:jc w:val="center"/>
      </w:pPr>
      <w:r>
        <w:rPr>
          <w:rFonts w:ascii="Times New Roman" w:hAnsi="Times New Roman" w:eastAsia="宋体"/>
          <w:b w:val="0"/>
          <w:i/>
          <w:color w:val="1F3864"/>
          <w:sz w:val="21"/>
        </w:rPr>
        <w:t>L_r=1|E|Σ_t[ w_rmiss1y_t,h=1(1-a_r,t) +w_rfa1y_t,h=0a_r,t +w_rdelay ,_r,t] 4-16</w:t>
      </w:r>
    </w:p>
    <w:p>
      <w:r>
        <w:rPr>
          <w:rFonts w:ascii="Times New Roman" w:hAnsi="Times New Roman" w:eastAsia="宋体"/>
          <w:b w:val="0"/>
          <w:i w:val="0"/>
          <w:sz w:val="21"/>
        </w:rPr>
        <w:t xml:space="preserve">其中 </w:t>
      </w:r>
      <w:r>
        <w:rPr>
          <w:rFonts w:ascii="Times New Roman" w:hAnsi="Times New Roman" w:eastAsia="宋体"/>
          <w:b w:val="0"/>
          <w:i/>
          <w:color w:val="1F3864"/>
          <w:sz w:val="21"/>
        </w:rPr>
        <w:t>a_r,t∈0,1</w:t>
      </w:r>
      <w:r>
        <w:rPr>
          <w:rFonts w:ascii="Times New Roman" w:hAnsi="Times New Roman" w:eastAsia="宋体"/>
          <w:b w:val="0"/>
          <w:i w:val="0"/>
          <w:sz w:val="21"/>
        </w:rPr>
        <w:t xml:space="preserve"> 表示角色 </w:t>
      </w:r>
      <w:r>
        <w:rPr>
          <w:rFonts w:ascii="Times New Roman" w:hAnsi="Times New Roman" w:eastAsia="宋体"/>
          <w:b w:val="0"/>
          <w:i/>
          <w:color w:val="1F3864"/>
          <w:sz w:val="21"/>
        </w:rPr>
        <w:t>r</w:t>
      </w:r>
      <w:r>
        <w:rPr>
          <w:rFonts w:ascii="Times New Roman" w:hAnsi="Times New Roman" w:eastAsia="宋体"/>
          <w:b w:val="0"/>
          <w:i w:val="0"/>
          <w:sz w:val="21"/>
        </w:rPr>
        <w:t xml:space="preserve"> 在 </w:t>
      </w:r>
      <w:r>
        <w:rPr>
          <w:rFonts w:ascii="Times New Roman" w:hAnsi="Times New Roman" w:eastAsia="宋体"/>
          <w:b w:val="0"/>
          <w:i/>
          <w:color w:val="1F3864"/>
          <w:sz w:val="21"/>
        </w:rPr>
        <w:t>t</w:t>
      </w:r>
      <w:r>
        <w:rPr>
          <w:rFonts w:ascii="Times New Roman" w:hAnsi="Times New Roman" w:eastAsia="宋体"/>
          <w:b w:val="0"/>
          <w:i w:val="0"/>
          <w:sz w:val="21"/>
        </w:rPr>
        <w:t xml:space="preserve"> 时点是否发出预警（其风险等级达到该角色“高”及以上），</w:t>
      </w:r>
      <w:r>
        <w:rPr>
          <w:rFonts w:ascii="Times New Roman" w:hAnsi="Times New Roman" w:eastAsia="宋体"/>
          <w:b w:val="0"/>
          <w:i/>
          <w:color w:val="1F3864"/>
          <w:sz w:val="21"/>
        </w:rPr>
        <w:t>_r,t</w:t>
      </w:r>
      <w:r>
        <w:rPr>
          <w:rFonts w:ascii="Times New Roman" w:hAnsi="Times New Roman" w:eastAsia="宋体"/>
          <w:b w:val="0"/>
          <w:i w:val="0"/>
          <w:sz w:val="21"/>
        </w:rPr>
        <w:t xml:space="preserve"> 为命中事件下相对最早可预警时点的延迟惩罚项。权重取自 RoleSpec 的 </w:t>
      </w:r>
      <w:r>
        <w:rPr>
          <w:rFonts w:ascii="Consolas" w:hAnsi="Consolas" w:eastAsia="Consolas"/>
          <w:b w:val="0"/>
          <w:i w:val="0"/>
          <w:color w:val="8B1E3F"/>
          <w:sz w:val="20"/>
        </w:rPr>
        <w:t>decision_loss_weights</w:t>
      </w:r>
      <w:r>
        <w:rPr>
          <w:rFonts w:ascii="Times New Roman" w:hAnsi="Times New Roman" w:eastAsia="宋体"/>
          <w:b w:val="0"/>
          <w:i w:val="0"/>
          <w:sz w:val="21"/>
        </w:rPr>
        <w:t xml:space="preserve">，从而同一预测能力在不同主体下折算为不同损失。式（4-16）也是协同增益比较的统一尺度：三模式在同一评估日集合、标签口径与预算下分别计算 </w:t>
      </w:r>
      <w:r>
        <w:rPr>
          <w:rFonts w:ascii="Times New Roman" w:hAnsi="Times New Roman" w:eastAsia="宋体"/>
          <w:b w:val="0"/>
          <w:i/>
          <w:color w:val="1F3864"/>
          <w:sz w:val="21"/>
        </w:rPr>
        <w:t>L_r</w:t>
      </w:r>
      <w:r>
        <w:rPr>
          <w:rFonts w:ascii="Times New Roman" w:hAnsi="Times New Roman" w:eastAsia="宋体"/>
          <w:b w:val="0"/>
          <w:i w:val="0"/>
          <w:sz w:val="21"/>
        </w:rPr>
        <w:t>，其差异才可解释为协同机制的效果。</w:t>
      </w:r>
    </w:p>
    <w:p>
      <w:pPr>
        <w:pStyle w:val="Heading2"/>
      </w:pPr>
      <w:r>
        <w:rPr>
          <w:rFonts w:ascii="Times New Roman" w:hAnsi="Times New Roman" w:eastAsia="宋体"/>
          <w:b w:val="0"/>
          <w:i w:val="0"/>
          <w:sz w:val="26"/>
        </w:rPr>
        <w:t>4.4 多智能体协同与决策支持机制</w:t>
      </w:r>
    </w:p>
    <w:p>
      <w:r>
        <w:rPr>
          <w:rFonts w:ascii="Times New Roman" w:hAnsi="Times New Roman" w:eastAsia="宋体"/>
          <w:b w:val="0"/>
          <w:i w:val="0"/>
          <w:sz w:val="21"/>
        </w:rPr>
        <w:t>【对应命题 P3；实验章节：5.2、5.3、6.3；实现：L5 协同编排层、横切 A、</w:t>
      </w:r>
      <w:r>
        <w:rPr>
          <w:rFonts w:ascii="Consolas" w:hAnsi="Consolas" w:eastAsia="Consolas"/>
          <w:b w:val="0"/>
          <w:i w:val="0"/>
          <w:color w:val="8B1E3F"/>
          <w:sz w:val="20"/>
        </w:rPr>
        <w:t>src/cbr/orchestration/</w:t>
      </w:r>
      <w:r>
        <w:rPr>
          <w:rFonts w:ascii="Times New Roman" w:hAnsi="Times New Roman" w:eastAsia="宋体"/>
          <w:b w:val="0"/>
          <w:i w:val="0"/>
          <w:sz w:val="21"/>
        </w:rPr>
        <w:t>、</w:t>
      </w:r>
      <w:r>
        <w:rPr>
          <w:rFonts w:ascii="Consolas" w:hAnsi="Consolas" w:eastAsia="Consolas"/>
          <w:b w:val="0"/>
          <w:i w:val="0"/>
          <w:color w:val="8B1E3F"/>
          <w:sz w:val="20"/>
        </w:rPr>
        <w:t>src/cbr/verification/</w:t>
      </w:r>
      <w:r>
        <w:rPr>
          <w:rFonts w:ascii="Times New Roman" w:hAnsi="Times New Roman" w:eastAsia="宋体"/>
          <w:b w:val="0"/>
          <w:i w:val="0"/>
          <w:sz w:val="21"/>
        </w:rPr>
        <w:t>】</w:t>
      </w:r>
    </w:p>
    <w:p>
      <w:r>
        <w:rPr>
          <w:rFonts w:ascii="Times New Roman" w:hAnsi="Times New Roman" w:eastAsia="宋体"/>
          <w:b w:val="0"/>
          <w:i w:val="0"/>
          <w:sz w:val="21"/>
        </w:rPr>
        <w:t>多智能体协同的价值不来自并行调用多个模型，而来自三点：专业化角色掌握不同信息与工具、证据可被共享和复核、分歧可被显式识别并按规则处理；缺此三者，多智能体只是重复劳动。因此，本节把协同设计为可开关、可审计、可消融的协议：4.4.1 定义证据黑板，4.4.2 给出 R0–R5 协同算法，4.4.3 给出冲突分类与仲裁规则，4.4.4 讨论人工接管与审计留痕，4.4.5 给出协同增益的检验设计与成本度量。</w:t>
      </w:r>
    </w:p>
    <w:p>
      <w:pPr>
        <w:pStyle w:val="Heading3"/>
      </w:pPr>
      <w:r>
        <w:rPr>
          <w:rFonts w:ascii="Times New Roman" w:hAnsi="Times New Roman" w:eastAsia="宋体"/>
          <w:b w:val="0"/>
          <w:i w:val="0"/>
          <w:sz w:val="23"/>
        </w:rPr>
        <w:t>4.4.1 证据黑板与共享表示</w:t>
      </w:r>
    </w:p>
    <w:p>
      <w:r>
        <w:rPr>
          <w:rFonts w:ascii="Times New Roman" w:hAnsi="Times New Roman" w:eastAsia="宋体"/>
          <w:b w:val="0"/>
          <w:i w:val="0"/>
          <w:sz w:val="21"/>
        </w:rPr>
        <w:t xml:space="preserve">证据黑板是协同的唯一共享状态，采用追加写入（append-only）结构。智能体发布证据时，黑板按哈希去重、分配唯一 </w:t>
      </w:r>
      <w:r>
        <w:rPr>
          <w:rFonts w:ascii="Consolas" w:hAnsi="Consolas" w:eastAsia="Consolas"/>
          <w:b w:val="0"/>
          <w:i w:val="0"/>
          <w:color w:val="8B1E3F"/>
          <w:sz w:val="20"/>
        </w:rPr>
        <w:t>evidence_id</w:t>
      </w:r>
      <w:r>
        <w:rPr>
          <w:rFonts w:ascii="Times New Roman" w:hAnsi="Times New Roman" w:eastAsia="宋体"/>
          <w:b w:val="0"/>
          <w:i w:val="0"/>
          <w:sz w:val="21"/>
        </w:rPr>
        <w:t>、标注来源与时点，并记录发布者与轮次。黑板提供三个视图：公共事实视图（</w:t>
      </w:r>
      <w:r>
        <w:rPr>
          <w:rFonts w:ascii="Consolas" w:hAnsi="Consolas" w:eastAsia="Consolas"/>
          <w:b w:val="0"/>
          <w:i w:val="0"/>
          <w:color w:val="8B1E3F"/>
          <w:sz w:val="20"/>
        </w:rPr>
        <w:t>signal</w:t>
      </w:r>
      <w:r>
        <w:rPr>
          <w:rFonts w:ascii="Times New Roman" w:hAnsi="Times New Roman" w:eastAsia="宋体"/>
          <w:b w:val="0"/>
          <w:i w:val="0"/>
          <w:sz w:val="21"/>
        </w:rPr>
        <w:t>、</w:t>
      </w:r>
      <w:r>
        <w:rPr>
          <w:rFonts w:ascii="Consolas" w:hAnsi="Consolas" w:eastAsia="Consolas"/>
          <w:b w:val="0"/>
          <w:i w:val="0"/>
          <w:color w:val="8B1E3F"/>
          <w:sz w:val="20"/>
        </w:rPr>
        <w:t>tool</w:t>
      </w:r>
      <w:r>
        <w:rPr>
          <w:rFonts w:ascii="Times New Roman" w:hAnsi="Times New Roman" w:eastAsia="宋体"/>
          <w:b w:val="0"/>
          <w:i w:val="0"/>
          <w:sz w:val="21"/>
        </w:rPr>
        <w:t>、</w:t>
      </w:r>
      <w:r>
        <w:rPr>
          <w:rFonts w:ascii="Consolas" w:hAnsi="Consolas" w:eastAsia="Consolas"/>
          <w:b w:val="0"/>
          <w:i w:val="0"/>
          <w:color w:val="8B1E3F"/>
          <w:sz w:val="20"/>
        </w:rPr>
        <w:t>kb</w:t>
      </w:r>
      <w:r>
        <w:rPr>
          <w:rFonts w:ascii="Times New Roman" w:hAnsi="Times New Roman" w:eastAsia="宋体"/>
          <w:b w:val="0"/>
          <w:i w:val="0"/>
          <w:sz w:val="21"/>
        </w:rPr>
        <w:t>、</w:t>
      </w:r>
      <w:r>
        <w:rPr>
          <w:rFonts w:ascii="Consolas" w:hAnsi="Consolas" w:eastAsia="Consolas"/>
          <w:b w:val="0"/>
          <w:i w:val="0"/>
          <w:color w:val="8B1E3F"/>
          <w:sz w:val="20"/>
        </w:rPr>
        <w:t>market</w:t>
      </w:r>
      <w:r>
        <w:rPr>
          <w:rFonts w:ascii="Times New Roman" w:hAnsi="Times New Roman" w:eastAsia="宋体"/>
          <w:b w:val="0"/>
          <w:i w:val="0"/>
          <w:sz w:val="21"/>
        </w:rPr>
        <w:t>、</w:t>
      </w:r>
      <w:r>
        <w:rPr>
          <w:rFonts w:ascii="Consolas" w:hAnsi="Consolas" w:eastAsia="Consolas"/>
          <w:b w:val="0"/>
          <w:i w:val="0"/>
          <w:color w:val="8B1E3F"/>
          <w:sz w:val="20"/>
        </w:rPr>
        <w:t>policy</w:t>
      </w:r>
      <w:r>
        <w:rPr>
          <w:rFonts w:ascii="Times New Roman" w:hAnsi="Times New Roman" w:eastAsia="宋体"/>
          <w:b w:val="0"/>
          <w:i w:val="0"/>
          <w:sz w:val="21"/>
        </w:rPr>
        <w:t>）、角色视图（各 RiskCard 与主张）与协调视图（冲突、核验报告、人工处理记录）。共享内容限于证据与结构化主张，不共享完整推理轨迹，以降低重复取证成本并避免早期判断锚定后续角色。</w:t>
      </w:r>
    </w:p>
    <w:p>
      <w:r>
        <w:rPr>
          <w:rFonts w:ascii="Times New Roman" w:hAnsi="Times New Roman" w:eastAsia="宋体"/>
          <w:b w:val="0"/>
          <w:i w:val="0"/>
          <w:sz w:val="21"/>
        </w:rPr>
        <w:t xml:space="preserve">黑板上的证据遵循统一语义：每条 Evidence 含 </w:t>
      </w:r>
      <w:r>
        <w:rPr>
          <w:rFonts w:ascii="Consolas" w:hAnsi="Consolas" w:eastAsia="Consolas"/>
          <w:b w:val="0"/>
          <w:i w:val="0"/>
          <w:color w:val="8B1E3F"/>
          <w:sz w:val="20"/>
        </w:rPr>
        <w:t>evidence_id</w:t>
      </w:r>
      <w:r>
        <w:rPr>
          <w:rFonts w:ascii="Times New Roman" w:hAnsi="Times New Roman" w:eastAsia="宋体"/>
          <w:b w:val="0"/>
          <w:i w:val="0"/>
          <w:sz w:val="21"/>
        </w:rPr>
        <w:t>、</w:t>
      </w:r>
      <w:r>
        <w:rPr>
          <w:rFonts w:ascii="Consolas" w:hAnsi="Consolas" w:eastAsia="Consolas"/>
          <w:b w:val="0"/>
          <w:i w:val="0"/>
          <w:color w:val="8B1E3F"/>
          <w:sz w:val="20"/>
        </w:rPr>
        <w:t>kind</w:t>
      </w:r>
      <w:r>
        <w:rPr>
          <w:rFonts w:ascii="Times New Roman" w:hAnsi="Times New Roman" w:eastAsia="宋体"/>
          <w:b w:val="0"/>
          <w:i w:val="0"/>
          <w:sz w:val="21"/>
        </w:rPr>
        <w:t>、</w:t>
      </w:r>
      <w:r>
        <w:rPr>
          <w:rFonts w:ascii="Consolas" w:hAnsi="Consolas" w:eastAsia="Consolas"/>
          <w:b w:val="0"/>
          <w:i w:val="0"/>
          <w:color w:val="8B1E3F"/>
          <w:sz w:val="20"/>
        </w:rPr>
        <w:t>as_of</w:t>
      </w:r>
      <w:r>
        <w:rPr>
          <w:rFonts w:ascii="Times New Roman" w:hAnsi="Times New Roman" w:eastAsia="宋体"/>
          <w:b w:val="0"/>
          <w:i w:val="0"/>
          <w:sz w:val="21"/>
        </w:rPr>
        <w:t>、</w:t>
      </w:r>
      <w:r>
        <w:rPr>
          <w:rFonts w:ascii="Consolas" w:hAnsi="Consolas" w:eastAsia="Consolas"/>
          <w:b w:val="0"/>
          <w:i w:val="0"/>
          <w:color w:val="8B1E3F"/>
          <w:sz w:val="20"/>
        </w:rPr>
        <w:t>payload</w:t>
      </w:r>
      <w:r>
        <w:rPr>
          <w:rFonts w:ascii="Times New Roman" w:hAnsi="Times New Roman" w:eastAsia="宋体"/>
          <w:b w:val="0"/>
          <w:i w:val="0"/>
          <w:sz w:val="21"/>
        </w:rPr>
        <w:t>、</w:t>
      </w:r>
      <w:r>
        <w:rPr>
          <w:rFonts w:ascii="Consolas" w:hAnsi="Consolas" w:eastAsia="Consolas"/>
          <w:b w:val="0"/>
          <w:i w:val="0"/>
          <w:color w:val="8B1E3F"/>
          <w:sz w:val="20"/>
        </w:rPr>
        <w:t>value</w:t>
      </w:r>
      <w:r>
        <w:rPr>
          <w:rFonts w:ascii="Times New Roman" w:hAnsi="Times New Roman" w:eastAsia="宋体"/>
          <w:b w:val="0"/>
          <w:i w:val="0"/>
          <w:sz w:val="21"/>
        </w:rPr>
        <w:t>、</w:t>
      </w:r>
      <w:r>
        <w:rPr>
          <w:rFonts w:ascii="Consolas" w:hAnsi="Consolas" w:eastAsia="Consolas"/>
          <w:b w:val="0"/>
          <w:i w:val="0"/>
          <w:color w:val="8B1E3F"/>
          <w:sz w:val="20"/>
        </w:rPr>
        <w:t>source</w:t>
      </w:r>
      <w:r>
        <w:rPr>
          <w:rFonts w:ascii="Times New Roman" w:hAnsi="Times New Roman" w:eastAsia="宋体"/>
          <w:b w:val="0"/>
          <w:i w:val="0"/>
          <w:sz w:val="21"/>
        </w:rPr>
        <w:t>、</w:t>
      </w:r>
      <w:r>
        <w:rPr>
          <w:rFonts w:ascii="Consolas" w:hAnsi="Consolas" w:eastAsia="Consolas"/>
          <w:b w:val="0"/>
          <w:i w:val="0"/>
          <w:color w:val="8B1E3F"/>
          <w:sz w:val="20"/>
        </w:rPr>
        <w:t>tool</w:t>
      </w:r>
      <w:r>
        <w:rPr>
          <w:rFonts w:ascii="Times New Roman" w:hAnsi="Times New Roman" w:eastAsia="宋体"/>
          <w:b w:val="0"/>
          <w:i w:val="0"/>
          <w:sz w:val="21"/>
        </w:rPr>
        <w:t>、</w:t>
      </w:r>
      <w:r>
        <w:rPr>
          <w:rFonts w:ascii="Consolas" w:hAnsi="Consolas" w:eastAsia="Consolas"/>
          <w:b w:val="0"/>
          <w:i w:val="0"/>
          <w:color w:val="8B1E3F"/>
          <w:sz w:val="20"/>
        </w:rPr>
        <w:t>citations</w:t>
      </w:r>
      <w:r>
        <w:rPr>
          <w:rFonts w:ascii="Times New Roman" w:hAnsi="Times New Roman" w:eastAsia="宋体"/>
          <w:b w:val="0"/>
          <w:i w:val="0"/>
          <w:sz w:val="21"/>
        </w:rPr>
        <w:t>、</w:t>
      </w:r>
      <w:r>
        <w:rPr>
          <w:rFonts w:ascii="Consolas" w:hAnsi="Consolas" w:eastAsia="Consolas"/>
          <w:b w:val="0"/>
          <w:i w:val="0"/>
          <w:color w:val="8B1E3F"/>
          <w:sz w:val="20"/>
        </w:rPr>
        <w:t>verified</w:t>
      </w:r>
      <w:r>
        <w:rPr>
          <w:rFonts w:ascii="Times New Roman" w:hAnsi="Times New Roman" w:eastAsia="宋体"/>
          <w:b w:val="0"/>
          <w:i w:val="0"/>
          <w:sz w:val="21"/>
        </w:rPr>
        <w:t>、</w:t>
      </w:r>
      <w:r>
        <w:rPr>
          <w:rFonts w:ascii="Consolas" w:hAnsi="Consolas" w:eastAsia="Consolas"/>
          <w:b w:val="0"/>
          <w:i w:val="0"/>
          <w:color w:val="8B1E3F"/>
          <w:sz w:val="20"/>
        </w:rPr>
        <w:t>hash</w:t>
      </w:r>
      <w:r>
        <w:rPr>
          <w:rFonts w:ascii="Times New Roman" w:hAnsi="Times New Roman" w:eastAsia="宋体"/>
          <w:b w:val="0"/>
          <w:i w:val="0"/>
          <w:sz w:val="21"/>
        </w:rPr>
        <w:t xml:space="preserve"> 等字段（完整定义见 </w:t>
      </w:r>
      <w:r>
        <w:rPr>
          <w:rFonts w:ascii="Consolas" w:hAnsi="Consolas" w:eastAsia="Consolas"/>
          <w:b w:val="0"/>
          <w:i w:val="0"/>
          <w:color w:val="8B1E3F"/>
          <w:sz w:val="20"/>
        </w:rPr>
        <w:t>schemas.py</w:t>
      </w:r>
      <w:r>
        <w:rPr>
          <w:rFonts w:ascii="Times New Roman" w:hAnsi="Times New Roman" w:eastAsia="宋体"/>
          <w:b w:val="0"/>
          <w:i w:val="0"/>
          <w:sz w:val="21"/>
        </w:rPr>
        <w:t>）；</w:t>
      </w:r>
      <w:r>
        <w:rPr>
          <w:rFonts w:ascii="Consolas" w:hAnsi="Consolas" w:eastAsia="Consolas"/>
          <w:b w:val="0"/>
          <w:i w:val="0"/>
          <w:color w:val="8B1E3F"/>
          <w:sz w:val="20"/>
        </w:rPr>
        <w:t>source</w:t>
      </w:r>
      <w:r>
        <w:rPr>
          <w:rFonts w:ascii="Times New Roman" w:hAnsi="Times New Roman" w:eastAsia="宋体"/>
          <w:b w:val="0"/>
          <w:i w:val="0"/>
          <w:sz w:val="21"/>
        </w:rPr>
        <w:t xml:space="preserve"> 记录来源与发布时间，</w:t>
      </w:r>
      <w:r>
        <w:rPr>
          <w:rFonts w:ascii="Consolas" w:hAnsi="Consolas" w:eastAsia="Consolas"/>
          <w:b w:val="0"/>
          <w:i w:val="0"/>
          <w:color w:val="8B1E3F"/>
          <w:sz w:val="20"/>
        </w:rPr>
        <w:t>tool</w:t>
      </w:r>
      <w:r>
        <w:rPr>
          <w:rFonts w:ascii="Times New Roman" w:hAnsi="Times New Roman" w:eastAsia="宋体"/>
          <w:b w:val="0"/>
          <w:i w:val="0"/>
          <w:sz w:val="21"/>
        </w:rPr>
        <w:t xml:space="preserve"> 记录工具名、版本、输入哈希与耗时，</w:t>
      </w:r>
      <w:r>
        <w:rPr>
          <w:rFonts w:ascii="Consolas" w:hAnsi="Consolas" w:eastAsia="Consolas"/>
          <w:b w:val="0"/>
          <w:i w:val="0"/>
          <w:color w:val="8B1E3F"/>
          <w:sz w:val="20"/>
        </w:rPr>
        <w:t>hash</w:t>
      </w:r>
      <w:r>
        <w:rPr>
          <w:rFonts w:ascii="Times New Roman" w:hAnsi="Times New Roman" w:eastAsia="宋体"/>
          <w:b w:val="0"/>
          <w:i w:val="0"/>
          <w:sz w:val="21"/>
        </w:rPr>
        <w:t xml:space="preserve"> 用于去重与完整性检查。证据发布后不可修改，只能追加，保证审计与回放一致。协调器（Coordinator）负责生成任务依赖图、控制工具与 token 预算、调度轮次、汇总决策卡，但不得覆盖或改写任何工具输出的确定性数值。</w:t>
      </w:r>
    </w:p>
    <w:p>
      <w:pPr>
        <w:pStyle w:val="Heading3"/>
      </w:pPr>
      <w:r>
        <w:rPr>
          <w:rFonts w:ascii="Times New Roman" w:hAnsi="Times New Roman" w:eastAsia="宋体"/>
          <w:b w:val="0"/>
          <w:i w:val="0"/>
          <w:sz w:val="23"/>
        </w:rPr>
        <w:t>4.4.2 R0–R5 协同算法</w:t>
      </w:r>
    </w:p>
    <w:p>
      <w:r>
        <w:rPr>
          <w:rFonts w:ascii="Times New Roman" w:hAnsi="Times New Roman" w:eastAsia="宋体"/>
          <w:b w:val="0"/>
          <w:i w:val="0"/>
          <w:sz w:val="21"/>
        </w:rPr>
        <w:t>协同流程分为六个阶段，R0 至 R5 依次推进。R3 后的 R4 协调最多执行配置给定的轮数（</w:t>
      </w:r>
      <w:r>
        <w:rPr>
          <w:rFonts w:ascii="Consolas" w:hAnsi="Consolas" w:eastAsia="Consolas"/>
          <w:b w:val="0"/>
          <w:i w:val="0"/>
          <w:color w:val="8B1E3F"/>
          <w:sz w:val="20"/>
        </w:rPr>
        <w:t>orchestration.rounds</w:t>
      </w:r>
      <w:r>
        <w:rPr>
          <w:rFonts w:ascii="Times New Roman" w:hAnsi="Times New Roman" w:eastAsia="宋体"/>
          <w:b w:val="0"/>
          <w:i w:val="0"/>
          <w:sz w:val="21"/>
        </w:rPr>
        <w:t>，默认 2；无可解决冲突或预算耗尽即提前终止，无冲突时为 0），</w:t>
      </w:r>
      <w:r>
        <w:rPr>
          <w:rFonts w:ascii="Consolas" w:hAnsi="Consolas" w:eastAsia="Consolas"/>
          <w:b w:val="0"/>
          <w:i w:val="0"/>
          <w:color w:val="8B1E3F"/>
          <w:sz w:val="20"/>
        </w:rPr>
        <w:t>CoordinationStats.rounds</w:t>
      </w:r>
      <w:r>
        <w:rPr>
          <w:rFonts w:ascii="Times New Roman" w:hAnsi="Times New Roman" w:eastAsia="宋体"/>
          <w:b w:val="0"/>
          <w:i w:val="0"/>
          <w:sz w:val="21"/>
        </w:rPr>
        <w:t xml:space="preserve"> 记录实际执行轮次。各阶段设计意图如下。</w:t>
      </w:r>
    </w:p>
    <w:p>
      <w:r>
        <w:rPr>
          <w:rFonts w:ascii="Times New Roman" w:hAnsi="Times New Roman" w:eastAsia="宋体"/>
          <w:b w:val="0"/>
          <w:i w:val="0"/>
          <w:sz w:val="21"/>
        </w:rPr>
        <w:t>R0 独立分析：三类智能体互不可见彼此结论，仅基于同一共享信号与各自权限生成首版 RiskCard。该阶段保留主体判断的独立性，为 R3 提供可比基线；若起初即共享结论，冲突将被人为消除，协同的检验价值也随之丧失。</w:t>
      </w:r>
    </w:p>
    <w:p>
      <w:r>
        <w:rPr>
          <w:rFonts w:ascii="Times New Roman" w:hAnsi="Times New Roman" w:eastAsia="宋体"/>
          <w:b w:val="0"/>
          <w:i w:val="0"/>
          <w:sz w:val="21"/>
        </w:rPr>
        <w:t xml:space="preserve">R1 证据共享：将各智能体发布的证据写入黑板，按哈希去重，登记证据编号与来源，并回写至其他智能体的 </w:t>
      </w:r>
      <w:r>
        <w:rPr>
          <w:rFonts w:ascii="Consolas" w:hAnsi="Consolas" w:eastAsia="Consolas"/>
          <w:b w:val="0"/>
          <w:i w:val="0"/>
          <w:color w:val="8B1E3F"/>
          <w:sz w:val="20"/>
        </w:rPr>
        <w:t>peer_evidence</w:t>
      </w:r>
      <w:r>
        <w:rPr>
          <w:rFonts w:ascii="Times New Roman" w:hAnsi="Times New Roman" w:eastAsia="宋体"/>
          <w:b w:val="0"/>
          <w:i w:val="0"/>
          <w:sz w:val="21"/>
        </w:rPr>
        <w:t>。共享对象是证据而非结论，不直接改变各主体的风险等级判断。</w:t>
      </w:r>
    </w:p>
    <w:p>
      <w:r>
        <w:rPr>
          <w:rFonts w:ascii="Times New Roman" w:hAnsi="Times New Roman" w:eastAsia="宋体"/>
          <w:b w:val="0"/>
          <w:i w:val="0"/>
          <w:sz w:val="21"/>
        </w:rPr>
        <w:t>R2 交叉验证：协调器按角色轮转为每个智能体分配 1 条其他主体的关键数值主张，要求其用授权工具独立重算，并将核验结果作为新的证据写回黑板。交叉验证的目的不是互相背书，而是通过独立计算路径发现数值错误、口径差异与时点错误，与 4.2.3 的集中式核验互补。</w:t>
      </w:r>
    </w:p>
    <w:p>
      <w:r>
        <w:rPr>
          <w:rFonts w:ascii="Times New Roman" w:hAnsi="Times New Roman" w:eastAsia="宋体"/>
          <w:b w:val="0"/>
          <w:i w:val="0"/>
          <w:sz w:val="21"/>
        </w:rPr>
        <w:t>R3 分歧识别：对同一比较对象（</w:t>
      </w:r>
      <w:r>
        <w:rPr>
          <w:rFonts w:ascii="Consolas" w:hAnsi="Consolas" w:eastAsia="Consolas"/>
          <w:b w:val="0"/>
          <w:i w:val="0"/>
          <w:color w:val="8B1E3F"/>
          <w:sz w:val="20"/>
        </w:rPr>
        <w:t>subject</w:t>
      </w:r>
      <w:r>
        <w:rPr>
          <w:rFonts w:ascii="Times New Roman" w:hAnsi="Times New Roman" w:eastAsia="宋体"/>
          <w:b w:val="0"/>
          <w:i w:val="0"/>
          <w:sz w:val="21"/>
        </w:rPr>
        <w:t>）、同一预测期限与同一单位下的主张进行分组比对，按 4.4.3 的规则将其判为事实冲突、方向冲突或偏好差异，并生成结构化 Conflict 对象。</w:t>
      </w:r>
    </w:p>
    <w:p>
      <w:r>
        <w:rPr>
          <w:rFonts w:ascii="Times New Roman" w:hAnsi="Times New Roman" w:eastAsia="宋体"/>
          <w:b w:val="0"/>
          <w:i w:val="0"/>
          <w:sz w:val="21"/>
        </w:rPr>
        <w:t>R4 协调处理：事实冲突以权威工具重算或权威数据源为准；方向冲突追加工具调用与证据，仍不一致则升级协调器或人工；偏好差异保留并分主体呈现；未解决冲突触发 HITL。</w:t>
      </w:r>
    </w:p>
    <w:p>
      <w:r>
        <w:rPr>
          <w:rFonts w:ascii="Times New Roman" w:hAnsi="Times New Roman" w:eastAsia="宋体"/>
          <w:b w:val="0"/>
          <w:i w:val="0"/>
          <w:sz w:val="21"/>
        </w:rPr>
        <w:t>R5 汇总输出：生成 DecisionCard，含共享信号、三份 RiskCard、冲突、核验报告、协同统计、最终建议与审计轨迹引用。</w:t>
      </w:r>
    </w:p>
    <w:p>
      <w:pPr>
        <w:spacing w:after="40" w:line="264" w:lineRule="auto"/>
        <w:ind w:left="227"/>
        <w:shd w:fill="F2F2F2"/>
      </w:pPr>
      <w:r>
        <w:rPr>
          <w:rFonts w:ascii="Consolas" w:hAnsi="Consolas" w:eastAsia="Consolas"/>
          <w:b w:val="0"/>
          <w:i w:val="0"/>
          <w:color w:val="333333"/>
          <w:sz w:val="17"/>
        </w:rPr>
        <w:t>算法 2  多智能体协同协议 R0–R5（评估日 t，模式 m）</w:t>
        <w:br/>
        <w:t>输入：RoleSpec 集合 {ρ_r}，共享信号 s_t，评估日 t，预算 B，最大协调轮数 K</w:t>
        <w:br/>
        <w:t>输出：DecisionCard D_t</w:t>
        <w:br/>
        <w:br/>
        <w:t xml:space="preserve"> 1: R0：for r ∈ R 并行执行 算法 1(r, AgentContext(round = 0, peer_evidence = ∅))</w:t>
        <w:br/>
        <w:t xml:space="preserve"> 2: R1：将各 AgentOutput.evidence 写入黑板；按 hash 去重；分配 evidence_id</w:t>
        <w:br/>
        <w:t xml:space="preserve"> 3: k ← 0；conflicts ← ∅；issues ← ∅</w:t>
        <w:br/>
        <w:t xml:space="preserve"> 4: while k &lt; K 且预算未耗尽 do</w:t>
        <w:br/>
        <w:t xml:space="preserve"> 5:     R2：for r ∈ R do 分配 1–2 条他人数值主张，调用授权工具重算并写回验证证据</w:t>
        <w:br/>
        <w:t xml:space="preserve"> 6:     R3：按 (subject, horizon, unit) 分组；执行冲突判定（式 4-17、4-18）并生成 Conflict</w:t>
        <w:br/>
        <w:t xml:space="preserve"> 7:     R4：for conflict ∈ conflicts do</w:t>
        <w:br/>
        <w:t xml:space="preserve"> 8:         若为事实冲突：权威工具重算或权威数据源复核，更新主张状态</w:t>
        <w:br/>
        <w:t xml:space="preserve"> 9:         若为方向冲突：追加证据；仍不一致则升级 Coordinator</w:t>
        <w:br/>
        <w:t>10:         若为偏好差异：保留，不判为错误</w:t>
        <w:br/>
        <w:t>11:         若未解决：触发 HITL，记录人工处理结果</w:t>
        <w:br/>
        <w:t>12:     if conflicts 已全部解决 或 预算耗尽 then break</w:t>
        <w:br/>
        <w:t>13:     k ← k + 1</w:t>
        <w:br/>
        <w:t>14: R5：汇总 DecisionCard（公共事实 + 分主体建议 + 分歧说明 + 核验状态 + 协同成本）</w:t>
        <w:br/>
        <w:t>15: return DecisionCard</w:t>
      </w:r>
    </w:p>
    <w:p>
      <w:pPr>
        <w:jc w:val="center"/>
      </w:pPr>
      <w:r>
        <w:drawing>
          <wp:inline xmlns:a="http://schemas.openxmlformats.org/drawingml/2006/main" xmlns:pic="http://schemas.openxmlformats.org/drawingml/2006/picture">
            <wp:extent cx="5760000" cy="4780800"/>
            <wp:docPr id="4" name="Picture 4"/>
            <wp:cNvGraphicFramePr>
              <a:graphicFrameLocks noChangeAspect="1"/>
            </wp:cNvGraphicFramePr>
            <a:graphic>
              <a:graphicData uri="http://schemas.openxmlformats.org/drawingml/2006/picture">
                <pic:pic>
                  <pic:nvPicPr>
                    <pic:cNvPr id="0" name="fig_04.png"/>
                    <pic:cNvPicPr/>
                  </pic:nvPicPr>
                  <pic:blipFill>
                    <a:blip r:embed="rId13"/>
                    <a:stretch>
                      <a:fillRect/>
                    </a:stretch>
                  </pic:blipFill>
                  <pic:spPr>
                    <a:xfrm>
                      <a:off x="0" y="0"/>
                      <a:ext cx="5760000" cy="4780800"/>
                    </a:xfrm>
                    <a:prstGeom prst="rect"/>
                  </pic:spPr>
                </pic:pic>
              </a:graphicData>
            </a:graphic>
          </wp:inline>
        </w:drawing>
      </w:r>
    </w:p>
    <w:p>
      <w:pPr>
        <w:spacing w:after="160"/>
        <w:jc w:val="center"/>
      </w:pPr>
      <w:r>
        <w:rPr>
          <w:rFonts w:ascii="Times New Roman" w:hAnsi="Times New Roman" w:eastAsia="宋体"/>
          <w:b/>
          <w:i w:val="0"/>
          <w:color w:val="1F3864"/>
          <w:sz w:val="19"/>
        </w:rPr>
        <w:t>图 4-4 三智能体协同时序（R0–R5）</w:t>
      </w:r>
    </w:p>
    <w:p>
      <w:pPr>
        <w:pStyle w:val="Heading3"/>
      </w:pPr>
      <w:r>
        <w:rPr>
          <w:rFonts w:ascii="Times New Roman" w:hAnsi="Times New Roman" w:eastAsia="宋体"/>
          <w:b w:val="0"/>
          <w:i w:val="0"/>
          <w:sz w:val="23"/>
        </w:rPr>
        <w:t>4.4.3 冲突分类与仲裁规则</w:t>
      </w:r>
    </w:p>
    <w:p>
      <w:r>
        <w:rPr>
          <w:rFonts w:ascii="Times New Roman" w:hAnsi="Times New Roman" w:eastAsia="宋体"/>
          <w:b w:val="0"/>
          <w:i w:val="0"/>
          <w:sz w:val="21"/>
        </w:rPr>
        <w:t xml:space="preserve">冲突判定必须避免“伪冲突”：同一数值在不同单位、不同期限或不同口径下的比较没有意义。因此，判定前先做规范化：主张的 </w:t>
      </w:r>
      <w:r>
        <w:rPr>
          <w:rFonts w:ascii="Consolas" w:hAnsi="Consolas" w:eastAsia="Consolas"/>
          <w:b w:val="0"/>
          <w:i w:val="0"/>
          <w:color w:val="8B1E3F"/>
          <w:sz w:val="20"/>
        </w:rPr>
        <w:t>subject</w:t>
      </w:r>
      <w:r>
        <w:rPr>
          <w:rFonts w:ascii="Times New Roman" w:hAnsi="Times New Roman" w:eastAsia="宋体"/>
          <w:b w:val="0"/>
          <w:i w:val="0"/>
          <w:sz w:val="21"/>
        </w:rPr>
        <w:t xml:space="preserve"> 对齐到统一比较对象，单位换算到同一量纲，预测期限与 </w:t>
      </w:r>
      <w:r>
        <w:rPr>
          <w:rFonts w:ascii="Consolas" w:hAnsi="Consolas" w:eastAsia="Consolas"/>
          <w:b w:val="0"/>
          <w:i w:val="0"/>
          <w:color w:val="8B1E3F"/>
          <w:sz w:val="20"/>
        </w:rPr>
        <w:t>as_of</w:t>
      </w:r>
      <w:r>
        <w:rPr>
          <w:rFonts w:ascii="Times New Roman" w:hAnsi="Times New Roman" w:eastAsia="宋体"/>
          <w:b w:val="0"/>
          <w:i w:val="0"/>
          <w:sz w:val="21"/>
        </w:rPr>
        <w:t xml:space="preserve"> 必须一致，证据须通过时点核验。只有规范化之后仍不一致，才进入冲突分类。分类规则如下（另见表 4-7）。</w:t>
      </w:r>
    </w:p>
    <w:p>
      <w:r>
        <w:rPr>
          <w:rFonts w:ascii="Times New Roman" w:hAnsi="Times New Roman" w:eastAsia="宋体"/>
          <w:b w:val="0"/>
          <w:i w:val="0"/>
          <w:sz w:val="21"/>
        </w:rPr>
        <w:t>事实冲突指同一比较对象、同一期限与单位下，两个数值主张的差异超出容差，且差异不能由口径与时点解释：</w:t>
      </w:r>
    </w:p>
    <w:p>
      <w:pPr>
        <w:spacing w:before="80" w:after="80"/>
        <w:jc w:val="center"/>
      </w:pPr>
      <w:r>
        <w:rPr>
          <w:rFonts w:ascii="Times New Roman" w:hAnsi="Times New Roman" w:eastAsia="宋体"/>
          <w:b w:val="0"/>
          <w:i/>
          <w:color w:val="1F3864"/>
          <w:sz w:val="21"/>
        </w:rPr>
        <w:t>v_a-v_b&gt;(ε_abs, ε_rel·( v_a, v_b)) 4-17</w:t>
      </w:r>
    </w:p>
    <w:p>
      <w:r>
        <w:rPr>
          <w:rFonts w:ascii="Times New Roman" w:hAnsi="Times New Roman" w:eastAsia="宋体"/>
          <w:b w:val="0"/>
          <w:i w:val="0"/>
          <w:sz w:val="21"/>
        </w:rPr>
        <w:t xml:space="preserve">方向冲突指数值证据并不矛盾，但两个方向主张的符号相反，两份风险卡的风险等级判断跨越相反区间（例如一方判为高或极高、另一方判为低或中）。以 </w:t>
      </w:r>
      <w:r>
        <w:rPr>
          <w:rFonts w:ascii="Times New Roman" w:hAnsi="Times New Roman" w:eastAsia="宋体"/>
          <w:b w:val="0"/>
          <w:i/>
          <w:color w:val="1F3864"/>
          <w:sz w:val="21"/>
        </w:rPr>
        <w:t>d(c)∈+1,-1,0</w:t>
      </w:r>
      <w:r>
        <w:rPr>
          <w:rFonts w:ascii="Times New Roman" w:hAnsi="Times New Roman" w:eastAsia="宋体"/>
          <w:b w:val="0"/>
          <w:i w:val="0"/>
          <w:sz w:val="21"/>
        </w:rPr>
        <w:t xml:space="preserve"> 表示方向主张的符号，则方向冲突条件可写为</w:t>
      </w:r>
    </w:p>
    <w:p>
      <w:pPr>
        <w:spacing w:before="80" w:after="80"/>
        <w:jc w:val="center"/>
      </w:pPr>
      <w:r>
        <w:rPr>
          <w:rFonts w:ascii="Times New Roman" w:hAnsi="Times New Roman" w:eastAsia="宋体"/>
          <w:b w:val="0"/>
          <w:i/>
          <w:color w:val="1F3864"/>
          <w:sz w:val="21"/>
        </w:rPr>
        <w:t>d(c_a)· d(c_b)=-1 或 level(r_a)∈high,critical level(r_b)∈low,medium 4-18</w:t>
      </w:r>
    </w:p>
    <w:p>
      <w:r>
        <w:rPr>
          <w:rFonts w:ascii="Times New Roman" w:hAnsi="Times New Roman" w:eastAsia="宋体"/>
          <w:b w:val="0"/>
          <w:i w:val="0"/>
          <w:sz w:val="21"/>
        </w:rPr>
        <w:t>偏好差异指证据一致、数值一致，但因角色阈值、损失权重或建议口径不同而产生的等级或建议差异。偏好差异是主体差异的合理表达，不是错误，协调规则要求保留并分主体呈现，而不是强行统一。</w:t>
      </w:r>
    </w:p>
    <w:p>
      <w:pPr>
        <w:keepNext/>
        <w:spacing w:before="120" w:after="40"/>
        <w:jc w:val="center"/>
      </w:pPr>
      <w:r>
        <w:rPr>
          <w:rFonts w:ascii="Times New Roman" w:hAnsi="Times New Roman" w:eastAsia="宋体"/>
          <w:b/>
          <w:i w:val="0"/>
          <w:color w:val="1F3864"/>
          <w:sz w:val="19"/>
        </w:rPr>
        <w:t>表 4-7 冲突分类与仲裁规则</w:t>
      </w:r>
    </w:p>
    <w:tbl>
      <w:tblPr>
        <w:tblStyle w:val="TableGrid"/>
        <w:tblW w:type="auto" w:w="0"/>
        <w:jc w:val="center"/>
        <w:tblLayout w:type="autofit"/>
        <w:tblLook w:firstColumn="1" w:firstRow="1" w:lastColumn="0" w:lastRow="0" w:noHBand="0" w:noVBand="1" w:val="04A0"/>
      </w:tblPr>
      <w:tblGrid>
        <w:gridCol w:w="1860"/>
        <w:gridCol w:w="1860"/>
        <w:gridCol w:w="1860"/>
        <w:gridCol w:w="1860"/>
        <w:gridCol w:w="1860"/>
      </w:tblGrid>
      <w:tr>
        <w:tc>
          <w:tcPr>
            <w:tcW w:type="dxa" w:w="1860"/>
          </w:tcPr>
          <w:p>
            <w:pPr>
              <w:spacing w:after="20" w:line="276" w:lineRule="auto"/>
            </w:pPr>
            <w:r>
              <w:rPr>
                <w:b/>
              </w:rPr>
            </w:r>
            <w:r>
              <w:rPr>
                <w:rFonts w:ascii="Times New Roman" w:hAnsi="Times New Roman" w:eastAsia="宋体"/>
                <w:b/>
                <w:i w:val="0"/>
                <w:sz w:val="17"/>
              </w:rPr>
              <w:t>冲突类型</w:t>
            </w:r>
          </w:p>
        </w:tc>
        <w:tc>
          <w:tcPr>
            <w:tcW w:type="dxa" w:w="1860"/>
          </w:tcPr>
          <w:p>
            <w:pPr>
              <w:spacing w:after="20" w:line="276" w:lineRule="auto"/>
            </w:pPr>
            <w:r>
              <w:rPr>
                <w:b/>
              </w:rPr>
            </w:r>
            <w:r>
              <w:rPr>
                <w:rFonts w:ascii="Times New Roman" w:hAnsi="Times New Roman" w:eastAsia="宋体"/>
                <w:b/>
                <w:i w:val="0"/>
                <w:sz w:val="17"/>
              </w:rPr>
              <w:t>判定条件</w:t>
            </w:r>
          </w:p>
        </w:tc>
        <w:tc>
          <w:tcPr>
            <w:tcW w:type="dxa" w:w="1860"/>
          </w:tcPr>
          <w:p>
            <w:pPr>
              <w:spacing w:after="20" w:line="276" w:lineRule="auto"/>
            </w:pPr>
            <w:r>
              <w:rPr>
                <w:b/>
              </w:rPr>
            </w:r>
            <w:r>
              <w:rPr>
                <w:rFonts w:ascii="Times New Roman" w:hAnsi="Times New Roman" w:eastAsia="宋体"/>
                <w:b/>
                <w:i w:val="0"/>
                <w:sz w:val="17"/>
              </w:rPr>
              <w:t>典型示例</w:t>
            </w:r>
          </w:p>
        </w:tc>
        <w:tc>
          <w:tcPr>
            <w:tcW w:type="dxa" w:w="1860"/>
          </w:tcPr>
          <w:p>
            <w:pPr>
              <w:spacing w:after="20" w:line="276" w:lineRule="auto"/>
            </w:pPr>
            <w:r>
              <w:rPr>
                <w:b/>
              </w:rPr>
            </w:r>
            <w:r>
              <w:rPr>
                <w:rFonts w:ascii="Times New Roman" w:hAnsi="Times New Roman" w:eastAsia="宋体"/>
                <w:b/>
                <w:i w:val="0"/>
                <w:sz w:val="17"/>
              </w:rPr>
              <w:t>仲裁规则</w:t>
            </w:r>
          </w:p>
        </w:tc>
        <w:tc>
          <w:tcPr>
            <w:tcW w:type="dxa" w:w="1860"/>
          </w:tcPr>
          <w:p>
            <w:pPr>
              <w:spacing w:after="20" w:line="276" w:lineRule="auto"/>
            </w:pPr>
            <w:r>
              <w:rPr>
                <w:b/>
              </w:rPr>
            </w:r>
            <w:r>
              <w:rPr>
                <w:rFonts w:ascii="Times New Roman" w:hAnsi="Times New Roman" w:eastAsia="宋体"/>
                <w:b/>
                <w:i w:val="0"/>
                <w:sz w:val="17"/>
              </w:rPr>
              <w:t>处置结果</w:t>
            </w:r>
          </w:p>
        </w:tc>
      </w:tr>
      <w:tr>
        <w:tc>
          <w:tcPr>
            <w:tcW w:type="dxa" w:w="1860"/>
          </w:tcPr>
          <w:p>
            <w:pPr>
              <w:spacing w:after="20" w:line="276" w:lineRule="auto"/>
            </w:pPr>
            <w:r/>
            <w:r>
              <w:rPr>
                <w:rFonts w:ascii="Times New Roman" w:hAnsi="Times New Roman" w:eastAsia="宋体"/>
                <w:b w:val="0"/>
                <w:i w:val="0"/>
                <w:sz w:val="17"/>
              </w:rPr>
              <w:t>事实冲突（fact）</w:t>
            </w:r>
          </w:p>
        </w:tc>
        <w:tc>
          <w:tcPr>
            <w:tcW w:type="dxa" w:w="1860"/>
          </w:tcPr>
          <w:p>
            <w:pPr>
              <w:spacing w:after="20" w:line="276" w:lineRule="auto"/>
            </w:pPr>
            <w:r/>
            <w:r>
              <w:rPr>
                <w:rFonts w:ascii="Times New Roman" w:hAnsi="Times New Roman" w:eastAsia="宋体"/>
                <w:b w:val="0"/>
                <w:i w:val="0"/>
                <w:sz w:val="17"/>
              </w:rPr>
              <w:t>同对象、同期限、同单位下数值差异超出容差（式 4-17），且无法由口径或时点解释</w:t>
            </w:r>
          </w:p>
        </w:tc>
        <w:tc>
          <w:tcPr>
            <w:tcW w:type="dxa" w:w="1860"/>
          </w:tcPr>
          <w:p>
            <w:pPr>
              <w:spacing w:after="20" w:line="276" w:lineRule="auto"/>
            </w:pPr>
            <w:r/>
            <w:r>
              <w:rPr>
                <w:rFonts w:ascii="Times New Roman" w:hAnsi="Times New Roman" w:eastAsia="宋体"/>
                <w:b w:val="0"/>
                <w:i w:val="0"/>
                <w:sz w:val="17"/>
              </w:rPr>
              <w:t>两角色引用的同一资金流指标数值不同，其一源于不同快照版本</w:t>
            </w:r>
          </w:p>
        </w:tc>
        <w:tc>
          <w:tcPr>
            <w:tcW w:type="dxa" w:w="1860"/>
          </w:tcPr>
          <w:p>
            <w:pPr>
              <w:spacing w:after="20" w:line="276" w:lineRule="auto"/>
            </w:pPr>
            <w:r/>
            <w:r>
              <w:rPr>
                <w:rFonts w:ascii="Times New Roman" w:hAnsi="Times New Roman" w:eastAsia="宋体"/>
                <w:b w:val="0"/>
                <w:i w:val="0"/>
                <w:sz w:val="17"/>
              </w:rPr>
              <w:t>以证据等级最高者为准：工具重算高于权威数据源，权威数据源高于文本引用，文本引用高于语言模型推断；必要时要求重算</w:t>
            </w:r>
          </w:p>
        </w:tc>
        <w:tc>
          <w:tcPr>
            <w:tcW w:type="dxa" w:w="1860"/>
          </w:tcPr>
          <w:p>
            <w:pPr>
              <w:spacing w:after="20" w:line="276" w:lineRule="auto"/>
            </w:pPr>
            <w:r/>
            <w:r>
              <w:rPr>
                <w:rFonts w:ascii="Times New Roman" w:hAnsi="Times New Roman" w:eastAsia="宋体"/>
                <w:b w:val="0"/>
                <w:i w:val="0"/>
                <w:sz w:val="17"/>
              </w:rPr>
              <w:t>更新错误主张状态；无法重算则升级</w:t>
            </w:r>
          </w:p>
        </w:tc>
      </w:tr>
      <w:tr>
        <w:tc>
          <w:tcPr>
            <w:tcW w:type="dxa" w:w="1860"/>
          </w:tcPr>
          <w:p>
            <w:pPr>
              <w:spacing w:after="20" w:line="276" w:lineRule="auto"/>
            </w:pPr>
            <w:r/>
            <w:r>
              <w:rPr>
                <w:rFonts w:ascii="Times New Roman" w:hAnsi="Times New Roman" w:eastAsia="宋体"/>
                <w:b w:val="0"/>
                <w:i w:val="0"/>
                <w:sz w:val="17"/>
              </w:rPr>
              <w:t>方向冲突（directional）</w:t>
            </w:r>
          </w:p>
        </w:tc>
        <w:tc>
          <w:tcPr>
            <w:tcW w:type="dxa" w:w="1860"/>
          </w:tcPr>
          <w:p>
            <w:pPr>
              <w:spacing w:after="20" w:line="276" w:lineRule="auto"/>
            </w:pPr>
            <w:r/>
            <w:r>
              <w:rPr>
                <w:rFonts w:ascii="Times New Roman" w:hAnsi="Times New Roman" w:eastAsia="宋体"/>
                <w:b w:val="0"/>
                <w:i w:val="0"/>
                <w:sz w:val="17"/>
              </w:rPr>
              <w:t>数值证据不矛盾，但方向主张符号相反，或风险等级判断相反（式 4-18）</w:t>
            </w:r>
          </w:p>
        </w:tc>
        <w:tc>
          <w:tcPr>
            <w:tcW w:type="dxa" w:w="1860"/>
          </w:tcPr>
          <w:p>
            <w:pPr>
              <w:spacing w:after="20" w:line="276" w:lineRule="auto"/>
            </w:pPr>
            <w:r/>
            <w:r>
              <w:rPr>
                <w:rFonts w:ascii="Times New Roman" w:hAnsi="Times New Roman" w:eastAsia="宋体"/>
                <w:b w:val="0"/>
                <w:i w:val="0"/>
                <w:sz w:val="17"/>
              </w:rPr>
              <w:t>一方判断外溢加剧，另一方判断风险可控，双方证据均合规</w:t>
            </w:r>
          </w:p>
        </w:tc>
        <w:tc>
          <w:tcPr>
            <w:tcW w:type="dxa" w:w="1860"/>
          </w:tcPr>
          <w:p>
            <w:pPr>
              <w:spacing w:after="20" w:line="276" w:lineRule="auto"/>
            </w:pPr>
            <w:r/>
            <w:r>
              <w:rPr>
                <w:rFonts w:ascii="Times New Roman" w:hAnsi="Times New Roman" w:eastAsia="宋体"/>
                <w:b w:val="0"/>
                <w:i w:val="0"/>
                <w:sz w:val="17"/>
              </w:rPr>
              <w:t>追加证据（补充工具与信息权限内检索）；由协调器组织一次定向复核；仍不一致则升级</w:t>
            </w:r>
          </w:p>
        </w:tc>
        <w:tc>
          <w:tcPr>
            <w:tcW w:type="dxa" w:w="1860"/>
          </w:tcPr>
          <w:p>
            <w:pPr>
              <w:spacing w:after="20" w:line="276" w:lineRule="auto"/>
            </w:pPr>
            <w:r/>
            <w:r>
              <w:rPr>
                <w:rFonts w:ascii="Times New Roman" w:hAnsi="Times New Roman" w:eastAsia="宋体"/>
                <w:b w:val="0"/>
                <w:i w:val="0"/>
                <w:sz w:val="17"/>
              </w:rPr>
              <w:t>保留分歧并说明依据；升级人工</w:t>
            </w:r>
          </w:p>
        </w:tc>
      </w:tr>
      <w:tr>
        <w:tc>
          <w:tcPr>
            <w:tcW w:type="dxa" w:w="1860"/>
          </w:tcPr>
          <w:p>
            <w:pPr>
              <w:spacing w:after="20" w:line="276" w:lineRule="auto"/>
            </w:pPr>
            <w:r/>
            <w:r>
              <w:rPr>
                <w:rFonts w:ascii="Times New Roman" w:hAnsi="Times New Roman" w:eastAsia="宋体"/>
                <w:b w:val="0"/>
                <w:i w:val="0"/>
                <w:sz w:val="17"/>
              </w:rPr>
              <w:t>偏好差异（preference）</w:t>
            </w:r>
          </w:p>
        </w:tc>
        <w:tc>
          <w:tcPr>
            <w:tcW w:type="dxa" w:w="1860"/>
          </w:tcPr>
          <w:p>
            <w:pPr>
              <w:spacing w:after="20" w:line="276" w:lineRule="auto"/>
            </w:pPr>
            <w:r/>
            <w:r>
              <w:rPr>
                <w:rFonts w:ascii="Times New Roman" w:hAnsi="Times New Roman" w:eastAsia="宋体"/>
                <w:b w:val="0"/>
                <w:i w:val="0"/>
                <w:sz w:val="17"/>
              </w:rPr>
              <w:t>证据与数值一致，但阈值、损失权重或建议口径不同</w:t>
            </w:r>
          </w:p>
        </w:tc>
        <w:tc>
          <w:tcPr>
            <w:tcW w:type="dxa" w:w="1860"/>
          </w:tcPr>
          <w:p>
            <w:pPr>
              <w:spacing w:after="20" w:line="276" w:lineRule="auto"/>
            </w:pPr>
            <w:r/>
            <w:r>
              <w:rPr>
                <w:rFonts w:ascii="Times New Roman" w:hAnsi="Times New Roman" w:eastAsia="宋体"/>
                <w:b w:val="0"/>
                <w:i w:val="0"/>
                <w:sz w:val="17"/>
              </w:rPr>
              <w:t>同一高压力概率下，监管判为高、投资判为中，源于阈值 0.50 与 0.45 的差异</w:t>
            </w:r>
          </w:p>
        </w:tc>
        <w:tc>
          <w:tcPr>
            <w:tcW w:type="dxa" w:w="1860"/>
          </w:tcPr>
          <w:p>
            <w:pPr>
              <w:spacing w:after="20" w:line="276" w:lineRule="auto"/>
            </w:pPr>
            <w:r/>
            <w:r>
              <w:rPr>
                <w:rFonts w:ascii="Times New Roman" w:hAnsi="Times New Roman" w:eastAsia="宋体"/>
                <w:b w:val="0"/>
                <w:i w:val="0"/>
                <w:sz w:val="17"/>
              </w:rPr>
              <w:t>不仲裁、不覆盖；在决策卡中并列呈现，并标注差异来源</w:t>
            </w:r>
          </w:p>
        </w:tc>
        <w:tc>
          <w:tcPr>
            <w:tcW w:type="dxa" w:w="1860"/>
          </w:tcPr>
          <w:p>
            <w:pPr>
              <w:spacing w:after="20" w:line="276" w:lineRule="auto"/>
            </w:pPr>
            <w:r/>
            <w:r>
              <w:rPr>
                <w:rFonts w:ascii="Times New Roman" w:hAnsi="Times New Roman" w:eastAsia="宋体"/>
                <w:b w:val="0"/>
                <w:i w:val="0"/>
                <w:sz w:val="17"/>
              </w:rPr>
              <w:t>保留为合法差异，计入偏好类记录</w:t>
            </w:r>
          </w:p>
        </w:tc>
      </w:tr>
    </w:tbl>
    <w:p>
      <w:pPr>
        <w:spacing w:after="40"/>
      </w:pPr>
    </w:p>
    <w:p>
      <w:r>
        <w:rPr>
          <w:rFonts w:ascii="Times New Roman" w:hAnsi="Times New Roman" w:eastAsia="宋体"/>
          <w:b w:val="0"/>
          <w:i w:val="0"/>
          <w:sz w:val="21"/>
        </w:rPr>
        <w:t xml:space="preserve">冲突仲裁遵循两条原则。其一是证据等级原则：冲突的解决依据证据强度而非角色权威，工具重算的证据等级最高，权威数据源次之，文本引用再次，语言模型推断最低。其二是偏好保护原则：由目标函数与阈值差异产生的主张差异不得被平均化或抹平，否则等于用一个隐含的单一偏好替代三类主体偏好，反而降低决策支持价值。处置结果记录在 Conflict 的 </w:t>
      </w:r>
      <w:r>
        <w:rPr>
          <w:rFonts w:ascii="Consolas" w:hAnsi="Consolas" w:eastAsia="Consolas"/>
          <w:b w:val="0"/>
          <w:i w:val="0"/>
          <w:color w:val="8B1E3F"/>
          <w:sz w:val="20"/>
        </w:rPr>
        <w:t>resolved</w:t>
      </w:r>
      <w:r>
        <w:rPr>
          <w:rFonts w:ascii="Times New Roman" w:hAnsi="Times New Roman" w:eastAsia="宋体"/>
          <w:b w:val="0"/>
          <w:i w:val="0"/>
          <w:sz w:val="21"/>
        </w:rPr>
        <w:t>、</w:t>
      </w:r>
      <w:r>
        <w:rPr>
          <w:rFonts w:ascii="Consolas" w:hAnsi="Consolas" w:eastAsia="Consolas"/>
          <w:b w:val="0"/>
          <w:i w:val="0"/>
          <w:color w:val="8B1E3F"/>
          <w:sz w:val="20"/>
        </w:rPr>
        <w:t>resolution</w:t>
      </w:r>
      <w:r>
        <w:rPr>
          <w:rFonts w:ascii="Times New Roman" w:hAnsi="Times New Roman" w:eastAsia="宋体"/>
          <w:b w:val="0"/>
          <w:i w:val="0"/>
          <w:sz w:val="21"/>
        </w:rPr>
        <w:t>、</w:t>
      </w:r>
      <w:r>
        <w:rPr>
          <w:rFonts w:ascii="Consolas" w:hAnsi="Consolas" w:eastAsia="Consolas"/>
          <w:b w:val="0"/>
          <w:i w:val="0"/>
          <w:color w:val="8B1E3F"/>
          <w:sz w:val="20"/>
        </w:rPr>
        <w:t>resolved_by</w:t>
      </w:r>
      <w:r>
        <w:rPr>
          <w:rFonts w:ascii="Times New Roman" w:hAnsi="Times New Roman" w:eastAsia="宋体"/>
          <w:b w:val="0"/>
          <w:i w:val="0"/>
          <w:sz w:val="21"/>
        </w:rPr>
        <w:t>（</w:t>
      </w:r>
      <w:r>
        <w:rPr>
          <w:rFonts w:ascii="Consolas" w:hAnsi="Consolas" w:eastAsia="Consolas"/>
          <w:b w:val="0"/>
          <w:i w:val="0"/>
          <w:color w:val="8B1E3F"/>
          <w:sz w:val="20"/>
        </w:rPr>
        <w:t>tool</w:t>
      </w:r>
      <w:r>
        <w:rPr>
          <w:rFonts w:ascii="Times New Roman" w:hAnsi="Times New Roman" w:eastAsia="宋体"/>
          <w:b w:val="0"/>
          <w:i w:val="0"/>
          <w:sz w:val="21"/>
        </w:rPr>
        <w:t>/</w:t>
      </w:r>
      <w:r>
        <w:rPr>
          <w:rFonts w:ascii="Consolas" w:hAnsi="Consolas" w:eastAsia="Consolas"/>
          <w:b w:val="0"/>
          <w:i w:val="0"/>
          <w:color w:val="8B1E3F"/>
          <w:sz w:val="20"/>
        </w:rPr>
        <w:t>authority</w:t>
      </w:r>
      <w:r>
        <w:rPr>
          <w:rFonts w:ascii="Times New Roman" w:hAnsi="Times New Roman" w:eastAsia="宋体"/>
          <w:b w:val="0"/>
          <w:i w:val="0"/>
          <w:sz w:val="21"/>
        </w:rPr>
        <w:t>/</w:t>
      </w:r>
      <w:r>
        <w:rPr>
          <w:rFonts w:ascii="Consolas" w:hAnsi="Consolas" w:eastAsia="Consolas"/>
          <w:b w:val="0"/>
          <w:i w:val="0"/>
          <w:color w:val="8B1E3F"/>
          <w:sz w:val="20"/>
        </w:rPr>
        <w:t>human</w:t>
      </w:r>
      <w:r>
        <w:rPr>
          <w:rFonts w:ascii="Times New Roman" w:hAnsi="Times New Roman" w:eastAsia="宋体"/>
          <w:b w:val="0"/>
          <w:i w:val="0"/>
          <w:sz w:val="21"/>
        </w:rPr>
        <w:t>/</w:t>
      </w:r>
      <w:r>
        <w:rPr>
          <w:rFonts w:ascii="Consolas" w:hAnsi="Consolas" w:eastAsia="Consolas"/>
          <w:b w:val="0"/>
          <w:i w:val="0"/>
          <w:color w:val="8B1E3F"/>
          <w:sz w:val="20"/>
        </w:rPr>
        <w:t>consensus</w:t>
      </w:r>
      <w:r>
        <w:rPr>
          <w:rFonts w:ascii="Times New Roman" w:hAnsi="Times New Roman" w:eastAsia="宋体"/>
          <w:b w:val="0"/>
          <w:i w:val="0"/>
          <w:sz w:val="21"/>
        </w:rPr>
        <w:t>/</w:t>
      </w:r>
      <w:r>
        <w:rPr>
          <w:rFonts w:ascii="Consolas" w:hAnsi="Consolas" w:eastAsia="Consolas"/>
          <w:b w:val="0"/>
          <w:i w:val="0"/>
          <w:color w:val="8B1E3F"/>
          <w:sz w:val="20"/>
        </w:rPr>
        <w:t>unresolved</w:t>
      </w:r>
      <w:r>
        <w:rPr>
          <w:rFonts w:ascii="Times New Roman" w:hAnsi="Times New Roman" w:eastAsia="宋体"/>
          <w:b w:val="0"/>
          <w:i w:val="0"/>
          <w:sz w:val="21"/>
        </w:rPr>
        <w:t xml:space="preserve">）与 </w:t>
      </w:r>
      <w:r>
        <w:rPr>
          <w:rFonts w:ascii="Consolas" w:hAnsi="Consolas" w:eastAsia="Consolas"/>
          <w:b w:val="0"/>
          <w:i w:val="0"/>
          <w:color w:val="8B1E3F"/>
          <w:sz w:val="20"/>
        </w:rPr>
        <w:t>severity</w:t>
      </w:r>
      <w:r>
        <w:rPr>
          <w:rFonts w:ascii="Times New Roman" w:hAnsi="Times New Roman" w:eastAsia="宋体"/>
          <w:b w:val="0"/>
          <w:i w:val="0"/>
          <w:sz w:val="21"/>
        </w:rPr>
        <w:t xml:space="preserve"> 字段中，并保留关联证据链。</w:t>
      </w:r>
    </w:p>
    <w:p>
      <w:pPr>
        <w:jc w:val="center"/>
      </w:pPr>
      <w:r>
        <w:drawing>
          <wp:inline xmlns:a="http://schemas.openxmlformats.org/drawingml/2006/main" xmlns:pic="http://schemas.openxmlformats.org/drawingml/2006/picture">
            <wp:extent cx="5760000" cy="7557120"/>
            <wp:docPr id="5" name="Picture 5"/>
            <wp:cNvGraphicFramePr>
              <a:graphicFrameLocks noChangeAspect="1"/>
            </wp:cNvGraphicFramePr>
            <a:graphic>
              <a:graphicData uri="http://schemas.openxmlformats.org/drawingml/2006/picture">
                <pic:pic>
                  <pic:nvPicPr>
                    <pic:cNvPr id="0" name="fig_05.png"/>
                    <pic:cNvPicPr/>
                  </pic:nvPicPr>
                  <pic:blipFill>
                    <a:blip r:embed="rId14"/>
                    <a:stretch>
                      <a:fillRect/>
                    </a:stretch>
                  </pic:blipFill>
                  <pic:spPr>
                    <a:xfrm>
                      <a:off x="0" y="0"/>
                      <a:ext cx="5760000" cy="7557120"/>
                    </a:xfrm>
                    <a:prstGeom prst="rect"/>
                  </pic:spPr>
                </pic:pic>
              </a:graphicData>
            </a:graphic>
          </wp:inline>
        </w:drawing>
      </w:r>
    </w:p>
    <w:p>
      <w:pPr>
        <w:pStyle w:val="Heading3"/>
      </w:pPr>
      <w:r>
        <w:rPr>
          <w:rFonts w:ascii="Times New Roman" w:hAnsi="Times New Roman" w:eastAsia="宋体"/>
          <w:b w:val="0"/>
          <w:i w:val="0"/>
          <w:sz w:val="23"/>
        </w:rPr>
        <w:t>4.4.4 人工接管与审计留痕</w:t>
      </w:r>
    </w:p>
    <w:p>
      <w:r>
        <w:rPr>
          <w:rFonts w:ascii="Times New Roman" w:hAnsi="Times New Roman" w:eastAsia="宋体"/>
          <w:b w:val="0"/>
          <w:i w:val="0"/>
          <w:sz w:val="21"/>
        </w:rPr>
        <w:t>人工接管（HITL）在五类情形触发：风险等级达到极高（</w:t>
      </w:r>
      <w:r>
        <w:rPr>
          <w:rFonts w:ascii="Consolas" w:hAnsi="Consolas" w:eastAsia="Consolas"/>
          <w:b w:val="0"/>
          <w:i w:val="0"/>
          <w:color w:val="8B1E3F"/>
          <w:sz w:val="20"/>
        </w:rPr>
        <w:t>critical</w:t>
      </w:r>
      <w:r>
        <w:rPr>
          <w:rFonts w:ascii="Times New Roman" w:hAnsi="Times New Roman" w:eastAsia="宋体"/>
          <w:b w:val="0"/>
          <w:i w:val="0"/>
          <w:sz w:val="21"/>
        </w:rPr>
        <w:t xml:space="preserve">）或共享信号为极高等级；存在未解决冲突；核验报告未通过（数值错误、引文缺失、时点泄漏或 schema 错误）；出现越权调用尝试；预算耗尽而任务未完成。人工操作限定为批准、修改或驳回三类，所有操作连同操作者、时间与理由写入审计轨迹；离线实验由 HITL 队列按预设策略自动处理并留痕，标记 escalated 的项保留待人工复核，并在决策卡 </w:t>
      </w:r>
      <w:r>
        <w:rPr>
          <w:rFonts w:ascii="Consolas" w:hAnsi="Consolas" w:eastAsia="Consolas"/>
          <w:b w:val="0"/>
          <w:i w:val="0"/>
          <w:color w:val="8B1E3F"/>
          <w:sz w:val="20"/>
        </w:rPr>
        <w:t>final_advice</w:t>
      </w:r>
      <w:r>
        <w:rPr>
          <w:rFonts w:ascii="Times New Roman" w:hAnsi="Times New Roman" w:eastAsia="宋体"/>
          <w:b w:val="0"/>
          <w:i w:val="0"/>
          <w:sz w:val="21"/>
        </w:rPr>
        <w:t xml:space="preserve"> 中提示。被人工修改后的结论以新版本记录，原结论不被覆盖。人工接管既对高风险与未解决分歧保留人类责任主体，也把“何时需要人”转化为可度量指标（人工复核需求），而非追求自动化程度。</w:t>
      </w:r>
    </w:p>
    <w:p>
      <w:r>
        <w:rPr>
          <w:rFonts w:ascii="Times New Roman" w:hAnsi="Times New Roman" w:eastAsia="宋体"/>
          <w:b w:val="0"/>
          <w:i w:val="0"/>
          <w:sz w:val="21"/>
        </w:rPr>
        <w:t>决策支持产物为 DecisionCard，其结构把三个层次的信息并列呈现：公共事实（共享信号、工具证据、知识引文）、主体差异化建议（三份 RiskCard 及其决策损失）、协同状态（冲突、核验报告、人工处理与协同成本）。运行时字段填充为：</w:t>
      </w:r>
      <w:r>
        <w:rPr>
          <w:rFonts w:ascii="Consolas" w:hAnsi="Consolas" w:eastAsia="Consolas"/>
          <w:b w:val="0"/>
          <w:i w:val="0"/>
          <w:color w:val="8B1E3F"/>
          <w:sz w:val="20"/>
        </w:rPr>
        <w:t>evidence</w:t>
      </w:r>
      <w:r>
        <w:rPr>
          <w:rFonts w:ascii="Times New Roman" w:hAnsi="Times New Roman" w:eastAsia="宋体"/>
          <w:b w:val="0"/>
          <w:i w:val="0"/>
          <w:sz w:val="21"/>
        </w:rPr>
        <w:t xml:space="preserve"> 保存黑板证据快照（去重后按 </w:t>
      </w:r>
      <w:r>
        <w:rPr>
          <w:rFonts w:ascii="Consolas" w:hAnsi="Consolas" w:eastAsia="Consolas"/>
          <w:b w:val="0"/>
          <w:i w:val="0"/>
          <w:color w:val="8B1E3F"/>
          <w:sz w:val="20"/>
        </w:rPr>
        <w:t>evidence_id</w:t>
      </w:r>
      <w:r>
        <w:rPr>
          <w:rFonts w:ascii="Times New Roman" w:hAnsi="Times New Roman" w:eastAsia="宋体"/>
          <w:b w:val="0"/>
          <w:i w:val="0"/>
          <w:sz w:val="21"/>
        </w:rPr>
        <w:t xml:space="preserve"> 排序）、</w:t>
      </w:r>
      <w:r>
        <w:rPr>
          <w:rFonts w:ascii="Consolas" w:hAnsi="Consolas" w:eastAsia="Consolas"/>
          <w:b w:val="0"/>
          <w:i w:val="0"/>
          <w:color w:val="8B1E3F"/>
          <w:sz w:val="20"/>
        </w:rPr>
        <w:t>verification</w:t>
      </w:r>
      <w:r>
        <w:rPr>
          <w:rFonts w:ascii="Times New Roman" w:hAnsi="Times New Roman" w:eastAsia="宋体"/>
          <w:b w:val="0"/>
          <w:i w:val="0"/>
          <w:sz w:val="21"/>
        </w:rPr>
        <w:t xml:space="preserve"> 写入核验报告、</w:t>
      </w:r>
      <w:r>
        <w:rPr>
          <w:rFonts w:ascii="Consolas" w:hAnsi="Consolas" w:eastAsia="Consolas"/>
          <w:b w:val="0"/>
          <w:i w:val="0"/>
          <w:color w:val="8B1E3F"/>
          <w:sz w:val="20"/>
        </w:rPr>
        <w:t>coordination</w:t>
      </w:r>
      <w:r>
        <w:rPr>
          <w:rFonts w:ascii="Times New Roman" w:hAnsi="Times New Roman" w:eastAsia="宋体"/>
          <w:b w:val="0"/>
          <w:i w:val="0"/>
          <w:sz w:val="21"/>
        </w:rPr>
        <w:t xml:space="preserve"> 写入轮次/用量/成本、</w:t>
      </w:r>
      <w:r>
        <w:rPr>
          <w:rFonts w:ascii="Consolas" w:hAnsi="Consolas" w:eastAsia="Consolas"/>
          <w:b w:val="0"/>
          <w:i w:val="0"/>
          <w:color w:val="8B1E3F"/>
          <w:sz w:val="20"/>
        </w:rPr>
        <w:t>final_advice</w:t>
      </w:r>
      <w:r>
        <w:rPr>
          <w:rFonts w:ascii="Times New Roman" w:hAnsi="Times New Roman" w:eastAsia="宋体"/>
          <w:b w:val="0"/>
          <w:i w:val="0"/>
          <w:sz w:val="21"/>
        </w:rPr>
        <w:t xml:space="preserve"> 汇总共享信号、三主体建议、分歧说明、核验状态、成本口径（C 与 J=L+μC）及人工复核提示，</w:t>
      </w:r>
      <w:r>
        <w:rPr>
          <w:rFonts w:ascii="Consolas" w:hAnsi="Consolas" w:eastAsia="Consolas"/>
          <w:b w:val="0"/>
          <w:i w:val="0"/>
          <w:color w:val="8B1E3F"/>
          <w:sz w:val="20"/>
        </w:rPr>
        <w:t>trace_ref</w:t>
      </w:r>
      <w:r>
        <w:rPr>
          <w:rFonts w:ascii="Times New Roman" w:hAnsi="Times New Roman" w:eastAsia="宋体"/>
          <w:b w:val="0"/>
          <w:i w:val="0"/>
          <w:sz w:val="21"/>
        </w:rPr>
        <w:t xml:space="preserve"> 指向审计轨迹，使决策卡可被完整复现与审查。</w:t>
      </w:r>
    </w:p>
    <w:p>
      <w:r>
        <w:rPr>
          <w:rFonts w:ascii="Times New Roman" w:hAnsi="Times New Roman" w:eastAsia="宋体"/>
          <w:b w:val="0"/>
          <w:i w:val="0"/>
          <w:sz w:val="21"/>
        </w:rPr>
        <w:t>审计轨迹以 TraceEvent 逐条记录：</w:t>
      </w:r>
      <w:r>
        <w:rPr>
          <w:rFonts w:ascii="Consolas" w:hAnsi="Consolas" w:eastAsia="Consolas"/>
          <w:b w:val="0"/>
          <w:i w:val="0"/>
          <w:color w:val="8B1E3F"/>
          <w:sz w:val="20"/>
        </w:rPr>
        <w:t>run_id</w:t>
      </w:r>
      <w:r>
        <w:rPr>
          <w:rFonts w:ascii="Times New Roman" w:hAnsi="Times New Roman" w:eastAsia="宋体"/>
          <w:b w:val="0"/>
          <w:i w:val="0"/>
          <w:sz w:val="21"/>
        </w:rPr>
        <w:t>、</w:t>
      </w:r>
      <w:r>
        <w:rPr>
          <w:rFonts w:ascii="Consolas" w:hAnsi="Consolas" w:eastAsia="Consolas"/>
          <w:b w:val="0"/>
          <w:i w:val="0"/>
          <w:color w:val="8B1E3F"/>
          <w:sz w:val="20"/>
        </w:rPr>
        <w:t>ts</w:t>
      </w:r>
      <w:r>
        <w:rPr>
          <w:rFonts w:ascii="Times New Roman" w:hAnsi="Times New Roman" w:eastAsia="宋体"/>
          <w:b w:val="0"/>
          <w:i w:val="0"/>
          <w:sz w:val="21"/>
        </w:rPr>
        <w:t>、</w:t>
      </w:r>
      <w:r>
        <w:rPr>
          <w:rFonts w:ascii="Consolas" w:hAnsi="Consolas" w:eastAsia="Consolas"/>
          <w:b w:val="0"/>
          <w:i w:val="0"/>
          <w:color w:val="8B1E3F"/>
          <w:sz w:val="20"/>
        </w:rPr>
        <w:t>step</w:t>
      </w:r>
      <w:r>
        <w:rPr>
          <w:rFonts w:ascii="Times New Roman" w:hAnsi="Times New Roman" w:eastAsia="宋体"/>
          <w:b w:val="0"/>
          <w:i w:val="0"/>
          <w:sz w:val="21"/>
        </w:rPr>
        <w:t>、</w:t>
      </w:r>
      <w:r>
        <w:rPr>
          <w:rFonts w:ascii="Consolas" w:hAnsi="Consolas" w:eastAsia="Consolas"/>
          <w:b w:val="0"/>
          <w:i w:val="0"/>
          <w:color w:val="8B1E3F"/>
          <w:sz w:val="20"/>
        </w:rPr>
        <w:t>role</w:t>
      </w:r>
      <w:r>
        <w:rPr>
          <w:rFonts w:ascii="Times New Roman" w:hAnsi="Times New Roman" w:eastAsia="宋体"/>
          <w:b w:val="0"/>
          <w:i w:val="0"/>
          <w:sz w:val="21"/>
        </w:rPr>
        <w:t>、</w:t>
      </w:r>
      <w:r>
        <w:rPr>
          <w:rFonts w:ascii="Consolas" w:hAnsi="Consolas" w:eastAsia="Consolas"/>
          <w:b w:val="0"/>
          <w:i w:val="0"/>
          <w:color w:val="8B1E3F"/>
          <w:sz w:val="20"/>
        </w:rPr>
        <w:t>action</w:t>
      </w:r>
      <w:r>
        <w:rPr>
          <w:rFonts w:ascii="Times New Roman" w:hAnsi="Times New Roman" w:eastAsia="宋体"/>
          <w:b w:val="0"/>
          <w:i w:val="0"/>
          <w:sz w:val="21"/>
        </w:rPr>
        <w:t>、</w:t>
      </w:r>
      <w:r>
        <w:rPr>
          <w:rFonts w:ascii="Consolas" w:hAnsi="Consolas" w:eastAsia="Consolas"/>
          <w:b w:val="0"/>
          <w:i w:val="0"/>
          <w:color w:val="8B1E3F"/>
          <w:sz w:val="20"/>
        </w:rPr>
        <w:t>tool</w:t>
      </w:r>
      <w:r>
        <w:rPr>
          <w:rFonts w:ascii="Times New Roman" w:hAnsi="Times New Roman" w:eastAsia="宋体"/>
          <w:b w:val="0"/>
          <w:i w:val="0"/>
          <w:sz w:val="21"/>
        </w:rPr>
        <w:t>、</w:t>
      </w:r>
      <w:r>
        <w:rPr>
          <w:rFonts w:ascii="Consolas" w:hAnsi="Consolas" w:eastAsia="Consolas"/>
          <w:b w:val="0"/>
          <w:i w:val="0"/>
          <w:color w:val="8B1E3F"/>
          <w:sz w:val="20"/>
        </w:rPr>
        <w:t>args_hash</w:t>
      </w:r>
      <w:r>
        <w:rPr>
          <w:rFonts w:ascii="Times New Roman" w:hAnsi="Times New Roman" w:eastAsia="宋体"/>
          <w:b w:val="0"/>
          <w:i w:val="0"/>
          <w:sz w:val="21"/>
        </w:rPr>
        <w:t>、</w:t>
      </w:r>
      <w:r>
        <w:rPr>
          <w:rFonts w:ascii="Consolas" w:hAnsi="Consolas" w:eastAsia="Consolas"/>
          <w:b w:val="0"/>
          <w:i w:val="0"/>
          <w:color w:val="8B1E3F"/>
          <w:sz w:val="20"/>
        </w:rPr>
        <w:t>result_hash</w:t>
      </w:r>
      <w:r>
        <w:rPr>
          <w:rFonts w:ascii="Times New Roman" w:hAnsi="Times New Roman" w:eastAsia="宋体"/>
          <w:b w:val="0"/>
          <w:i w:val="0"/>
          <w:sz w:val="21"/>
        </w:rPr>
        <w:t>、</w:t>
      </w:r>
      <w:r>
        <w:rPr>
          <w:rFonts w:ascii="Consolas" w:hAnsi="Consolas" w:eastAsia="Consolas"/>
          <w:b w:val="0"/>
          <w:i w:val="0"/>
          <w:color w:val="8B1E3F"/>
          <w:sz w:val="20"/>
        </w:rPr>
        <w:t>detail</w:t>
      </w:r>
      <w:r>
        <w:rPr>
          <w:rFonts w:ascii="Times New Roman" w:hAnsi="Times New Roman" w:eastAsia="宋体"/>
          <w:b w:val="0"/>
          <w:i w:val="0"/>
          <w:sz w:val="21"/>
        </w:rPr>
        <w:t>、</w:t>
      </w:r>
      <w:r>
        <w:rPr>
          <w:rFonts w:ascii="Consolas" w:hAnsi="Consolas" w:eastAsia="Consolas"/>
          <w:b w:val="0"/>
          <w:i w:val="0"/>
          <w:color w:val="8B1E3F"/>
          <w:sz w:val="20"/>
        </w:rPr>
        <w:t>latency_ms</w:t>
      </w:r>
      <w:r>
        <w:rPr>
          <w:rFonts w:ascii="Times New Roman" w:hAnsi="Times New Roman" w:eastAsia="宋体"/>
          <w:b w:val="0"/>
          <w:i w:val="0"/>
          <w:sz w:val="21"/>
        </w:rPr>
        <w:t xml:space="preserve"> 与 </w:t>
      </w:r>
      <w:r>
        <w:rPr>
          <w:rFonts w:ascii="Consolas" w:hAnsi="Consolas" w:eastAsia="Consolas"/>
          <w:b w:val="0"/>
          <w:i w:val="0"/>
          <w:color w:val="8B1E3F"/>
          <w:sz w:val="20"/>
        </w:rPr>
        <w:t>tokens</w:t>
      </w:r>
      <w:r>
        <w:rPr>
          <w:rFonts w:ascii="Times New Roman" w:hAnsi="Times New Roman" w:eastAsia="宋体"/>
          <w:b w:val="0"/>
          <w:i w:val="0"/>
          <w:sz w:val="21"/>
        </w:rPr>
        <w:t xml:space="preserve">。其中 </w:t>
      </w:r>
      <w:r>
        <w:rPr>
          <w:rFonts w:ascii="Consolas" w:hAnsi="Consolas" w:eastAsia="Consolas"/>
          <w:b w:val="0"/>
          <w:i w:val="0"/>
          <w:color w:val="8B1E3F"/>
          <w:sz w:val="20"/>
        </w:rPr>
        <w:t>action</w:t>
      </w:r>
      <w:r>
        <w:rPr>
          <w:rFonts w:ascii="Times New Roman" w:hAnsi="Times New Roman" w:eastAsia="宋体"/>
          <w:b w:val="0"/>
          <w:i w:val="0"/>
          <w:sz w:val="21"/>
        </w:rPr>
        <w:t xml:space="preserve"> 覆盖信号生成、工具调用、模型调用、主张形成、冲突、核验、人工处理与汇总等环节。轨迹以 JSONL 追加写入 </w:t>
      </w:r>
      <w:r>
        <w:rPr>
          <w:rFonts w:ascii="Consolas" w:hAnsi="Consolas" w:eastAsia="Consolas"/>
          <w:b w:val="0"/>
          <w:i w:val="0"/>
          <w:color w:val="8B1E3F"/>
          <w:sz w:val="20"/>
        </w:rPr>
        <w:t>artifacts/traces/&lt;run_id&gt;.jsonl</w:t>
      </w:r>
      <w:r>
        <w:rPr>
          <w:rFonts w:ascii="Times New Roman" w:hAnsi="Times New Roman" w:eastAsia="宋体"/>
          <w:b w:val="0"/>
          <w:i w:val="0"/>
          <w:sz w:val="21"/>
        </w:rPr>
        <w:t xml:space="preserve">，决策卡快照写入同目录 </w:t>
      </w:r>
      <w:r>
        <w:rPr>
          <w:rFonts w:ascii="Consolas" w:hAnsi="Consolas" w:eastAsia="Consolas"/>
          <w:b w:val="0"/>
          <w:i w:val="0"/>
          <w:color w:val="8B1E3F"/>
          <w:sz w:val="20"/>
        </w:rPr>
        <w:t>&lt;run_id&gt;.decision.json</w:t>
      </w:r>
      <w:r>
        <w:rPr>
          <w:rFonts w:ascii="Times New Roman" w:hAnsi="Times New Roman" w:eastAsia="宋体"/>
          <w:b w:val="0"/>
          <w:i w:val="0"/>
          <w:sz w:val="21"/>
        </w:rPr>
        <w:t>，</w:t>
      </w:r>
      <w:r>
        <w:rPr>
          <w:rFonts w:ascii="Consolas" w:hAnsi="Consolas" w:eastAsia="Consolas"/>
          <w:b w:val="0"/>
          <w:i w:val="0"/>
          <w:color w:val="8B1E3F"/>
          <w:sz w:val="20"/>
        </w:rPr>
        <w:t>trace_ref</w:t>
      </w:r>
      <w:r>
        <w:rPr>
          <w:rFonts w:ascii="Times New Roman" w:hAnsi="Times New Roman" w:eastAsia="宋体"/>
          <w:b w:val="0"/>
          <w:i w:val="0"/>
          <w:sz w:val="21"/>
        </w:rPr>
        <w:t xml:space="preserve"> 记录相对路径并供 </w:t>
      </w:r>
      <w:r>
        <w:rPr>
          <w:rFonts w:ascii="Consolas" w:hAnsi="Consolas" w:eastAsia="Consolas"/>
          <w:b w:val="0"/>
          <w:i w:val="0"/>
          <w:color w:val="8B1E3F"/>
          <w:sz w:val="20"/>
        </w:rPr>
        <w:t>/api/trace/{run_id}</w:t>
      </w:r>
      <w:r>
        <w:rPr>
          <w:rFonts w:ascii="Times New Roman" w:hAnsi="Times New Roman" w:eastAsia="宋体"/>
          <w:b w:val="0"/>
          <w:i w:val="0"/>
          <w:sz w:val="21"/>
        </w:rPr>
        <w:t xml:space="preserve"> 回放。审计轨迹也是可复现性的载体：给定运行配置、证据哈希与轨迹，可重放决策过程并核对数值来源与冲突依据。</w:t>
      </w:r>
    </w:p>
    <w:p>
      <w:pPr>
        <w:pStyle w:val="Heading3"/>
      </w:pPr>
      <w:r>
        <w:rPr>
          <w:rFonts w:ascii="Times New Roman" w:hAnsi="Times New Roman" w:eastAsia="宋体"/>
          <w:b w:val="0"/>
          <w:i w:val="0"/>
          <w:sz w:val="23"/>
        </w:rPr>
        <w:t>4.4.5 协同增益的检验设计与协同成本</w:t>
      </w:r>
    </w:p>
    <w:p>
      <w:r>
        <w:rPr>
          <w:rFonts w:ascii="Times New Roman" w:hAnsi="Times New Roman" w:eastAsia="宋体"/>
          <w:b w:val="0"/>
          <w:i w:val="0"/>
          <w:sz w:val="21"/>
        </w:rPr>
        <w:t>P3 的检验必须回答两个问题：协同是否降低了主体决策损失，以及这种降低是否值得其成本。为此，实验设置三种可比模式：单智能体（</w:t>
      </w:r>
      <w:r>
        <w:rPr>
          <w:rFonts w:ascii="Consolas" w:hAnsi="Consolas" w:eastAsia="Consolas"/>
          <w:b w:val="0"/>
          <w:i w:val="0"/>
          <w:color w:val="8B1E3F"/>
          <w:sz w:val="20"/>
        </w:rPr>
        <w:t>single</w:t>
      </w:r>
      <w:r>
        <w:rPr>
          <w:rFonts w:ascii="Times New Roman" w:hAnsi="Times New Roman" w:eastAsia="宋体"/>
          <w:b w:val="0"/>
          <w:i w:val="0"/>
          <w:sz w:val="21"/>
        </w:rPr>
        <w:t>，一个通用智能体依次完成三类任务）、三个独立智能体（</w:t>
      </w:r>
      <w:r>
        <w:rPr>
          <w:rFonts w:ascii="Consolas" w:hAnsi="Consolas" w:eastAsia="Consolas"/>
          <w:b w:val="0"/>
          <w:i w:val="0"/>
          <w:color w:val="8B1E3F"/>
          <w:sz w:val="20"/>
        </w:rPr>
        <w:t>independent</w:t>
      </w:r>
      <w:r>
        <w:rPr>
          <w:rFonts w:ascii="Times New Roman" w:hAnsi="Times New Roman" w:eastAsia="宋体"/>
          <w:b w:val="0"/>
          <w:i w:val="0"/>
          <w:sz w:val="21"/>
        </w:rPr>
        <w:t>，三份 RoleSpec 并行运行，无证据共享、无交叉验证、无冲突协调）与完整协同（</w:t>
      </w:r>
      <w:r>
        <w:rPr>
          <w:rFonts w:ascii="Consolas" w:hAnsi="Consolas" w:eastAsia="Consolas"/>
          <w:b w:val="0"/>
          <w:i w:val="0"/>
          <w:color w:val="8B1E3F"/>
          <w:sz w:val="20"/>
        </w:rPr>
        <w:t>collaborative</w:t>
      </w:r>
      <w:r>
        <w:rPr>
          <w:rFonts w:ascii="Times New Roman" w:hAnsi="Times New Roman" w:eastAsia="宋体"/>
          <w:b w:val="0"/>
          <w:i w:val="0"/>
          <w:sz w:val="21"/>
        </w:rPr>
        <w:t>，R0–R5 全流程）。三模式在底层模型、信息集、工具预算、token 预算与评估日集合上保持一致（</w:t>
      </w:r>
      <w:r>
        <w:rPr>
          <w:rFonts w:ascii="Consolas" w:hAnsi="Consolas" w:eastAsia="Consolas"/>
          <w:b w:val="0"/>
          <w:i w:val="0"/>
          <w:color w:val="8B1E3F"/>
          <w:sz w:val="20"/>
        </w:rPr>
        <w:t>budget.equal_across_configs=true</w:t>
      </w:r>
      <w:r>
        <w:rPr>
          <w:rFonts w:ascii="Times New Roman" w:hAnsi="Times New Roman" w:eastAsia="宋体"/>
          <w:b w:val="0"/>
          <w:i w:val="0"/>
          <w:sz w:val="21"/>
        </w:rPr>
        <w:t>），差异只在协同机制。协同增益以主体决策损失差与任务完成率差衡量，并同时报告协同成本：</w:t>
      </w:r>
    </w:p>
    <w:p>
      <w:pPr>
        <w:spacing w:before="80" w:after="80"/>
        <w:jc w:val="center"/>
      </w:pPr>
      <w:r>
        <w:rPr>
          <w:rFonts w:ascii="Times New Roman" w:hAnsi="Times New Roman" w:eastAsia="宋体"/>
          <w:b w:val="0"/>
          <w:i/>
          <w:color w:val="1F3864"/>
          <w:sz w:val="21"/>
        </w:rPr>
        <w:t>L=Σ_rλ_r L_rΣ_rλ_r, C=c_toolΣ_rN_rtool+c_tokΣ_rN_rtok+c_latT_lat 4-19</w:t>
      </w:r>
    </w:p>
    <w:p>
      <w:r>
        <w:rPr>
          <w:rFonts w:ascii="Times New Roman" w:hAnsi="Times New Roman" w:eastAsia="宋体"/>
          <w:b w:val="0"/>
          <w:i w:val="0"/>
          <w:sz w:val="21"/>
        </w:rPr>
        <w:t xml:space="preserve">其中 </w:t>
      </w:r>
      <w:r>
        <w:rPr>
          <w:rFonts w:ascii="Times New Roman" w:hAnsi="Times New Roman" w:eastAsia="宋体"/>
          <w:b w:val="0"/>
          <w:i/>
          <w:color w:val="1F3864"/>
          <w:sz w:val="21"/>
        </w:rPr>
        <w:t>L</w:t>
      </w:r>
      <w:r>
        <w:rPr>
          <w:rFonts w:ascii="Times New Roman" w:hAnsi="Times New Roman" w:eastAsia="宋体"/>
          <w:b w:val="0"/>
          <w:i w:val="0"/>
          <w:sz w:val="21"/>
        </w:rPr>
        <w:t xml:space="preserve"> 为按主体权重 </w:t>
      </w:r>
      <w:r>
        <w:rPr>
          <w:rFonts w:ascii="Times New Roman" w:hAnsi="Times New Roman" w:eastAsia="宋体"/>
          <w:b w:val="0"/>
          <w:i/>
          <w:color w:val="1F3864"/>
          <w:sz w:val="21"/>
        </w:rPr>
        <w:t>λ_r</w:t>
      </w:r>
      <w:r>
        <w:rPr>
          <w:rFonts w:ascii="Times New Roman" w:hAnsi="Times New Roman" w:eastAsia="宋体"/>
          <w:b w:val="0"/>
          <w:i w:val="0"/>
          <w:sz w:val="21"/>
        </w:rPr>
        <w:t xml:space="preserve"> 加权的综合决策损失，</w:t>
      </w:r>
      <w:r>
        <w:rPr>
          <w:rFonts w:ascii="Times New Roman" w:hAnsi="Times New Roman" w:eastAsia="宋体"/>
          <w:b w:val="0"/>
          <w:i/>
          <w:color w:val="1F3864"/>
          <w:sz w:val="21"/>
        </w:rPr>
        <w:t>C</w:t>
      </w:r>
      <w:r>
        <w:rPr>
          <w:rFonts w:ascii="Times New Roman" w:hAnsi="Times New Roman" w:eastAsia="宋体"/>
          <w:b w:val="0"/>
          <w:i w:val="0"/>
          <w:sz w:val="21"/>
        </w:rPr>
        <w:t xml:space="preserve"> 为协同成本（工具调用、token 与延迟的线性折算），系数 </w:t>
      </w:r>
      <w:r>
        <w:rPr>
          <w:rFonts w:ascii="Times New Roman" w:hAnsi="Times New Roman" w:eastAsia="宋体"/>
          <w:b w:val="0"/>
          <w:i/>
          <w:color w:val="1F3864"/>
          <w:sz w:val="21"/>
        </w:rPr>
        <w:t>c_tool</w:t>
      </w:r>
      <w:r>
        <w:rPr>
          <w:rFonts w:ascii="Times New Roman" w:hAnsi="Times New Roman" w:eastAsia="宋体"/>
          <w:b w:val="0"/>
          <w:i w:val="0"/>
          <w:sz w:val="21"/>
        </w:rPr>
        <w:t>、</w:t>
      </w:r>
      <w:r>
        <w:rPr>
          <w:rFonts w:ascii="Times New Roman" w:hAnsi="Times New Roman" w:eastAsia="宋体"/>
          <w:b w:val="0"/>
          <w:i/>
          <w:color w:val="1F3864"/>
          <w:sz w:val="21"/>
        </w:rPr>
        <w:t>c_tok</w:t>
      </w:r>
      <w:r>
        <w:rPr>
          <w:rFonts w:ascii="Times New Roman" w:hAnsi="Times New Roman" w:eastAsia="宋体"/>
          <w:b w:val="0"/>
          <w:i w:val="0"/>
          <w:sz w:val="21"/>
        </w:rPr>
        <w:t>、</w:t>
      </w:r>
      <w:r>
        <w:rPr>
          <w:rFonts w:ascii="Times New Roman" w:hAnsi="Times New Roman" w:eastAsia="宋体"/>
          <w:b w:val="0"/>
          <w:i/>
          <w:color w:val="1F3864"/>
          <w:sz w:val="21"/>
        </w:rPr>
        <w:t>c_lat</w:t>
      </w:r>
      <w:r>
        <w:rPr>
          <w:rFonts w:ascii="Times New Roman" w:hAnsi="Times New Roman" w:eastAsia="宋体"/>
          <w:b w:val="0"/>
          <w:i w:val="0"/>
          <w:sz w:val="21"/>
        </w:rPr>
        <w:t xml:space="preserve"> 分别由 </w:t>
      </w:r>
      <w:r>
        <w:rPr>
          <w:rFonts w:ascii="Consolas" w:hAnsi="Consolas" w:eastAsia="Consolas"/>
          <w:b w:val="0"/>
          <w:i w:val="0"/>
          <w:color w:val="8B1E3F"/>
          <w:sz w:val="20"/>
        </w:rPr>
        <w:t>orchestration.cost_per_tool_call</w:t>
      </w:r>
      <w:r>
        <w:rPr>
          <w:rFonts w:ascii="Times New Roman" w:hAnsi="Times New Roman" w:eastAsia="宋体"/>
          <w:b w:val="0"/>
          <w:i w:val="0"/>
          <w:sz w:val="21"/>
        </w:rPr>
        <w:t>、</w:t>
      </w:r>
      <w:r>
        <w:rPr>
          <w:rFonts w:ascii="Consolas" w:hAnsi="Consolas" w:eastAsia="Consolas"/>
          <w:b w:val="0"/>
          <w:i w:val="0"/>
          <w:color w:val="8B1E3F"/>
          <w:sz w:val="20"/>
        </w:rPr>
        <w:t>cost_per_1k_tokens</w:t>
      </w:r>
      <w:r>
        <w:rPr>
          <w:rFonts w:ascii="Times New Roman" w:hAnsi="Times New Roman" w:eastAsia="宋体"/>
          <w:b w:val="0"/>
          <w:i w:val="0"/>
          <w:sz w:val="21"/>
        </w:rPr>
        <w:t>、</w:t>
      </w:r>
      <w:r>
        <w:rPr>
          <w:rFonts w:ascii="Consolas" w:hAnsi="Consolas" w:eastAsia="Consolas"/>
          <w:b w:val="0"/>
          <w:i w:val="0"/>
          <w:color w:val="8B1E3F"/>
          <w:sz w:val="20"/>
        </w:rPr>
        <w:t>cost_per_latency_ms</w:t>
      </w:r>
      <w:r>
        <w:rPr>
          <w:rFonts w:ascii="Times New Roman" w:hAnsi="Times New Roman" w:eastAsia="宋体"/>
          <w:b w:val="0"/>
          <w:i w:val="0"/>
          <w:sz w:val="21"/>
        </w:rPr>
        <w:t xml:space="preserve"> 给定，</w:t>
      </w:r>
      <w:r>
        <w:rPr>
          <w:rFonts w:ascii="Times New Roman" w:hAnsi="Times New Roman" w:eastAsia="宋体"/>
          <w:b w:val="0"/>
          <w:i/>
          <w:color w:val="1F3864"/>
          <w:sz w:val="21"/>
        </w:rPr>
        <w:t>μ</w:t>
      </w:r>
      <w:r>
        <w:rPr>
          <w:rFonts w:ascii="Times New Roman" w:hAnsi="Times New Roman" w:eastAsia="宋体"/>
          <w:b w:val="0"/>
          <w:i w:val="0"/>
          <w:sz w:val="21"/>
        </w:rPr>
        <w:t xml:space="preserve"> 由 </w:t>
      </w:r>
      <w:r>
        <w:rPr>
          <w:rFonts w:ascii="Consolas" w:hAnsi="Consolas" w:eastAsia="Consolas"/>
          <w:b w:val="0"/>
          <w:i w:val="0"/>
          <w:color w:val="8B1E3F"/>
          <w:sz w:val="20"/>
        </w:rPr>
        <w:t>coordination_weight_mu</w:t>
      </w:r>
      <w:r>
        <w:rPr>
          <w:rFonts w:ascii="Times New Roman" w:hAnsi="Times New Roman" w:eastAsia="宋体"/>
          <w:b w:val="0"/>
          <w:i w:val="0"/>
          <w:sz w:val="21"/>
        </w:rPr>
        <w:t xml:space="preserve">（默认 0.1）给定，并在稳健性分析中替换。据此定义成本调整后的比较目标 </w:t>
      </w:r>
      <w:r>
        <w:rPr>
          <w:rFonts w:ascii="Times New Roman" w:hAnsi="Times New Roman" w:eastAsia="宋体"/>
          <w:b w:val="0"/>
          <w:i/>
          <w:color w:val="1F3864"/>
          <w:sz w:val="21"/>
        </w:rPr>
        <w:t>J=L+μ C</w:t>
      </w:r>
      <w:r>
        <w:rPr>
          <w:rFonts w:ascii="Times New Roman" w:hAnsi="Times New Roman" w:eastAsia="宋体"/>
          <w:b w:val="0"/>
          <w:i w:val="0"/>
          <w:sz w:val="21"/>
        </w:rPr>
        <w:t>；</w:t>
      </w:r>
      <w:r>
        <w:rPr>
          <w:rFonts w:ascii="Times New Roman" w:hAnsi="Times New Roman" w:eastAsia="宋体"/>
          <w:b w:val="0"/>
          <w:i/>
          <w:color w:val="1F3864"/>
          <w:sz w:val="21"/>
        </w:rPr>
        <w:t>μ=0</w:t>
      </w:r>
      <w:r>
        <w:rPr>
          <w:rFonts w:ascii="Times New Roman" w:hAnsi="Times New Roman" w:eastAsia="宋体"/>
          <w:b w:val="0"/>
          <w:i w:val="0"/>
          <w:sz w:val="21"/>
        </w:rPr>
        <w:t xml:space="preserve"> 表示只看效果，</w:t>
      </w:r>
      <w:r>
        <w:rPr>
          <w:rFonts w:ascii="Times New Roman" w:hAnsi="Times New Roman" w:eastAsia="宋体"/>
          <w:b w:val="0"/>
          <w:i/>
          <w:color w:val="1F3864"/>
          <w:sz w:val="21"/>
        </w:rPr>
        <w:t>μ</w:t>
      </w:r>
      <w:r>
        <w:rPr>
          <w:rFonts w:ascii="Times New Roman" w:hAnsi="Times New Roman" w:eastAsia="宋体"/>
          <w:b w:val="0"/>
          <w:i w:val="0"/>
          <w:sz w:val="21"/>
        </w:rPr>
        <w:t xml:space="preserve"> 增大表示更看重资源约束。管理含义上，协同若只能以显著更高的成本换取不显著的损失下降，则不具备推广价值；这一权衡通过报告 </w:t>
      </w:r>
      <w:r>
        <w:rPr>
          <w:rFonts w:ascii="Times New Roman" w:hAnsi="Times New Roman" w:eastAsia="宋体"/>
          <w:b w:val="0"/>
          <w:i/>
          <w:color w:val="1F3864"/>
          <w:sz w:val="21"/>
        </w:rPr>
        <w:t>(L,C)</w:t>
      </w:r>
      <w:r>
        <w:rPr>
          <w:rFonts w:ascii="Times New Roman" w:hAnsi="Times New Roman" w:eastAsia="宋体"/>
          <w:b w:val="0"/>
          <w:i w:val="0"/>
          <w:sz w:val="21"/>
        </w:rPr>
        <w:t xml:space="preserve"> 的二维差异而非单一胜者来呈现。上述用量、轮次与冲突统计由 CoordinationStats 汇总，成本在运行结束时按工具调用、token 与延迟折算写入 </w:t>
      </w:r>
      <w:r>
        <w:rPr>
          <w:rFonts w:ascii="Consolas" w:hAnsi="Consolas" w:eastAsia="Consolas"/>
          <w:b w:val="0"/>
          <w:i w:val="0"/>
          <w:color w:val="8B1E3F"/>
          <w:sz w:val="20"/>
        </w:rPr>
        <w:t>cost_usd</w:t>
      </w:r>
      <w:r>
        <w:rPr>
          <w:rFonts w:ascii="Times New Roman" w:hAnsi="Times New Roman" w:eastAsia="宋体"/>
          <w:b w:val="0"/>
          <w:i w:val="0"/>
          <w:sz w:val="21"/>
        </w:rPr>
        <w:t xml:space="preserve">；未在一轮内解决的冲突计入 </w:t>
      </w:r>
      <w:r>
        <w:rPr>
          <w:rFonts w:ascii="Consolas" w:hAnsi="Consolas" w:eastAsia="Consolas"/>
          <w:b w:val="0"/>
          <w:i w:val="0"/>
          <w:color w:val="8B1E3F"/>
          <w:sz w:val="20"/>
        </w:rPr>
        <w:t>conflicts_escalated</w:t>
      </w:r>
      <w:r>
        <w:rPr>
          <w:rFonts w:ascii="Times New Roman" w:hAnsi="Times New Roman" w:eastAsia="宋体"/>
          <w:b w:val="0"/>
          <w:i w:val="0"/>
          <w:sz w:val="21"/>
        </w:rPr>
        <w:t xml:space="preserve"> 并转入 HITL 队列。该统计口径同时用于决策卡与实验输出。</w:t>
      </w:r>
    </w:p>
    <w:p>
      <w:r>
        <w:rPr>
          <w:rFonts w:ascii="Times New Roman" w:hAnsi="Times New Roman" w:eastAsia="宋体"/>
          <w:b w:val="0"/>
          <w:i w:val="0"/>
          <w:sz w:val="21"/>
        </w:rPr>
        <w:t xml:space="preserve">协同增益还须按机制拆解，而非只报告“协同优于单智能体”的总效应。实验设置逐项消融：关闭证据共享（保留分工与协调）、关闭交叉验证（保留共享与协调）、关闭冲突协调（保留共享与复核）、以三个相同通用角色替代专业化角色（检验分工内容），并在完整协同与各消融配置间做配对比较。统计上，以评估日为配对单位，对 </w:t>
      </w:r>
      <w:r>
        <w:rPr>
          <w:rFonts w:ascii="Times New Roman" w:hAnsi="Times New Roman" w:eastAsia="宋体"/>
          <w:b w:val="0"/>
          <w:i/>
          <w:color w:val="1F3864"/>
          <w:sz w:val="21"/>
        </w:rPr>
        <w:t>Δ L</w:t>
      </w:r>
      <w:r>
        <w:rPr>
          <w:rFonts w:ascii="Times New Roman" w:hAnsi="Times New Roman" w:eastAsia="宋体"/>
          <w:b w:val="0"/>
          <w:i w:val="0"/>
          <w:sz w:val="21"/>
        </w:rPr>
        <w:t>、</w:t>
      </w:r>
      <w:r>
        <w:rPr>
          <w:rFonts w:ascii="Times New Roman" w:hAnsi="Times New Roman" w:eastAsia="宋体"/>
          <w:b w:val="0"/>
          <w:i/>
          <w:color w:val="1F3864"/>
          <w:sz w:val="21"/>
        </w:rPr>
        <w:t>Δ C</w:t>
      </w:r>
      <w:r>
        <w:rPr>
          <w:rFonts w:ascii="Times New Roman" w:hAnsi="Times New Roman" w:eastAsia="宋体"/>
          <w:b w:val="0"/>
          <w:i w:val="0"/>
          <w:sz w:val="21"/>
        </w:rPr>
        <w:t xml:space="preserve"> 与任务完成率差做配对 bootstrap 置信区间（默认 1000 次重抽样），并报告效应量。该设计使 P3 的结论可以落到“哪种机制在何种成本下有效”，而不是笼统断言多智能体更好。</w:t>
      </w:r>
    </w:p>
    <w:p>
      <w:pPr>
        <w:pStyle w:val="Heading2"/>
      </w:pPr>
      <w:r>
        <w:rPr>
          <w:rFonts w:ascii="Times New Roman" w:hAnsi="Times New Roman" w:eastAsia="宋体"/>
          <w:b w:val="0"/>
          <w:i w:val="0"/>
          <w:sz w:val="26"/>
        </w:rPr>
        <w:t>4.5 实现与可复现性</w:t>
      </w:r>
    </w:p>
    <w:p>
      <w:r>
        <w:rPr>
          <w:rFonts w:ascii="Times New Roman" w:hAnsi="Times New Roman" w:eastAsia="宋体"/>
          <w:b w:val="0"/>
          <w:i w:val="0"/>
          <w:sz w:val="21"/>
        </w:rPr>
        <w:t>【服务实验章节：5.1、5.2、5.3、6.4；实现：横切 B、</w:t>
      </w:r>
      <w:r>
        <w:rPr>
          <w:rFonts w:ascii="Consolas" w:hAnsi="Consolas" w:eastAsia="Consolas"/>
          <w:b w:val="0"/>
          <w:i w:val="0"/>
          <w:color w:val="8B1E3F"/>
          <w:sz w:val="20"/>
        </w:rPr>
        <w:t>src/cbr/eval/</w:t>
      </w:r>
      <w:r>
        <w:rPr>
          <w:rFonts w:ascii="Times New Roman" w:hAnsi="Times New Roman" w:eastAsia="宋体"/>
          <w:b w:val="0"/>
          <w:i w:val="0"/>
          <w:sz w:val="21"/>
        </w:rPr>
        <w:t>、</w:t>
      </w:r>
      <w:r>
        <w:rPr>
          <w:rFonts w:ascii="Consolas" w:hAnsi="Consolas" w:eastAsia="Consolas"/>
          <w:b w:val="0"/>
          <w:i w:val="0"/>
          <w:color w:val="8B1E3F"/>
          <w:sz w:val="20"/>
        </w:rPr>
        <w:t>scripts/</w:t>
      </w:r>
      <w:r>
        <w:rPr>
          <w:rFonts w:ascii="Times New Roman" w:hAnsi="Times New Roman" w:eastAsia="宋体"/>
          <w:b w:val="0"/>
          <w:i w:val="0"/>
          <w:sz w:val="21"/>
        </w:rPr>
        <w:t>】</w:t>
      </w:r>
    </w:p>
    <w:p>
      <w:r>
        <w:rPr>
          <w:rFonts w:ascii="Times New Roman" w:hAnsi="Times New Roman" w:eastAsia="宋体"/>
          <w:b w:val="0"/>
          <w:i w:val="0"/>
          <w:sz w:val="21"/>
        </w:rPr>
        <w:t>方法是否可信，取决于它能否被独立复现：同一数据快照、同一配置、同一模型版本应产生可比较的结果；不同配置之间的差异应能追溯到具体开关。本节说明代码组织与接口映射（4.5.1）、配置化实验与消融矩阵（4.5.2）、指标定义与统计检验（4.5.3），以及已知限制（4.5.4）。</w:t>
      </w:r>
    </w:p>
    <w:p>
      <w:pPr>
        <w:pStyle w:val="Heading3"/>
      </w:pPr>
      <w:r>
        <w:rPr>
          <w:rFonts w:ascii="Times New Roman" w:hAnsi="Times New Roman" w:eastAsia="宋体"/>
          <w:b w:val="0"/>
          <w:i w:val="0"/>
          <w:sz w:val="23"/>
        </w:rPr>
        <w:t>4.5.1 代码组织与模块接口</w:t>
      </w:r>
    </w:p>
    <w:p>
      <w:r>
        <w:rPr>
          <w:rFonts w:ascii="Times New Roman" w:hAnsi="Times New Roman" w:eastAsia="宋体"/>
          <w:b w:val="0"/>
          <w:i w:val="0"/>
          <w:sz w:val="21"/>
        </w:rPr>
        <w:t xml:space="preserve">实现按分层架构组织为若干 Python 包，层间通过 </w:t>
      </w:r>
      <w:r>
        <w:rPr>
          <w:rFonts w:ascii="Consolas" w:hAnsi="Consolas" w:eastAsia="Consolas"/>
          <w:b w:val="0"/>
          <w:i w:val="0"/>
          <w:color w:val="8B1E3F"/>
          <w:sz w:val="20"/>
        </w:rPr>
        <w:t>src/cbr/contracts.py</w:t>
      </w:r>
      <w:r>
        <w:rPr>
          <w:rFonts w:ascii="Times New Roman" w:hAnsi="Times New Roman" w:eastAsia="宋体"/>
          <w:b w:val="0"/>
          <w:i w:val="0"/>
          <w:sz w:val="21"/>
        </w:rPr>
        <w:t xml:space="preserve"> 的协议交互，禁止跨层依赖具体实现，使数据源、工具、语言模型与编排策略可在实验中替换或置空而不影响其他模块。核心目录结构如下：</w:t>
      </w:r>
    </w:p>
    <w:p>
      <w:pPr>
        <w:spacing w:after="40" w:line="264" w:lineRule="auto"/>
        <w:ind w:left="227"/>
        <w:shd w:fill="F2F2F2"/>
      </w:pPr>
      <w:r>
        <w:rPr>
          <w:rFonts w:ascii="Consolas" w:hAnsi="Consolas" w:eastAsia="Consolas"/>
          <w:b w:val="0"/>
          <w:i w:val="0"/>
          <w:color w:val="333333"/>
          <w:sz w:val="17"/>
        </w:rPr>
        <w:t>D:\recently\commorcial\</w:t>
        <w:br/>
        <w:t>├─ configs/                  # 角色、应用、实验、情景配置</w:t>
        <w:br/>
        <w:t>├─ data/                     # raw / interim / processed、pit.duckdb、知识库源文件</w:t>
        <w:br/>
        <w:t>├─ src/cbr/</w:t>
        <w:br/>
        <w:t>│  ├─ data/                  # 采集、清洗、PitStore、数据卡、标签</w:t>
        <w:br/>
        <w:t>│  ├─ features/              # 数值/文本特征、时点对齐</w:t>
        <w:br/>
        <w:t>│  ├─ models/                # 基线模型、融合预测器、模型注册表</w:t>
        <w:br/>
        <w:t>│  ├─ tools/                 # 确定性工具、注册表、权限矩阵</w:t>
        <w:br/>
        <w:t>│  ├─ knowledge/             # KB 构建、时点过滤 RAG、引文</w:t>
        <w:br/>
        <w:t>│  ├─ llm/                   # LLM 抽象层与 mock 实现</w:t>
        <w:br/>
        <w:t>│  ├─ agents/                # RoleSpec、Prompt、Agent Loop、RiskCard</w:t>
        <w:br/>
        <w:t>│  ├─ orchestration/         # Coordinator、黑板、冲突检测、仲裁、HITL</w:t>
        <w:br/>
        <w:t>│  ├─ verification/          # 数值/引文/时点/越权/schema 核验与 trace</w:t>
        <w:br/>
        <w:t>│  ├─ eval/                  # 指标、消融、时点回放、统计检验</w:t>
        <w:br/>
        <w:t>│  └─ api/                   # FastAPI 路由（含 /ui 静态托管 React 构建产物）</w:t>
        <w:br/>
        <w:t>├─ web/                      # React 19 + Vite + Tailwind v4 驾驶台/对话（shadcn/ui + Linear 规范，light/dark）</w:t>
        <w:br/>
        <w:t>├─ app/                      # Streamlit 决策支持驾驶台（回退 UI）</w:t>
        <w:br/>
        <w:t>├─ scripts/                  # 数据构建、实验运行、演示种子、文档/截图工具</w:t>
        <w:br/>
        <w:t>├─ tests/                    # 单元与集成测试</w:t>
        <w:br/>
        <w:t>├─ artifacts/                # runs/&lt;run_id&gt;/{config,metrics,trace,figures,tables}</w:t>
        <w:br/>
        <w:t>└─ docs/                     # 架构文档、技术文档第四章、演示脚本</w:t>
      </w:r>
    </w:p>
    <w:p>
      <w:pPr>
        <w:keepNext/>
        <w:spacing w:before="120" w:after="40"/>
        <w:jc w:val="center"/>
      </w:pPr>
      <w:r>
        <w:rPr>
          <w:rFonts w:ascii="Times New Roman" w:hAnsi="Times New Roman" w:eastAsia="宋体"/>
          <w:b/>
          <w:i w:val="0"/>
          <w:color w:val="1F3864"/>
          <w:sz w:val="19"/>
        </w:rPr>
        <w:t>表 4-8 模块职责、对外契约与章节对应</w:t>
      </w:r>
    </w:p>
    <w:tbl>
      <w:tblPr>
        <w:tblStyle w:val="TableGrid"/>
        <w:tblW w:type="auto" w:w="0"/>
        <w:jc w:val="center"/>
        <w:tblLayout w:type="autofit"/>
        <w:tblLook w:firstColumn="1" w:firstRow="1" w:lastColumn="0" w:lastRow="0" w:noHBand="0" w:noVBand="1" w:val="04A0"/>
      </w:tblPr>
      <w:tblGrid>
        <w:gridCol w:w="2324"/>
        <w:gridCol w:w="2324"/>
        <w:gridCol w:w="2324"/>
        <w:gridCol w:w="2324"/>
      </w:tblGrid>
      <w:tr>
        <w:tc>
          <w:tcPr>
            <w:tcW w:type="dxa" w:w="2324"/>
          </w:tcPr>
          <w:p>
            <w:pPr>
              <w:spacing w:after="20" w:line="276" w:lineRule="auto"/>
            </w:pPr>
            <w:r>
              <w:rPr>
                <w:b/>
              </w:rPr>
            </w:r>
            <w:r>
              <w:rPr>
                <w:rFonts w:ascii="Times New Roman" w:hAnsi="Times New Roman" w:eastAsia="宋体"/>
                <w:b/>
                <w:i w:val="0"/>
                <w:sz w:val="17"/>
              </w:rPr>
              <w:t>目录/模块</w:t>
            </w:r>
          </w:p>
        </w:tc>
        <w:tc>
          <w:tcPr>
            <w:tcW w:type="dxa" w:w="2324"/>
          </w:tcPr>
          <w:p>
            <w:pPr>
              <w:spacing w:after="20" w:line="276" w:lineRule="auto"/>
            </w:pPr>
            <w:r>
              <w:rPr>
                <w:b/>
              </w:rPr>
            </w:r>
            <w:r>
              <w:rPr>
                <w:rFonts w:ascii="Times New Roman" w:hAnsi="Times New Roman" w:eastAsia="宋体"/>
                <w:b/>
                <w:i w:val="0"/>
                <w:sz w:val="17"/>
              </w:rPr>
              <w:t>实现职责</w:t>
            </w:r>
          </w:p>
        </w:tc>
        <w:tc>
          <w:tcPr>
            <w:tcW w:type="dxa" w:w="2324"/>
          </w:tcPr>
          <w:p>
            <w:pPr>
              <w:spacing w:after="20" w:line="276" w:lineRule="auto"/>
            </w:pPr>
            <w:r>
              <w:rPr>
                <w:b/>
              </w:rPr>
            </w:r>
            <w:r>
              <w:rPr>
                <w:rFonts w:ascii="Times New Roman" w:hAnsi="Times New Roman" w:eastAsia="宋体"/>
                <w:b/>
                <w:i w:val="0"/>
                <w:sz w:val="17"/>
              </w:rPr>
              <w:t>对外契约</w:t>
            </w:r>
          </w:p>
        </w:tc>
        <w:tc>
          <w:tcPr>
            <w:tcW w:type="dxa" w:w="2324"/>
          </w:tcPr>
          <w:p>
            <w:pPr>
              <w:spacing w:after="20" w:line="276" w:lineRule="auto"/>
            </w:pPr>
            <w:r>
              <w:rPr>
                <w:b/>
              </w:rPr>
            </w:r>
            <w:r>
              <w:rPr>
                <w:rFonts w:ascii="Times New Roman" w:hAnsi="Times New Roman" w:eastAsia="宋体"/>
                <w:b/>
                <w:i w:val="0"/>
                <w:sz w:val="17"/>
              </w:rPr>
              <w:t>文档对应</w:t>
            </w:r>
          </w:p>
        </w:tc>
      </w:tr>
      <w:tr>
        <w:tc>
          <w:tcPr>
            <w:tcW w:type="dxa" w:w="2324"/>
          </w:tcPr>
          <w:p>
            <w:pPr>
              <w:spacing w:after="20" w:line="276" w:lineRule="auto"/>
            </w:pPr>
            <w:r/>
            <w:r>
              <w:rPr>
                <w:rFonts w:ascii="Consolas" w:hAnsi="Consolas" w:eastAsia="Consolas"/>
                <w:b w:val="0"/>
                <w:i w:val="0"/>
                <w:color w:val="8B1E3F"/>
                <w:sz w:val="16"/>
              </w:rPr>
              <w:t>src/cbr/data</w:t>
            </w:r>
          </w:p>
        </w:tc>
        <w:tc>
          <w:tcPr>
            <w:tcW w:type="dxa" w:w="2324"/>
          </w:tcPr>
          <w:p>
            <w:pPr>
              <w:spacing w:after="20" w:line="276" w:lineRule="auto"/>
            </w:pPr>
            <w:r/>
            <w:r>
              <w:rPr>
                <w:rFonts w:ascii="Times New Roman" w:hAnsi="Times New Roman" w:eastAsia="宋体"/>
                <w:b w:val="0"/>
                <w:i w:val="0"/>
                <w:sz w:val="17"/>
              </w:rPr>
              <w:t>时点数据访问（</w:t>
            </w:r>
            <w:r>
              <w:rPr>
                <w:rFonts w:ascii="Consolas" w:hAnsi="Consolas" w:eastAsia="Consolas"/>
                <w:b w:val="0"/>
                <w:i w:val="0"/>
                <w:color w:val="8B1E3F"/>
                <w:sz w:val="16"/>
              </w:rPr>
              <w:t>PitStoreDataProvider</w:t>
            </w:r>
            <w:r>
              <w:rPr>
                <w:rFonts w:ascii="Times New Roman" w:hAnsi="Times New Roman" w:eastAsia="宋体"/>
                <w:b w:val="0"/>
                <w:i w:val="0"/>
                <w:sz w:val="17"/>
              </w:rPr>
              <w:t>）、数据卡、风险标签</w:t>
            </w:r>
          </w:p>
        </w:tc>
        <w:tc>
          <w:tcPr>
            <w:tcW w:type="dxa" w:w="2324"/>
          </w:tcPr>
          <w:p>
            <w:pPr>
              <w:spacing w:after="20" w:line="276" w:lineRule="auto"/>
            </w:pPr>
            <w:r/>
            <w:r>
              <w:rPr>
                <w:rFonts w:ascii="Consolas" w:hAnsi="Consolas" w:eastAsia="Consolas"/>
                <w:b w:val="0"/>
                <w:i w:val="0"/>
                <w:color w:val="8B1E3F"/>
                <w:sz w:val="16"/>
              </w:rPr>
              <w:t>DataProvider</w:t>
            </w:r>
            <w:r>
              <w:rPr>
                <w:rFonts w:ascii="Times New Roman" w:hAnsi="Times New Roman" w:eastAsia="宋体"/>
                <w:b w:val="0"/>
                <w:i w:val="0"/>
                <w:sz w:val="17"/>
              </w:rPr>
              <w:t>（</w:t>
            </w:r>
            <w:r>
              <w:rPr>
                <w:rFonts w:ascii="Consolas" w:hAnsi="Consolas" w:eastAsia="Consolas"/>
                <w:b w:val="0"/>
                <w:i w:val="0"/>
                <w:color w:val="8B1E3F"/>
                <w:sz w:val="16"/>
              </w:rPr>
              <w:t>risk_signal</w:t>
            </w:r>
            <w:r>
              <w:rPr>
                <w:rFonts w:ascii="Times New Roman" w:hAnsi="Times New Roman" w:eastAsia="宋体"/>
                <w:b w:val="0"/>
                <w:i w:val="0"/>
                <w:sz w:val="17"/>
              </w:rPr>
              <w:t>、</w:t>
            </w:r>
            <w:r>
              <w:rPr>
                <w:rFonts w:ascii="Consolas" w:hAnsi="Consolas" w:eastAsia="Consolas"/>
                <w:b w:val="0"/>
                <w:i w:val="0"/>
                <w:color w:val="8B1E3F"/>
                <w:sz w:val="16"/>
              </w:rPr>
              <w:t>market_snapshot</w:t>
            </w:r>
            <w:r>
              <w:rPr>
                <w:rFonts w:ascii="Times New Roman" w:hAnsi="Times New Roman" w:eastAsia="宋体"/>
                <w:b w:val="0"/>
                <w:i w:val="0"/>
                <w:sz w:val="17"/>
              </w:rPr>
              <w:t>、</w:t>
            </w:r>
            <w:r>
              <w:rPr>
                <w:rFonts w:ascii="Consolas" w:hAnsi="Consolas" w:eastAsia="Consolas"/>
                <w:b w:val="0"/>
                <w:i w:val="0"/>
                <w:color w:val="8B1E3F"/>
                <w:sz w:val="16"/>
              </w:rPr>
              <w:t>history</w:t>
            </w:r>
            <w:r>
              <w:rPr>
                <w:rFonts w:ascii="Times New Roman" w:hAnsi="Times New Roman" w:eastAsia="宋体"/>
                <w:b w:val="0"/>
                <w:i w:val="0"/>
                <w:sz w:val="17"/>
              </w:rPr>
              <w:t>、</w:t>
            </w:r>
            <w:r>
              <w:rPr>
                <w:rFonts w:ascii="Consolas" w:hAnsi="Consolas" w:eastAsia="Consolas"/>
                <w:b w:val="0"/>
                <w:i w:val="0"/>
                <w:color w:val="8B1E3F"/>
                <w:sz w:val="16"/>
              </w:rPr>
              <w:t>label</w:t>
            </w:r>
            <w:r>
              <w:rPr>
                <w:rFonts w:ascii="Times New Roman" w:hAnsi="Times New Roman" w:eastAsia="宋体"/>
                <w:b w:val="0"/>
                <w:i w:val="0"/>
                <w:sz w:val="17"/>
              </w:rPr>
              <w:t>、</w:t>
            </w:r>
            <w:r>
              <w:rPr>
                <w:rFonts w:ascii="Consolas" w:hAnsi="Consolas" w:eastAsia="Consolas"/>
                <w:b w:val="0"/>
                <w:i w:val="0"/>
                <w:color w:val="8B1E3F"/>
                <w:sz w:val="16"/>
              </w:rPr>
              <w:t>data_cards</w:t>
            </w:r>
            <w:r>
              <w:rPr>
                <w:rFonts w:ascii="Times New Roman" w:hAnsi="Times New Roman" w:eastAsia="宋体"/>
                <w:b w:val="0"/>
                <w:i w:val="0"/>
                <w:sz w:val="17"/>
              </w:rPr>
              <w:t>）</w:t>
            </w:r>
          </w:p>
        </w:tc>
        <w:tc>
          <w:tcPr>
            <w:tcW w:type="dxa" w:w="2324"/>
          </w:tcPr>
          <w:p>
            <w:pPr>
              <w:spacing w:after="20" w:line="276" w:lineRule="auto"/>
            </w:pPr>
            <w:r/>
            <w:r>
              <w:rPr>
                <w:rFonts w:ascii="Times New Roman" w:hAnsi="Times New Roman" w:eastAsia="宋体"/>
                <w:b w:val="0"/>
                <w:i w:val="0"/>
                <w:sz w:val="17"/>
              </w:rPr>
              <w:t>4.1</w:t>
            </w:r>
          </w:p>
        </w:tc>
      </w:tr>
      <w:tr>
        <w:tc>
          <w:tcPr>
            <w:tcW w:type="dxa" w:w="2324"/>
          </w:tcPr>
          <w:p>
            <w:pPr>
              <w:spacing w:after="20" w:line="276" w:lineRule="auto"/>
            </w:pPr>
            <w:r/>
            <w:r>
              <w:rPr>
                <w:rFonts w:ascii="Consolas" w:hAnsi="Consolas" w:eastAsia="Consolas"/>
                <w:b w:val="0"/>
                <w:i w:val="0"/>
                <w:color w:val="8B1E3F"/>
                <w:sz w:val="16"/>
              </w:rPr>
              <w:t>src/cbr/features</w:t>
            </w:r>
            <w:r>
              <w:rPr>
                <w:rFonts w:ascii="Times New Roman" w:hAnsi="Times New Roman" w:eastAsia="宋体"/>
                <w:b w:val="0"/>
                <w:i w:val="0"/>
                <w:sz w:val="17"/>
              </w:rPr>
              <w:t>、</w:t>
            </w:r>
            <w:r>
              <w:rPr>
                <w:rFonts w:ascii="Consolas" w:hAnsi="Consolas" w:eastAsia="Consolas"/>
                <w:b w:val="0"/>
                <w:i w:val="0"/>
                <w:color w:val="8B1E3F"/>
                <w:sz w:val="16"/>
              </w:rPr>
              <w:t>src/cbr/models</w:t>
            </w:r>
          </w:p>
        </w:tc>
        <w:tc>
          <w:tcPr>
            <w:tcW w:type="dxa" w:w="2324"/>
          </w:tcPr>
          <w:p>
            <w:pPr>
              <w:spacing w:after="20" w:line="276" w:lineRule="auto"/>
            </w:pPr>
            <w:r/>
            <w:r>
              <w:rPr>
                <w:rFonts w:ascii="Times New Roman" w:hAnsi="Times New Roman" w:eastAsia="宋体"/>
                <w:b w:val="0"/>
                <w:i w:val="0"/>
                <w:sz w:val="17"/>
              </w:rPr>
              <w:t>数值/文本特征、融合预测器与归因</w:t>
            </w:r>
          </w:p>
        </w:tc>
        <w:tc>
          <w:tcPr>
            <w:tcW w:type="dxa" w:w="2324"/>
          </w:tcPr>
          <w:p>
            <w:pPr>
              <w:spacing w:after="20" w:line="276" w:lineRule="auto"/>
            </w:pPr>
            <w:r/>
            <w:r>
              <w:rPr>
                <w:rFonts w:ascii="Times New Roman" w:hAnsi="Times New Roman" w:eastAsia="宋体"/>
                <w:b w:val="0"/>
                <w:i w:val="0"/>
                <w:sz w:val="17"/>
              </w:rPr>
              <w:t xml:space="preserve">产出 </w:t>
            </w:r>
            <w:r>
              <w:rPr>
                <w:rFonts w:ascii="Consolas" w:hAnsi="Consolas" w:eastAsia="Consolas"/>
                <w:b w:val="0"/>
                <w:i w:val="0"/>
                <w:color w:val="8B1E3F"/>
                <w:sz w:val="16"/>
              </w:rPr>
              <w:t>RiskSignal</w:t>
            </w:r>
          </w:p>
        </w:tc>
        <w:tc>
          <w:tcPr>
            <w:tcW w:type="dxa" w:w="2324"/>
          </w:tcPr>
          <w:p>
            <w:pPr>
              <w:spacing w:after="20" w:line="276" w:lineRule="auto"/>
            </w:pPr>
            <w:r/>
            <w:r>
              <w:rPr>
                <w:rFonts w:ascii="Times New Roman" w:hAnsi="Times New Roman" w:eastAsia="宋体"/>
                <w:b w:val="0"/>
                <w:i w:val="0"/>
                <w:sz w:val="17"/>
              </w:rPr>
              <w:t>4.1</w:t>
            </w:r>
          </w:p>
        </w:tc>
      </w:tr>
      <w:tr>
        <w:tc>
          <w:tcPr>
            <w:tcW w:type="dxa" w:w="2324"/>
          </w:tcPr>
          <w:p>
            <w:pPr>
              <w:spacing w:after="20" w:line="276" w:lineRule="auto"/>
            </w:pPr>
            <w:r/>
            <w:r>
              <w:rPr>
                <w:rFonts w:ascii="Consolas" w:hAnsi="Consolas" w:eastAsia="Consolas"/>
                <w:b w:val="0"/>
                <w:i w:val="0"/>
                <w:color w:val="8B1E3F"/>
                <w:sz w:val="16"/>
              </w:rPr>
              <w:t>src/cbr/tools</w:t>
            </w:r>
          </w:p>
        </w:tc>
        <w:tc>
          <w:tcPr>
            <w:tcW w:type="dxa" w:w="2324"/>
          </w:tcPr>
          <w:p>
            <w:pPr>
              <w:spacing w:after="20" w:line="276" w:lineRule="auto"/>
            </w:pPr>
            <w:r/>
            <w:r>
              <w:rPr>
                <w:rFonts w:ascii="Times New Roman" w:hAnsi="Times New Roman" w:eastAsia="宋体"/>
                <w:b w:val="0"/>
                <w:i w:val="0"/>
                <w:sz w:val="17"/>
              </w:rPr>
              <w:t>确定性金融工具、注册表、权限矩阵</w:t>
            </w:r>
          </w:p>
        </w:tc>
        <w:tc>
          <w:tcPr>
            <w:tcW w:type="dxa" w:w="2324"/>
          </w:tcPr>
          <w:p>
            <w:pPr>
              <w:spacing w:after="20" w:line="276" w:lineRule="auto"/>
            </w:pPr>
            <w:r/>
            <w:r>
              <w:rPr>
                <w:rFonts w:ascii="Consolas" w:hAnsi="Consolas" w:eastAsia="Consolas"/>
                <w:b w:val="0"/>
                <w:i w:val="0"/>
                <w:color w:val="8B1E3F"/>
                <w:sz w:val="16"/>
              </w:rPr>
              <w:t>Tool</w:t>
            </w:r>
            <w:r>
              <w:rPr>
                <w:rFonts w:ascii="Times New Roman" w:hAnsi="Times New Roman" w:eastAsia="宋体"/>
                <w:b w:val="0"/>
                <w:i w:val="0"/>
                <w:sz w:val="17"/>
              </w:rPr>
              <w:t>、</w:t>
            </w:r>
            <w:r>
              <w:rPr>
                <w:rFonts w:ascii="Consolas" w:hAnsi="Consolas" w:eastAsia="Consolas"/>
                <w:b w:val="0"/>
                <w:i w:val="0"/>
                <w:color w:val="8B1E3F"/>
                <w:sz w:val="16"/>
              </w:rPr>
              <w:t>ToolRegistry.allow</w:t>
            </w:r>
          </w:p>
        </w:tc>
        <w:tc>
          <w:tcPr>
            <w:tcW w:type="dxa" w:w="2324"/>
          </w:tcPr>
          <w:p>
            <w:pPr>
              <w:spacing w:after="20" w:line="276" w:lineRule="auto"/>
            </w:pPr>
            <w:r/>
            <w:r>
              <w:rPr>
                <w:rFonts w:ascii="Times New Roman" w:hAnsi="Times New Roman" w:eastAsia="宋体"/>
                <w:b w:val="0"/>
                <w:i w:val="0"/>
                <w:sz w:val="17"/>
              </w:rPr>
              <w:t>4.2</w:t>
            </w:r>
          </w:p>
        </w:tc>
      </w:tr>
      <w:tr>
        <w:tc>
          <w:tcPr>
            <w:tcW w:type="dxa" w:w="2324"/>
          </w:tcPr>
          <w:p>
            <w:pPr>
              <w:spacing w:after="20" w:line="276" w:lineRule="auto"/>
            </w:pPr>
            <w:r/>
            <w:r>
              <w:rPr>
                <w:rFonts w:ascii="Consolas" w:hAnsi="Consolas" w:eastAsia="Consolas"/>
                <w:b w:val="0"/>
                <w:i w:val="0"/>
                <w:color w:val="8B1E3F"/>
                <w:sz w:val="16"/>
              </w:rPr>
              <w:t>src/cbr/knowledge</w:t>
            </w:r>
          </w:p>
        </w:tc>
        <w:tc>
          <w:tcPr>
            <w:tcW w:type="dxa" w:w="2324"/>
          </w:tcPr>
          <w:p>
            <w:pPr>
              <w:spacing w:after="20" w:line="276" w:lineRule="auto"/>
            </w:pPr>
            <w:r/>
            <w:r>
              <w:rPr>
                <w:rFonts w:ascii="Times New Roman" w:hAnsi="Times New Roman" w:eastAsia="宋体"/>
                <w:b w:val="0"/>
                <w:i w:val="0"/>
                <w:sz w:val="17"/>
              </w:rPr>
              <w:t>知识库构建、时点过滤检索、引文</w:t>
            </w:r>
          </w:p>
        </w:tc>
        <w:tc>
          <w:tcPr>
            <w:tcW w:type="dxa" w:w="2324"/>
          </w:tcPr>
          <w:p>
            <w:pPr>
              <w:spacing w:after="20" w:line="276" w:lineRule="auto"/>
            </w:pPr>
            <w:r/>
            <w:r>
              <w:rPr>
                <w:rFonts w:ascii="Consolas" w:hAnsi="Consolas" w:eastAsia="Consolas"/>
                <w:b w:val="0"/>
                <w:i w:val="0"/>
                <w:color w:val="8B1E3F"/>
                <w:sz w:val="16"/>
              </w:rPr>
              <w:t>KnowledgeBase.search</w:t>
            </w:r>
          </w:p>
        </w:tc>
        <w:tc>
          <w:tcPr>
            <w:tcW w:type="dxa" w:w="2324"/>
          </w:tcPr>
          <w:p>
            <w:pPr>
              <w:spacing w:after="20" w:line="276" w:lineRule="auto"/>
            </w:pPr>
            <w:r/>
            <w:r>
              <w:rPr>
                <w:rFonts w:ascii="Times New Roman" w:hAnsi="Times New Roman" w:eastAsia="宋体"/>
                <w:b w:val="0"/>
                <w:i w:val="0"/>
                <w:sz w:val="17"/>
              </w:rPr>
              <w:t>4.2</w:t>
            </w:r>
          </w:p>
        </w:tc>
      </w:tr>
      <w:tr>
        <w:tc>
          <w:tcPr>
            <w:tcW w:type="dxa" w:w="2324"/>
          </w:tcPr>
          <w:p>
            <w:pPr>
              <w:spacing w:after="20" w:line="276" w:lineRule="auto"/>
            </w:pPr>
            <w:r/>
            <w:r>
              <w:rPr>
                <w:rFonts w:ascii="Consolas" w:hAnsi="Consolas" w:eastAsia="Consolas"/>
                <w:b w:val="0"/>
                <w:i w:val="0"/>
                <w:color w:val="8B1E3F"/>
                <w:sz w:val="16"/>
              </w:rPr>
              <w:t>src/cbr/llm</w:t>
            </w:r>
          </w:p>
        </w:tc>
        <w:tc>
          <w:tcPr>
            <w:tcW w:type="dxa" w:w="2324"/>
          </w:tcPr>
          <w:p>
            <w:pPr>
              <w:spacing w:after="20" w:line="276" w:lineRule="auto"/>
            </w:pPr>
            <w:r/>
            <w:r>
              <w:rPr>
                <w:rFonts w:ascii="Times New Roman" w:hAnsi="Times New Roman" w:eastAsia="宋体"/>
                <w:b w:val="0"/>
                <w:i w:val="0"/>
                <w:sz w:val="17"/>
              </w:rPr>
              <w:t>语言模型抽象、结构化输出、mock 模式</w:t>
            </w:r>
          </w:p>
        </w:tc>
        <w:tc>
          <w:tcPr>
            <w:tcW w:type="dxa" w:w="2324"/>
          </w:tcPr>
          <w:p>
            <w:pPr>
              <w:spacing w:after="20" w:line="276" w:lineRule="auto"/>
            </w:pPr>
            <w:r/>
            <w:r>
              <w:rPr>
                <w:rFonts w:ascii="Consolas" w:hAnsi="Consolas" w:eastAsia="Consolas"/>
                <w:b w:val="0"/>
                <w:i w:val="0"/>
                <w:color w:val="8B1E3F"/>
                <w:sz w:val="16"/>
              </w:rPr>
              <w:t>LLMClient.structured/text</w:t>
            </w:r>
          </w:p>
        </w:tc>
        <w:tc>
          <w:tcPr>
            <w:tcW w:type="dxa" w:w="2324"/>
          </w:tcPr>
          <w:p>
            <w:pPr>
              <w:spacing w:after="20" w:line="276" w:lineRule="auto"/>
            </w:pPr>
            <w:r/>
            <w:r>
              <w:rPr>
                <w:rFonts w:ascii="Times New Roman" w:hAnsi="Times New Roman" w:eastAsia="宋体"/>
                <w:b w:val="0"/>
                <w:i w:val="0"/>
                <w:sz w:val="17"/>
              </w:rPr>
              <w:t>4.3</w:t>
            </w:r>
          </w:p>
        </w:tc>
      </w:tr>
      <w:tr>
        <w:tc>
          <w:tcPr>
            <w:tcW w:type="dxa" w:w="2324"/>
          </w:tcPr>
          <w:p>
            <w:pPr>
              <w:spacing w:after="20" w:line="276" w:lineRule="auto"/>
            </w:pPr>
            <w:r/>
            <w:r>
              <w:rPr>
                <w:rFonts w:ascii="Consolas" w:hAnsi="Consolas" w:eastAsia="Consolas"/>
                <w:b w:val="0"/>
                <w:i w:val="0"/>
                <w:color w:val="8B1E3F"/>
                <w:sz w:val="16"/>
              </w:rPr>
              <w:t>src/cbr/agents</w:t>
            </w:r>
          </w:p>
        </w:tc>
        <w:tc>
          <w:tcPr>
            <w:tcW w:type="dxa" w:w="2324"/>
          </w:tcPr>
          <w:p>
            <w:pPr>
              <w:spacing w:after="20" w:line="276" w:lineRule="auto"/>
            </w:pPr>
            <w:r/>
            <w:r>
              <w:rPr>
                <w:rFonts w:ascii="Times New Roman" w:hAnsi="Times New Roman" w:eastAsia="宋体"/>
                <w:b w:val="0"/>
                <w:i w:val="0"/>
                <w:sz w:val="17"/>
              </w:rPr>
              <w:t>RoleSpec 装配、Agent Loop、RiskCard 生成</w:t>
            </w:r>
          </w:p>
        </w:tc>
        <w:tc>
          <w:tcPr>
            <w:tcW w:type="dxa" w:w="2324"/>
          </w:tcPr>
          <w:p>
            <w:pPr>
              <w:spacing w:after="20" w:line="276" w:lineRule="auto"/>
            </w:pPr>
            <w:r/>
            <w:r>
              <w:rPr>
                <w:rFonts w:ascii="Consolas" w:hAnsi="Consolas" w:eastAsia="Consolas"/>
                <w:b w:val="0"/>
                <w:i w:val="0"/>
                <w:color w:val="8B1E3F"/>
                <w:sz w:val="16"/>
              </w:rPr>
              <w:t>RoleRegistry</w:t>
            </w:r>
            <w:r>
              <w:rPr>
                <w:rFonts w:ascii="Times New Roman" w:hAnsi="Times New Roman" w:eastAsia="宋体"/>
                <w:b w:val="0"/>
                <w:i w:val="0"/>
                <w:sz w:val="17"/>
              </w:rPr>
              <w:t>、</w:t>
            </w:r>
            <w:r>
              <w:rPr>
                <w:rFonts w:ascii="Consolas" w:hAnsi="Consolas" w:eastAsia="Consolas"/>
                <w:b w:val="0"/>
                <w:i w:val="0"/>
                <w:color w:val="8B1E3F"/>
                <w:sz w:val="16"/>
              </w:rPr>
              <w:t>AgentOutput</w:t>
            </w:r>
          </w:p>
        </w:tc>
        <w:tc>
          <w:tcPr>
            <w:tcW w:type="dxa" w:w="2324"/>
          </w:tcPr>
          <w:p>
            <w:pPr>
              <w:spacing w:after="20" w:line="276" w:lineRule="auto"/>
            </w:pPr>
            <w:r/>
            <w:r>
              <w:rPr>
                <w:rFonts w:ascii="Times New Roman" w:hAnsi="Times New Roman" w:eastAsia="宋体"/>
                <w:b w:val="0"/>
                <w:i w:val="0"/>
                <w:sz w:val="17"/>
              </w:rPr>
              <w:t>4.3</w:t>
            </w:r>
          </w:p>
        </w:tc>
      </w:tr>
      <w:tr>
        <w:tc>
          <w:tcPr>
            <w:tcW w:type="dxa" w:w="2324"/>
          </w:tcPr>
          <w:p>
            <w:pPr>
              <w:spacing w:after="20" w:line="276" w:lineRule="auto"/>
            </w:pPr>
            <w:r/>
            <w:r>
              <w:rPr>
                <w:rFonts w:ascii="Consolas" w:hAnsi="Consolas" w:eastAsia="Consolas"/>
                <w:b w:val="0"/>
                <w:i w:val="0"/>
                <w:color w:val="8B1E3F"/>
                <w:sz w:val="16"/>
              </w:rPr>
              <w:t>src/cbr/orchestration</w:t>
            </w:r>
          </w:p>
        </w:tc>
        <w:tc>
          <w:tcPr>
            <w:tcW w:type="dxa" w:w="2324"/>
          </w:tcPr>
          <w:p>
            <w:pPr>
              <w:spacing w:after="20" w:line="276" w:lineRule="auto"/>
            </w:pPr>
            <w:r/>
            <w:r>
              <w:rPr>
                <w:rFonts w:ascii="Times New Roman" w:hAnsi="Times New Roman" w:eastAsia="宋体"/>
                <w:b w:val="0"/>
                <w:i w:val="0"/>
                <w:sz w:val="17"/>
              </w:rPr>
              <w:t>协调器、证据黑板、R0–R5、冲突处理、HITL</w:t>
            </w:r>
          </w:p>
        </w:tc>
        <w:tc>
          <w:tcPr>
            <w:tcW w:type="dxa" w:w="2324"/>
          </w:tcPr>
          <w:p>
            <w:pPr>
              <w:spacing w:after="20" w:line="276" w:lineRule="auto"/>
            </w:pPr>
            <w:r/>
            <w:r>
              <w:rPr>
                <w:rFonts w:ascii="Consolas" w:hAnsi="Consolas" w:eastAsia="Consolas"/>
                <w:b w:val="0"/>
                <w:i w:val="0"/>
                <w:color w:val="8B1E3F"/>
                <w:sz w:val="16"/>
              </w:rPr>
              <w:t>Orchestrator.run/chat</w:t>
            </w:r>
            <w:r>
              <w:rPr>
                <w:rFonts w:ascii="Times New Roman" w:hAnsi="Times New Roman" w:eastAsia="宋体"/>
                <w:b w:val="0"/>
                <w:i w:val="0"/>
                <w:sz w:val="17"/>
              </w:rPr>
              <w:t>、</w:t>
            </w:r>
            <w:r>
              <w:rPr>
                <w:rFonts w:ascii="Consolas" w:hAnsi="Consolas" w:eastAsia="Consolas"/>
                <w:b w:val="0"/>
                <w:i w:val="0"/>
                <w:color w:val="8B1E3F"/>
                <w:sz w:val="16"/>
              </w:rPr>
              <w:t>DecisionCard</w:t>
            </w:r>
          </w:p>
        </w:tc>
        <w:tc>
          <w:tcPr>
            <w:tcW w:type="dxa" w:w="2324"/>
          </w:tcPr>
          <w:p>
            <w:pPr>
              <w:spacing w:after="20" w:line="276" w:lineRule="auto"/>
            </w:pPr>
            <w:r/>
            <w:r>
              <w:rPr>
                <w:rFonts w:ascii="Times New Roman" w:hAnsi="Times New Roman" w:eastAsia="宋体"/>
                <w:b w:val="0"/>
                <w:i w:val="0"/>
                <w:sz w:val="17"/>
              </w:rPr>
              <w:t>4.4</w:t>
            </w:r>
          </w:p>
        </w:tc>
      </w:tr>
      <w:tr>
        <w:tc>
          <w:tcPr>
            <w:tcW w:type="dxa" w:w="2324"/>
          </w:tcPr>
          <w:p>
            <w:pPr>
              <w:spacing w:after="20" w:line="276" w:lineRule="auto"/>
            </w:pPr>
            <w:r/>
            <w:r>
              <w:rPr>
                <w:rFonts w:ascii="Consolas" w:hAnsi="Consolas" w:eastAsia="Consolas"/>
                <w:b w:val="0"/>
                <w:i w:val="0"/>
                <w:color w:val="8B1E3F"/>
                <w:sz w:val="16"/>
              </w:rPr>
              <w:t>src/cbr/verification</w:t>
            </w:r>
          </w:p>
        </w:tc>
        <w:tc>
          <w:tcPr>
            <w:tcW w:type="dxa" w:w="2324"/>
          </w:tcPr>
          <w:p>
            <w:pPr>
              <w:spacing w:after="20" w:line="276" w:lineRule="auto"/>
            </w:pPr>
            <w:r/>
            <w:r>
              <w:rPr>
                <w:rFonts w:ascii="Times New Roman" w:hAnsi="Times New Roman" w:eastAsia="宋体"/>
                <w:b w:val="0"/>
                <w:i w:val="0"/>
                <w:sz w:val="17"/>
              </w:rPr>
              <w:t>数值/引文/时点/越权/schema 核验、审计轨迹</w:t>
            </w:r>
          </w:p>
        </w:tc>
        <w:tc>
          <w:tcPr>
            <w:tcW w:type="dxa" w:w="2324"/>
          </w:tcPr>
          <w:p>
            <w:pPr>
              <w:spacing w:after="20" w:line="276" w:lineRule="auto"/>
            </w:pPr>
            <w:r/>
            <w:r>
              <w:rPr>
                <w:rFonts w:ascii="Consolas" w:hAnsi="Consolas" w:eastAsia="Consolas"/>
                <w:b w:val="0"/>
                <w:i w:val="0"/>
                <w:color w:val="8B1E3F"/>
                <w:sz w:val="16"/>
              </w:rPr>
              <w:t>VerificationReport</w:t>
            </w:r>
            <w:r>
              <w:rPr>
                <w:rFonts w:ascii="Times New Roman" w:hAnsi="Times New Roman" w:eastAsia="宋体"/>
                <w:b w:val="0"/>
                <w:i w:val="0"/>
                <w:sz w:val="17"/>
              </w:rPr>
              <w:t>、</w:t>
            </w:r>
            <w:r>
              <w:rPr>
                <w:rFonts w:ascii="Consolas" w:hAnsi="Consolas" w:eastAsia="Consolas"/>
                <w:b w:val="0"/>
                <w:i w:val="0"/>
                <w:color w:val="8B1E3F"/>
                <w:sz w:val="16"/>
              </w:rPr>
              <w:t>TraceEvent</w:t>
            </w:r>
          </w:p>
        </w:tc>
        <w:tc>
          <w:tcPr>
            <w:tcW w:type="dxa" w:w="2324"/>
          </w:tcPr>
          <w:p>
            <w:pPr>
              <w:spacing w:after="20" w:line="276" w:lineRule="auto"/>
            </w:pPr>
            <w:r/>
            <w:r>
              <w:rPr>
                <w:rFonts w:ascii="Times New Roman" w:hAnsi="Times New Roman" w:eastAsia="宋体"/>
                <w:b w:val="0"/>
                <w:i w:val="0"/>
                <w:sz w:val="17"/>
              </w:rPr>
              <w:t>4.2、4.4</w:t>
            </w:r>
          </w:p>
        </w:tc>
      </w:tr>
      <w:tr>
        <w:tc>
          <w:tcPr>
            <w:tcW w:type="dxa" w:w="2324"/>
          </w:tcPr>
          <w:p>
            <w:pPr>
              <w:spacing w:after="20" w:line="276" w:lineRule="auto"/>
            </w:pPr>
            <w:r/>
            <w:r>
              <w:rPr>
                <w:rFonts w:ascii="Consolas" w:hAnsi="Consolas" w:eastAsia="Consolas"/>
                <w:b w:val="0"/>
                <w:i w:val="0"/>
                <w:color w:val="8B1E3F"/>
                <w:sz w:val="16"/>
              </w:rPr>
              <w:t>src/cbr/eval</w:t>
            </w:r>
          </w:p>
        </w:tc>
        <w:tc>
          <w:tcPr>
            <w:tcW w:type="dxa" w:w="2324"/>
          </w:tcPr>
          <w:p>
            <w:pPr>
              <w:spacing w:after="20" w:line="276" w:lineRule="auto"/>
            </w:pPr>
            <w:r/>
            <w:r>
              <w:rPr>
                <w:rFonts w:ascii="Times New Roman" w:hAnsi="Times New Roman" w:eastAsia="宋体"/>
                <w:b w:val="0"/>
                <w:i w:val="0"/>
                <w:sz w:val="17"/>
              </w:rPr>
              <w:t>指标计算、消融、时点回放、统计检验</w:t>
            </w:r>
          </w:p>
        </w:tc>
        <w:tc>
          <w:tcPr>
            <w:tcW w:type="dxa" w:w="2324"/>
          </w:tcPr>
          <w:p>
            <w:pPr>
              <w:spacing w:after="20" w:line="276" w:lineRule="auto"/>
            </w:pPr>
            <w:r/>
            <w:r>
              <w:rPr>
                <w:rFonts w:ascii="Consolas" w:hAnsi="Consolas" w:eastAsia="Consolas"/>
                <w:b w:val="0"/>
                <w:i w:val="0"/>
                <w:color w:val="8B1E3F"/>
                <w:sz w:val="16"/>
              </w:rPr>
              <w:t>ExperimentConfig</w:t>
            </w:r>
            <w:r>
              <w:rPr>
                <w:rFonts w:ascii="Times New Roman" w:hAnsi="Times New Roman" w:eastAsia="宋体"/>
                <w:b w:val="0"/>
                <w:i w:val="0"/>
                <w:sz w:val="17"/>
              </w:rPr>
              <w:t>、</w:t>
            </w:r>
            <w:r>
              <w:rPr>
                <w:rFonts w:ascii="Consolas" w:hAnsi="Consolas" w:eastAsia="Consolas"/>
                <w:b w:val="0"/>
                <w:i w:val="0"/>
                <w:color w:val="8B1E3F"/>
                <w:sz w:val="16"/>
              </w:rPr>
              <w:t>ExperimentRun</w:t>
            </w:r>
            <w:r>
              <w:rPr>
                <w:rFonts w:ascii="Times New Roman" w:hAnsi="Times New Roman" w:eastAsia="宋体"/>
                <w:b w:val="0"/>
                <w:i w:val="0"/>
                <w:sz w:val="17"/>
              </w:rPr>
              <w:t>、</w:t>
            </w:r>
            <w:r>
              <w:rPr>
                <w:rFonts w:ascii="Consolas" w:hAnsi="Consolas" w:eastAsia="Consolas"/>
                <w:b w:val="0"/>
                <w:i w:val="0"/>
                <w:color w:val="8B1E3F"/>
                <w:sz w:val="16"/>
              </w:rPr>
              <w:t>MetricResult</w:t>
            </w:r>
          </w:p>
        </w:tc>
        <w:tc>
          <w:tcPr>
            <w:tcW w:type="dxa" w:w="2324"/>
          </w:tcPr>
          <w:p>
            <w:pPr>
              <w:spacing w:after="20" w:line="276" w:lineRule="auto"/>
            </w:pPr>
            <w:r/>
            <w:r>
              <w:rPr>
                <w:rFonts w:ascii="Times New Roman" w:hAnsi="Times New Roman" w:eastAsia="宋体"/>
                <w:b w:val="0"/>
                <w:i w:val="0"/>
                <w:sz w:val="17"/>
              </w:rPr>
              <w:t>4.5、第五章</w:t>
            </w:r>
          </w:p>
        </w:tc>
      </w:tr>
      <w:tr>
        <w:tc>
          <w:tcPr>
            <w:tcW w:type="dxa" w:w="2324"/>
          </w:tcPr>
          <w:p>
            <w:pPr>
              <w:spacing w:after="20" w:line="276" w:lineRule="auto"/>
            </w:pPr>
            <w:r/>
            <w:r>
              <w:rPr>
                <w:rFonts w:ascii="Consolas" w:hAnsi="Consolas" w:eastAsia="Consolas"/>
                <w:b w:val="0"/>
                <w:i w:val="0"/>
                <w:color w:val="8B1E3F"/>
                <w:sz w:val="16"/>
              </w:rPr>
              <w:t>configs</w:t>
            </w:r>
          </w:p>
        </w:tc>
        <w:tc>
          <w:tcPr>
            <w:tcW w:type="dxa" w:w="2324"/>
          </w:tcPr>
          <w:p>
            <w:pPr>
              <w:spacing w:after="20" w:line="276" w:lineRule="auto"/>
            </w:pPr>
            <w:r/>
            <w:r>
              <w:rPr>
                <w:rFonts w:ascii="Times New Roman" w:hAnsi="Times New Roman" w:eastAsia="宋体"/>
                <w:b w:val="0"/>
                <w:i w:val="0"/>
                <w:sz w:val="17"/>
              </w:rPr>
              <w:t>角色、应用、实验、情景、工具与知识库配置</w:t>
            </w:r>
          </w:p>
        </w:tc>
        <w:tc>
          <w:tcPr>
            <w:tcW w:type="dxa" w:w="2324"/>
          </w:tcPr>
          <w:p>
            <w:pPr>
              <w:spacing w:after="20" w:line="276" w:lineRule="auto"/>
            </w:pPr>
            <w:r/>
            <w:r>
              <w:rPr>
                <w:rFonts w:ascii="Times New Roman" w:hAnsi="Times New Roman" w:eastAsia="宋体"/>
                <w:b w:val="0"/>
                <w:i w:val="0"/>
                <w:sz w:val="17"/>
              </w:rPr>
              <w:t>YAML → Pydantic 配置对象</w:t>
            </w:r>
          </w:p>
        </w:tc>
        <w:tc>
          <w:tcPr>
            <w:tcW w:type="dxa" w:w="2324"/>
          </w:tcPr>
          <w:p>
            <w:pPr>
              <w:spacing w:after="20" w:line="276" w:lineRule="auto"/>
            </w:pPr>
            <w:r/>
            <w:r>
              <w:rPr>
                <w:rFonts w:ascii="Times New Roman" w:hAnsi="Times New Roman" w:eastAsia="宋体"/>
                <w:b w:val="0"/>
                <w:i w:val="0"/>
                <w:sz w:val="17"/>
              </w:rPr>
              <w:t>4.3、4.5</w:t>
            </w:r>
          </w:p>
        </w:tc>
      </w:tr>
      <w:tr>
        <w:tc>
          <w:tcPr>
            <w:tcW w:type="dxa" w:w="2324"/>
          </w:tcPr>
          <w:p>
            <w:pPr>
              <w:spacing w:after="20" w:line="276" w:lineRule="auto"/>
            </w:pPr>
            <w:r/>
            <w:r>
              <w:rPr>
                <w:rFonts w:ascii="Consolas" w:hAnsi="Consolas" w:eastAsia="Consolas"/>
                <w:b w:val="0"/>
                <w:i w:val="0"/>
                <w:color w:val="8B1E3F"/>
                <w:sz w:val="16"/>
              </w:rPr>
              <w:t>web/</w:t>
            </w:r>
          </w:p>
        </w:tc>
        <w:tc>
          <w:tcPr>
            <w:tcW w:type="dxa" w:w="2324"/>
          </w:tcPr>
          <w:p>
            <w:pPr>
              <w:spacing w:after="20" w:line="276" w:lineRule="auto"/>
            </w:pPr>
            <w:r/>
            <w:r>
              <w:rPr>
                <w:rFonts w:ascii="Times New Roman" w:hAnsi="Times New Roman" w:eastAsia="宋体"/>
                <w:b w:val="0"/>
                <w:i w:val="0"/>
                <w:sz w:val="17"/>
              </w:rPr>
              <w:t>React 19 + Vite + Tailwind v4 决策支持前端（驾驶台/对话，light/dark，token 化设计系统；遵循 shadcn/ui 组件规范与 Linear 级信息密度；消费 SSE 流式事件渲染运行进度与活动流）</w:t>
            </w:r>
          </w:p>
        </w:tc>
        <w:tc>
          <w:tcPr>
            <w:tcW w:type="dxa" w:w="2324"/>
          </w:tcPr>
          <w:p>
            <w:pPr>
              <w:spacing w:after="20" w:line="276" w:lineRule="auto"/>
            </w:pPr>
            <w:r/>
            <w:r>
              <w:rPr>
                <w:rFonts w:ascii="Times New Roman" w:hAnsi="Times New Roman" w:eastAsia="宋体"/>
                <w:b w:val="0"/>
                <w:i w:val="0"/>
                <w:sz w:val="17"/>
              </w:rPr>
              <w:t xml:space="preserve">消费 </w:t>
            </w:r>
            <w:r>
              <w:rPr>
                <w:rFonts w:ascii="Consolas" w:hAnsi="Consolas" w:eastAsia="Consolas"/>
                <w:b w:val="0"/>
                <w:i w:val="0"/>
                <w:color w:val="8B1E3F"/>
                <w:sz w:val="16"/>
              </w:rPr>
              <w:t>/api/decision(/stream)</w:t>
            </w:r>
            <w:r>
              <w:rPr>
                <w:rFonts w:ascii="Times New Roman" w:hAnsi="Times New Roman" w:eastAsia="宋体"/>
                <w:b w:val="0"/>
                <w:i w:val="0"/>
                <w:sz w:val="17"/>
              </w:rPr>
              <w:t>、</w:t>
            </w:r>
            <w:r>
              <w:rPr>
                <w:rFonts w:ascii="Consolas" w:hAnsi="Consolas" w:eastAsia="Consolas"/>
                <w:b w:val="0"/>
                <w:i w:val="0"/>
                <w:color w:val="8B1E3F"/>
                <w:sz w:val="16"/>
              </w:rPr>
              <w:t>/api/chat(/stream)</w:t>
            </w:r>
            <w:r>
              <w:rPr>
                <w:rFonts w:ascii="Times New Roman" w:hAnsi="Times New Roman" w:eastAsia="宋体"/>
                <w:b w:val="0"/>
                <w:i w:val="0"/>
                <w:sz w:val="17"/>
              </w:rPr>
              <w:t>、</w:t>
            </w:r>
            <w:r>
              <w:rPr>
                <w:rFonts w:ascii="Consolas" w:hAnsi="Consolas" w:eastAsia="Consolas"/>
                <w:b w:val="0"/>
                <w:i w:val="0"/>
                <w:color w:val="8B1E3F"/>
                <w:sz w:val="16"/>
              </w:rPr>
              <w:t>/api/evidence</w:t>
            </w:r>
            <w:r>
              <w:rPr>
                <w:rFonts w:ascii="Times New Roman" w:hAnsi="Times New Roman" w:eastAsia="宋体"/>
                <w:b w:val="0"/>
                <w:i w:val="0"/>
                <w:sz w:val="17"/>
              </w:rPr>
              <w:t>、</w:t>
            </w:r>
            <w:r>
              <w:rPr>
                <w:rFonts w:ascii="Consolas" w:hAnsi="Consolas" w:eastAsia="Consolas"/>
                <w:b w:val="0"/>
                <w:i w:val="0"/>
                <w:color w:val="8B1E3F"/>
                <w:sz w:val="16"/>
              </w:rPr>
              <w:t>/api/trace</w:t>
            </w:r>
            <w:r>
              <w:rPr>
                <w:rFonts w:ascii="Times New Roman" w:hAnsi="Times New Roman" w:eastAsia="宋体"/>
                <w:b w:val="0"/>
                <w:i w:val="0"/>
                <w:sz w:val="17"/>
              </w:rPr>
              <w:t xml:space="preserve"> 等</w:t>
            </w:r>
          </w:p>
        </w:tc>
        <w:tc>
          <w:tcPr>
            <w:tcW w:type="dxa" w:w="2324"/>
          </w:tcPr>
          <w:p>
            <w:pPr>
              <w:spacing w:after="20" w:line="276" w:lineRule="auto"/>
            </w:pPr>
            <w:r/>
            <w:r>
              <w:rPr>
                <w:rFonts w:ascii="Times New Roman" w:hAnsi="Times New Roman" w:eastAsia="宋体"/>
                <w:b w:val="0"/>
                <w:i w:val="0"/>
                <w:sz w:val="17"/>
              </w:rPr>
              <w:t>4.4.4、6.4</w:t>
            </w:r>
          </w:p>
        </w:tc>
      </w:tr>
      <w:tr>
        <w:tc>
          <w:tcPr>
            <w:tcW w:type="dxa" w:w="2324"/>
          </w:tcPr>
          <w:p>
            <w:pPr>
              <w:spacing w:after="20" w:line="276" w:lineRule="auto"/>
            </w:pPr>
            <w:r/>
            <w:r>
              <w:rPr>
                <w:rFonts w:ascii="Consolas" w:hAnsi="Consolas" w:eastAsia="Consolas"/>
                <w:b w:val="0"/>
                <w:i w:val="0"/>
                <w:color w:val="8B1E3F"/>
                <w:sz w:val="16"/>
              </w:rPr>
              <w:t>app</w:t>
            </w:r>
            <w:r>
              <w:rPr>
                <w:rFonts w:ascii="Times New Roman" w:hAnsi="Times New Roman" w:eastAsia="宋体"/>
                <w:b w:val="0"/>
                <w:i w:val="0"/>
                <w:sz w:val="17"/>
              </w:rPr>
              <w:t>、</w:t>
            </w:r>
            <w:r>
              <w:rPr>
                <w:rFonts w:ascii="Consolas" w:hAnsi="Consolas" w:eastAsia="Consolas"/>
                <w:b w:val="0"/>
                <w:i w:val="0"/>
                <w:color w:val="8B1E3F"/>
                <w:sz w:val="16"/>
              </w:rPr>
              <w:t>src/cbr/api</w:t>
            </w:r>
          </w:p>
        </w:tc>
        <w:tc>
          <w:tcPr>
            <w:tcW w:type="dxa" w:w="2324"/>
          </w:tcPr>
          <w:p>
            <w:pPr>
              <w:spacing w:after="20" w:line="276" w:lineRule="auto"/>
            </w:pPr>
            <w:r/>
            <w:r>
              <w:rPr>
                <w:rFonts w:ascii="Times New Roman" w:hAnsi="Times New Roman" w:eastAsia="宋体"/>
                <w:b w:val="0"/>
                <w:i w:val="0"/>
                <w:sz w:val="17"/>
              </w:rPr>
              <w:t xml:space="preserve">Streamlit 回退驾驶台与 FastAPI 服务：同步端点 </w:t>
            </w:r>
            <w:r>
              <w:rPr>
                <w:rFonts w:ascii="Consolas" w:hAnsi="Consolas" w:eastAsia="Consolas"/>
                <w:b w:val="0"/>
                <w:i w:val="0"/>
                <w:color w:val="8B1E3F"/>
                <w:sz w:val="16"/>
              </w:rPr>
              <w:t>/api/decision</w:t>
            </w:r>
            <w:r>
              <w:rPr>
                <w:rFonts w:ascii="Times New Roman" w:hAnsi="Times New Roman" w:eastAsia="宋体"/>
                <w:b w:val="0"/>
                <w:i w:val="0"/>
                <w:sz w:val="17"/>
              </w:rPr>
              <w:t>、</w:t>
            </w:r>
            <w:r>
              <w:rPr>
                <w:rFonts w:ascii="Consolas" w:hAnsi="Consolas" w:eastAsia="Consolas"/>
                <w:b w:val="0"/>
                <w:i w:val="0"/>
                <w:color w:val="8B1E3F"/>
                <w:sz w:val="16"/>
              </w:rPr>
              <w:t>/api/chat</w:t>
            </w:r>
            <w:r>
              <w:rPr>
                <w:rFonts w:ascii="Times New Roman" w:hAnsi="Times New Roman" w:eastAsia="宋体"/>
                <w:b w:val="0"/>
                <w:i w:val="0"/>
                <w:sz w:val="17"/>
              </w:rPr>
              <w:t>、</w:t>
            </w:r>
            <w:r>
              <w:rPr>
                <w:rFonts w:ascii="Consolas" w:hAnsi="Consolas" w:eastAsia="Consolas"/>
                <w:b w:val="0"/>
                <w:i w:val="0"/>
                <w:color w:val="8B1E3F"/>
                <w:sz w:val="16"/>
              </w:rPr>
              <w:t>/api/evidence/{id}</w:t>
            </w:r>
            <w:r>
              <w:rPr>
                <w:rFonts w:ascii="Times New Roman" w:hAnsi="Times New Roman" w:eastAsia="宋体"/>
                <w:b w:val="0"/>
                <w:i w:val="0"/>
                <w:sz w:val="17"/>
              </w:rPr>
              <w:t>、</w:t>
            </w:r>
            <w:r>
              <w:rPr>
                <w:rFonts w:ascii="Consolas" w:hAnsi="Consolas" w:eastAsia="Consolas"/>
                <w:b w:val="0"/>
                <w:i w:val="0"/>
                <w:color w:val="8B1E3F"/>
                <w:sz w:val="16"/>
              </w:rPr>
              <w:t>/api/trace/{run_id}</w:t>
            </w:r>
            <w:r>
              <w:rPr>
                <w:rFonts w:ascii="Times New Roman" w:hAnsi="Times New Roman" w:eastAsia="宋体"/>
                <w:b w:val="0"/>
                <w:i w:val="0"/>
                <w:sz w:val="17"/>
              </w:rPr>
              <w:t xml:space="preserve"> 等，以及 SSE 流式端点 </w:t>
            </w:r>
            <w:r>
              <w:rPr>
                <w:rFonts w:ascii="Consolas" w:hAnsi="Consolas" w:eastAsia="Consolas"/>
                <w:b w:val="0"/>
                <w:i w:val="0"/>
                <w:color w:val="8B1E3F"/>
                <w:sz w:val="16"/>
              </w:rPr>
              <w:t>/api/decision/stream</w:t>
            </w:r>
            <w:r>
              <w:rPr>
                <w:rFonts w:ascii="Times New Roman" w:hAnsi="Times New Roman" w:eastAsia="宋体"/>
                <w:b w:val="0"/>
                <w:i w:val="0"/>
                <w:sz w:val="17"/>
              </w:rPr>
              <w:t>、</w:t>
            </w:r>
            <w:r>
              <w:rPr>
                <w:rFonts w:ascii="Consolas" w:hAnsi="Consolas" w:eastAsia="Consolas"/>
                <w:b w:val="0"/>
                <w:i w:val="0"/>
                <w:color w:val="8B1E3F"/>
                <w:sz w:val="16"/>
              </w:rPr>
              <w:t>/api/chat/stream</w:t>
            </w:r>
            <w:r>
              <w:rPr>
                <w:rFonts w:ascii="Times New Roman" w:hAnsi="Times New Roman" w:eastAsia="宋体"/>
                <w:b w:val="0"/>
                <w:i w:val="0"/>
                <w:sz w:val="17"/>
              </w:rPr>
              <w:t>；</w:t>
            </w:r>
            <w:r>
              <w:rPr>
                <w:rFonts w:ascii="Consolas" w:hAnsi="Consolas" w:eastAsia="Consolas"/>
                <w:b w:val="0"/>
                <w:i w:val="0"/>
                <w:color w:val="8B1E3F"/>
                <w:sz w:val="16"/>
              </w:rPr>
              <w:t>/ui</w:t>
            </w:r>
            <w:r>
              <w:rPr>
                <w:rFonts w:ascii="Times New Roman" w:hAnsi="Times New Roman" w:eastAsia="宋体"/>
                <w:b w:val="0"/>
                <w:i w:val="0"/>
                <w:sz w:val="17"/>
              </w:rPr>
              <w:t xml:space="preserve"> 静态托管 React 构建产物</w:t>
            </w:r>
          </w:p>
        </w:tc>
        <w:tc>
          <w:tcPr>
            <w:tcW w:type="dxa" w:w="2324"/>
          </w:tcPr>
          <w:p>
            <w:pPr>
              <w:spacing w:after="20" w:line="276" w:lineRule="auto"/>
            </w:pPr>
            <w:r/>
            <w:r>
              <w:rPr>
                <w:rFonts w:ascii="Times New Roman" w:hAnsi="Times New Roman" w:eastAsia="宋体"/>
                <w:b w:val="0"/>
                <w:i w:val="0"/>
                <w:sz w:val="17"/>
              </w:rPr>
              <w:t>HTTP / SSE / UI</w:t>
            </w:r>
          </w:p>
        </w:tc>
        <w:tc>
          <w:tcPr>
            <w:tcW w:type="dxa" w:w="2324"/>
          </w:tcPr>
          <w:p>
            <w:pPr>
              <w:spacing w:after="20" w:line="276" w:lineRule="auto"/>
            </w:pPr>
            <w:r/>
            <w:r>
              <w:rPr>
                <w:rFonts w:ascii="Times New Roman" w:hAnsi="Times New Roman" w:eastAsia="宋体"/>
                <w:b w:val="0"/>
                <w:i w:val="0"/>
                <w:sz w:val="17"/>
              </w:rPr>
              <w:t>4.4.4、6.4</w:t>
            </w:r>
          </w:p>
        </w:tc>
      </w:tr>
    </w:tbl>
    <w:p>
      <w:pPr>
        <w:spacing w:after="40"/>
      </w:pPr>
    </w:p>
    <w:p>
      <w:r>
        <w:rPr>
          <w:rFonts w:ascii="Times New Roman" w:hAnsi="Times New Roman" w:eastAsia="宋体"/>
          <w:b w:val="0"/>
          <w:i w:val="0"/>
          <w:sz w:val="21"/>
        </w:rPr>
        <w:t>配置装配由服务容器完成：</w:t>
      </w:r>
      <w:r>
        <w:rPr>
          <w:rFonts w:ascii="Consolas" w:hAnsi="Consolas" w:eastAsia="Consolas"/>
          <w:b w:val="0"/>
          <w:i w:val="0"/>
          <w:color w:val="8B1E3F"/>
          <w:sz w:val="20"/>
        </w:rPr>
        <w:t>build_service()</w:t>
      </w:r>
      <w:r>
        <w:rPr>
          <w:rFonts w:ascii="Times New Roman" w:hAnsi="Times New Roman" w:eastAsia="宋体"/>
          <w:b w:val="0"/>
          <w:i w:val="0"/>
          <w:sz w:val="21"/>
        </w:rPr>
        <w:t xml:space="preserve"> 依次装配数据、知识、工具、语言模型与编排层，返回 API、驾驶台与实验脚本共用的 </w:t>
      </w:r>
      <w:r>
        <w:rPr>
          <w:rFonts w:ascii="Consolas" w:hAnsi="Consolas" w:eastAsia="Consolas"/>
          <w:b w:val="0"/>
          <w:i w:val="0"/>
          <w:color w:val="8B1E3F"/>
          <w:sz w:val="20"/>
        </w:rPr>
        <w:t>Service</w:t>
      </w:r>
      <w:r>
        <w:rPr>
          <w:rFonts w:ascii="Times New Roman" w:hAnsi="Times New Roman" w:eastAsia="宋体"/>
          <w:b w:val="0"/>
          <w:i w:val="0"/>
          <w:sz w:val="21"/>
        </w:rPr>
        <w:t xml:space="preserve"> 单例（进程内 </w:t>
      </w:r>
      <w:r>
        <w:rPr>
          <w:rFonts w:ascii="Consolas" w:hAnsi="Consolas" w:eastAsia="Consolas"/>
          <w:b w:val="0"/>
          <w:i w:val="0"/>
          <w:color w:val="8B1E3F"/>
          <w:sz w:val="20"/>
        </w:rPr>
        <w:t>get_service()</w:t>
      </w:r>
      <w:r>
        <w:rPr>
          <w:rFonts w:ascii="Times New Roman" w:hAnsi="Times New Roman" w:eastAsia="宋体"/>
          <w:b w:val="0"/>
          <w:i w:val="0"/>
          <w:sz w:val="21"/>
        </w:rPr>
        <w:t>）。当前快照由合成 DGP 构建：</w:t>
      </w:r>
      <w:r>
        <w:rPr>
          <w:rFonts w:ascii="Consolas" w:hAnsi="Consolas" w:eastAsia="Consolas"/>
          <w:b w:val="0"/>
          <w:i w:val="0"/>
          <w:color w:val="8B1E3F"/>
          <w:sz w:val="20"/>
        </w:rPr>
        <w:t>dataset_snapshot_id=ds_1beab3f3ffd9e31a4c5b</w:t>
      </w:r>
      <w:r>
        <w:rPr>
          <w:rFonts w:ascii="Times New Roman" w:hAnsi="Times New Roman" w:eastAsia="宋体"/>
          <w:b w:val="0"/>
          <w:i w:val="0"/>
          <w:sz w:val="21"/>
        </w:rPr>
        <w:t>、</w:t>
      </w:r>
      <w:r>
        <w:rPr>
          <w:rFonts w:ascii="Consolas" w:hAnsi="Consolas" w:eastAsia="Consolas"/>
          <w:b w:val="0"/>
          <w:i w:val="0"/>
          <w:color w:val="8B1E3F"/>
          <w:sz w:val="20"/>
        </w:rPr>
        <w:t>corpus_hash=corpus_7ac20be6ce7d622c8308</w:t>
      </w:r>
      <w:r>
        <w:rPr>
          <w:rFonts w:ascii="Times New Roman" w:hAnsi="Times New Roman" w:eastAsia="宋体"/>
          <w:b w:val="0"/>
          <w:i w:val="0"/>
          <w:sz w:val="21"/>
        </w:rPr>
        <w:t>，PIT 表含 41,367 条序列观测、2,207 篇文档与 27 条序列元数据，数据卡 27 条。语言模型层支持真实 API 与 mock 两种实现，无密钥或复现模式下默认 mock（</w:t>
      </w:r>
      <w:r>
        <w:rPr>
          <w:rFonts w:ascii="Consolas" w:hAnsi="Consolas" w:eastAsia="Consolas"/>
          <w:b w:val="0"/>
          <w:i w:val="0"/>
          <w:color w:val="8B1E3F"/>
          <w:sz w:val="20"/>
        </w:rPr>
        <w:t>llm.mock=true</w:t>
      </w:r>
      <w:r>
        <w:rPr>
          <w:rFonts w:ascii="Times New Roman" w:hAnsi="Times New Roman" w:eastAsia="宋体"/>
          <w:b w:val="0"/>
          <w:i w:val="0"/>
          <w:sz w:val="21"/>
        </w:rPr>
        <w:t xml:space="preserve">），使实验与测试不依赖外部服务并保留真实模型切换能力。L6 前端以 React 19 + Vite + Tailwind v4 实现双主题与 token 化视觉规范，FastAPI 通过 </w:t>
      </w:r>
      <w:r>
        <w:rPr>
          <w:rFonts w:ascii="Consolas" w:hAnsi="Consolas" w:eastAsia="Consolas"/>
          <w:b w:val="0"/>
          <w:i w:val="0"/>
          <w:color w:val="8B1E3F"/>
          <w:sz w:val="20"/>
        </w:rPr>
        <w:t>/ui</w:t>
      </w:r>
      <w:r>
        <w:rPr>
          <w:rFonts w:ascii="Times New Roman" w:hAnsi="Times New Roman" w:eastAsia="宋体"/>
          <w:b w:val="0"/>
          <w:i w:val="0"/>
          <w:sz w:val="21"/>
        </w:rPr>
        <w:t xml:space="preserve"> 静态托管，并对 </w:t>
      </w:r>
      <w:r>
        <w:rPr>
          <w:rFonts w:ascii="Consolas" w:hAnsi="Consolas" w:eastAsia="Consolas"/>
          <w:b w:val="0"/>
          <w:i w:val="0"/>
          <w:color w:val="8B1E3F"/>
          <w:sz w:val="20"/>
        </w:rPr>
        <w:t>/api/decision</w:t>
      </w:r>
      <w:r>
        <w:rPr>
          <w:rFonts w:ascii="Times New Roman" w:hAnsi="Times New Roman" w:eastAsia="宋体"/>
          <w:b w:val="0"/>
          <w:i w:val="0"/>
          <w:sz w:val="21"/>
        </w:rPr>
        <w:t xml:space="preserve"> 设置 30 分钟结果缓存以避免界面操作重复触发真实模型调用；Streamlit 界面保留为回退路径。</w:t>
      </w:r>
    </w:p>
    <w:p>
      <w:pPr>
        <w:pStyle w:val="Heading3"/>
      </w:pPr>
      <w:r>
        <w:rPr>
          <w:rFonts w:ascii="Times New Roman" w:hAnsi="Times New Roman" w:eastAsia="宋体"/>
          <w:b w:val="0"/>
          <w:i w:val="0"/>
          <w:sz w:val="23"/>
        </w:rPr>
        <w:t>4.5.2 配置化实验与消融矩阵</w:t>
      </w:r>
    </w:p>
    <w:p>
      <w:r>
        <w:rPr>
          <w:rFonts w:ascii="Times New Roman" w:hAnsi="Times New Roman" w:eastAsia="宋体"/>
          <w:b w:val="0"/>
          <w:i w:val="0"/>
          <w:sz w:val="21"/>
        </w:rPr>
        <w:t xml:space="preserve">每个实验由一份 YAML 配置完整描述，配置经 Pydantic 校验后登记为运行记录，产出目录为 </w:t>
      </w:r>
      <w:r>
        <w:rPr>
          <w:rFonts w:ascii="Consolas" w:hAnsi="Consolas" w:eastAsia="Consolas"/>
          <w:b w:val="0"/>
          <w:i w:val="0"/>
          <w:color w:val="8B1E3F"/>
          <w:sz w:val="20"/>
        </w:rPr>
        <w:t>artifacts/runs/&lt;run_id&gt;/</w:t>
      </w:r>
      <w:r>
        <w:rPr>
          <w:rFonts w:ascii="Times New Roman" w:hAnsi="Times New Roman" w:eastAsia="宋体"/>
          <w:b w:val="0"/>
          <w:i w:val="0"/>
          <w:sz w:val="21"/>
        </w:rPr>
        <w:t>，内含配置快照、指标、审计轨迹、图表与表格。以 P1 实验为例（</w:t>
      </w:r>
      <w:r>
        <w:rPr>
          <w:rFonts w:ascii="Consolas" w:hAnsi="Consolas" w:eastAsia="Consolas"/>
          <w:b w:val="0"/>
          <w:i w:val="0"/>
          <w:color w:val="8B1E3F"/>
          <w:sz w:val="20"/>
        </w:rPr>
        <w:t>configs/experiments/p1_modality.yaml</w:t>
      </w:r>
      <w:r>
        <w:rPr>
          <w:rFonts w:ascii="Times New Roman" w:hAnsi="Times New Roman" w:eastAsia="宋体"/>
          <w:b w:val="0"/>
          <w:i w:val="0"/>
          <w:sz w:val="21"/>
        </w:rPr>
        <w:t>）：</w:t>
      </w:r>
    </w:p>
    <w:p>
      <w:pPr>
        <w:spacing w:after="40" w:line="264" w:lineRule="auto"/>
        <w:ind w:left="227"/>
        <w:shd w:fill="F2F2F2"/>
      </w:pPr>
      <w:r>
        <w:rPr>
          <w:rFonts w:ascii="Consolas" w:hAnsi="Consolas" w:eastAsia="Consolas"/>
          <w:b w:val="0"/>
          <w:i w:val="0"/>
          <w:color w:val="333333"/>
          <w:sz w:val="17"/>
        </w:rPr>
        <w:t>run_id: p1_modality_v1</w:t>
        <w:br/>
        <w:t>data:</w:t>
        <w:br/>
        <w:t xml:space="preserve">  sample_start: "2018-01-01"</w:t>
        <w:br/>
        <w:t xml:space="preserve">  sample_end: "2025-09-30"</w:t>
        <w:br/>
        <w:t xml:space="preserve">  pit_snapshot: auto</w:t>
        <w:br/>
        <w:t>target:</w:t>
        <w:br/>
        <w:t xml:space="preserve">  label_version: stress_pca_q90</w:t>
        <w:br/>
        <w:t xml:space="preserve">  horizons: [5, 10, 20]</w:t>
        <w:br/>
        <w:t xml:space="preserve">  eval_start: "2021-01-01"</w:t>
        <w:br/>
        <w:t>modality:</w:t>
        <w:br/>
        <w:t xml:space="preserve">  numeric: true</w:t>
        <w:br/>
        <w:t xml:space="preserve">  text: true          # 对照：false 时等价于 numeric-only</w:t>
        <w:br/>
        <w:t>augment:</w:t>
        <w:br/>
        <w:t xml:space="preserve">  rag: false</w:t>
        <w:br/>
        <w:t xml:space="preserve">  tools: false</w:t>
        <w:br/>
        <w:t>agents:</w:t>
        <w:br/>
        <w:t xml:space="preserve">  enabled: false     # 本实验只评估融合预测器，不启用 LLM 智能体</w:t>
        <w:br/>
        <w:t>coordination:</w:t>
        <w:br/>
        <w:t xml:space="preserve">  evidence_share: false</w:t>
        <w:br/>
        <w:t xml:space="preserve">  cross_validation: false</w:t>
        <w:br/>
        <w:t xml:space="preserve">  conflict_resolution: false</w:t>
        <w:br/>
        <w:t>budget:</w:t>
        <w:br/>
        <w:t xml:space="preserve">  equal_across_configs: true</w:t>
        <w:br/>
        <w:t>llm:</w:t>
        <w:br/>
        <w:t xml:space="preserve">  provider: none</w:t>
        <w:br/>
        <w:t>eval:</w:t>
        <w:br/>
        <w:t xml:space="preserve">  bootstrap: 1000</w:t>
        <w:br/>
        <w:t xml:space="preserve">  metrics: [pr_auc, recall_at_top_decile, brier, ece, lead_time_days]</w:t>
      </w:r>
    </w:p>
    <w:p>
      <w:r>
        <w:rPr>
          <w:rFonts w:ascii="Times New Roman" w:hAnsi="Times New Roman" w:eastAsia="宋体"/>
          <w:b w:val="0"/>
          <w:i w:val="0"/>
          <w:sz w:val="21"/>
        </w:rPr>
        <w:t>配置开关均对应可检验模块：</w:t>
      </w:r>
      <w:r>
        <w:rPr>
          <w:rFonts w:ascii="Consolas" w:hAnsi="Consolas" w:eastAsia="Consolas"/>
          <w:b w:val="0"/>
          <w:i w:val="0"/>
          <w:color w:val="8B1E3F"/>
          <w:sz w:val="20"/>
        </w:rPr>
        <w:t>modality.text</w:t>
      </w:r>
      <w:r>
        <w:rPr>
          <w:rFonts w:ascii="Times New Roman" w:hAnsi="Times New Roman" w:eastAsia="宋体"/>
          <w:b w:val="0"/>
          <w:i w:val="0"/>
          <w:sz w:val="21"/>
        </w:rPr>
        <w:t xml:space="preserve"> 对应 P1 文本增量；</w:t>
      </w:r>
      <w:r>
        <w:rPr>
          <w:rFonts w:ascii="Consolas" w:hAnsi="Consolas" w:eastAsia="Consolas"/>
          <w:b w:val="0"/>
          <w:i w:val="0"/>
          <w:color w:val="8B1E3F"/>
          <w:sz w:val="20"/>
        </w:rPr>
        <w:t>augment.rag</w:t>
      </w:r>
      <w:r>
        <w:rPr>
          <w:rFonts w:ascii="Times New Roman" w:hAnsi="Times New Roman" w:eastAsia="宋体"/>
          <w:b w:val="0"/>
          <w:i w:val="0"/>
          <w:sz w:val="21"/>
        </w:rPr>
        <w:t xml:space="preserve"> 与 </w:t>
      </w:r>
      <w:r>
        <w:rPr>
          <w:rFonts w:ascii="Consolas" w:hAnsi="Consolas" w:eastAsia="Consolas"/>
          <w:b w:val="0"/>
          <w:i w:val="0"/>
          <w:color w:val="8B1E3F"/>
          <w:sz w:val="20"/>
        </w:rPr>
        <w:t>augment.tools</w:t>
      </w:r>
      <w:r>
        <w:rPr>
          <w:rFonts w:ascii="Times New Roman" w:hAnsi="Times New Roman" w:eastAsia="宋体"/>
          <w:b w:val="0"/>
          <w:i w:val="0"/>
          <w:sz w:val="21"/>
        </w:rPr>
        <w:t xml:space="preserve"> 对应 P2 知识与工具增强；</w:t>
      </w:r>
      <w:r>
        <w:rPr>
          <w:rFonts w:ascii="Consolas" w:hAnsi="Consolas" w:eastAsia="Consolas"/>
          <w:b w:val="0"/>
          <w:i w:val="0"/>
          <w:color w:val="8B1E3F"/>
          <w:sz w:val="20"/>
        </w:rPr>
        <w:t>agents.enabled</w:t>
      </w:r>
      <w:r>
        <w:rPr>
          <w:rFonts w:ascii="Times New Roman" w:hAnsi="Times New Roman" w:eastAsia="宋体"/>
          <w:b w:val="0"/>
          <w:i w:val="0"/>
          <w:sz w:val="21"/>
        </w:rPr>
        <w:t xml:space="preserve"> 与 </w:t>
      </w:r>
      <w:r>
        <w:rPr>
          <w:rFonts w:ascii="Consolas" w:hAnsi="Consolas" w:eastAsia="Consolas"/>
          <w:b w:val="0"/>
          <w:i w:val="0"/>
          <w:color w:val="8B1E3F"/>
          <w:sz w:val="20"/>
        </w:rPr>
        <w:t>coordination.*</w:t>
      </w:r>
      <w:r>
        <w:rPr>
          <w:rFonts w:ascii="Times New Roman" w:hAnsi="Times New Roman" w:eastAsia="宋体"/>
          <w:b w:val="0"/>
          <w:i w:val="0"/>
          <w:sz w:val="21"/>
        </w:rPr>
        <w:t xml:space="preserve"> 对应 P3 智能体与协同开关。表 4-9 中，E0–E2 仅用预测器以分离信息效应，E3–E6 在单智能体内部逐项加入知识与工具以分离 P2 两类增强，E7–E12 固定增强并逐项开关协同以分离 P3 机制。</w:t>
      </w:r>
    </w:p>
    <w:p>
      <w:pPr>
        <w:keepNext/>
        <w:spacing w:before="120" w:after="40"/>
        <w:jc w:val="center"/>
      </w:pPr>
      <w:r>
        <w:rPr>
          <w:rFonts w:ascii="Times New Roman" w:hAnsi="Times New Roman" w:eastAsia="宋体"/>
          <w:b/>
          <w:i w:val="0"/>
          <w:color w:val="1F3864"/>
          <w:sz w:val="19"/>
        </w:rPr>
        <w:t>表 4-9 实验配置与消融矩阵</w:t>
      </w:r>
    </w:p>
    <w:tbl>
      <w:tblPr>
        <w:tblStyle w:val="TableGrid"/>
        <w:tblW w:type="auto" w:w="0"/>
        <w:jc w:val="center"/>
        <w:tblLayout w:type="autofit"/>
        <w:tblLook w:firstColumn="1" w:firstRow="1" w:lastColumn="0" w:lastRow="0" w:noHBand="0" w:noVBand="1" w:val="04A0"/>
      </w:tblPr>
      <w:tblGrid>
        <w:gridCol w:w="1162"/>
        <w:gridCol w:w="1162"/>
        <w:gridCol w:w="1162"/>
        <w:gridCol w:w="1162"/>
        <w:gridCol w:w="1162"/>
        <w:gridCol w:w="1162"/>
        <w:gridCol w:w="1162"/>
        <w:gridCol w:w="1162"/>
      </w:tblGrid>
      <w:tr>
        <w:tc>
          <w:tcPr>
            <w:tcW w:type="dxa" w:w="1162"/>
          </w:tcPr>
          <w:p>
            <w:pPr>
              <w:spacing w:after="20" w:line="276" w:lineRule="auto"/>
            </w:pPr>
            <w:r>
              <w:rPr>
                <w:b/>
              </w:rPr>
            </w:r>
            <w:r>
              <w:rPr>
                <w:rFonts w:ascii="Times New Roman" w:hAnsi="Times New Roman" w:eastAsia="宋体"/>
                <w:b/>
                <w:i w:val="0"/>
                <w:sz w:val="17"/>
              </w:rPr>
              <w:t>配置</w:t>
            </w:r>
          </w:p>
        </w:tc>
        <w:tc>
          <w:tcPr>
            <w:tcW w:type="dxa" w:w="1162"/>
          </w:tcPr>
          <w:p>
            <w:pPr>
              <w:spacing w:after="20" w:line="276" w:lineRule="auto"/>
            </w:pPr>
            <w:r>
              <w:rPr>
                <w:b/>
              </w:rPr>
            </w:r>
            <w:r>
              <w:rPr>
                <w:rFonts w:ascii="Times New Roman" w:hAnsi="Times New Roman" w:eastAsia="宋体"/>
                <w:b/>
                <w:i w:val="0"/>
                <w:sz w:val="17"/>
              </w:rPr>
              <w:t>模态</w:t>
            </w:r>
          </w:p>
        </w:tc>
        <w:tc>
          <w:tcPr>
            <w:tcW w:type="dxa" w:w="1162"/>
          </w:tcPr>
          <w:p>
            <w:pPr>
              <w:spacing w:after="20" w:line="276" w:lineRule="auto"/>
            </w:pPr>
            <w:r>
              <w:rPr>
                <w:b/>
              </w:rPr>
            </w:r>
            <w:r>
              <w:rPr>
                <w:rFonts w:ascii="Times New Roman" w:hAnsi="Times New Roman" w:eastAsia="宋体"/>
                <w:b/>
                <w:i w:val="0"/>
                <w:sz w:val="17"/>
              </w:rPr>
              <w:t>知识/工具</w:t>
            </w:r>
          </w:p>
        </w:tc>
        <w:tc>
          <w:tcPr>
            <w:tcW w:type="dxa" w:w="1162"/>
          </w:tcPr>
          <w:p>
            <w:pPr>
              <w:spacing w:after="20" w:line="276" w:lineRule="auto"/>
            </w:pPr>
            <w:r>
              <w:rPr>
                <w:b/>
              </w:rPr>
            </w:r>
            <w:r>
              <w:rPr>
                <w:rFonts w:ascii="Times New Roman" w:hAnsi="Times New Roman" w:eastAsia="宋体"/>
                <w:b/>
                <w:i w:val="0"/>
                <w:sz w:val="17"/>
              </w:rPr>
              <w:t>智能体架构</w:t>
            </w:r>
          </w:p>
        </w:tc>
        <w:tc>
          <w:tcPr>
            <w:tcW w:type="dxa" w:w="1162"/>
          </w:tcPr>
          <w:p>
            <w:pPr>
              <w:spacing w:after="20" w:line="276" w:lineRule="auto"/>
            </w:pPr>
            <w:r>
              <w:rPr>
                <w:b/>
              </w:rPr>
            </w:r>
            <w:r>
              <w:rPr>
                <w:rFonts w:ascii="Times New Roman" w:hAnsi="Times New Roman" w:eastAsia="宋体"/>
                <w:b/>
                <w:i w:val="0"/>
                <w:sz w:val="17"/>
              </w:rPr>
              <w:t>证据共享</w:t>
            </w:r>
          </w:p>
        </w:tc>
        <w:tc>
          <w:tcPr>
            <w:tcW w:type="dxa" w:w="1162"/>
          </w:tcPr>
          <w:p>
            <w:pPr>
              <w:spacing w:after="20" w:line="276" w:lineRule="auto"/>
            </w:pPr>
            <w:r>
              <w:rPr>
                <w:b/>
              </w:rPr>
            </w:r>
            <w:r>
              <w:rPr>
                <w:rFonts w:ascii="Times New Roman" w:hAnsi="Times New Roman" w:eastAsia="宋体"/>
                <w:b/>
                <w:i w:val="0"/>
                <w:sz w:val="17"/>
              </w:rPr>
              <w:t>交叉验证</w:t>
            </w:r>
          </w:p>
        </w:tc>
        <w:tc>
          <w:tcPr>
            <w:tcW w:type="dxa" w:w="1162"/>
          </w:tcPr>
          <w:p>
            <w:pPr>
              <w:spacing w:after="20" w:line="276" w:lineRule="auto"/>
            </w:pPr>
            <w:r>
              <w:rPr>
                <w:b/>
              </w:rPr>
            </w:r>
            <w:r>
              <w:rPr>
                <w:rFonts w:ascii="Times New Roman" w:hAnsi="Times New Roman" w:eastAsia="宋体"/>
                <w:b/>
                <w:i w:val="0"/>
                <w:sz w:val="17"/>
              </w:rPr>
              <w:t>冲突协调</w:t>
            </w:r>
          </w:p>
        </w:tc>
        <w:tc>
          <w:tcPr>
            <w:tcW w:type="dxa" w:w="1162"/>
          </w:tcPr>
          <w:p>
            <w:pPr>
              <w:spacing w:after="20" w:line="276" w:lineRule="auto"/>
            </w:pPr>
            <w:r>
              <w:rPr>
                <w:b/>
              </w:rPr>
            </w:r>
            <w:r>
              <w:rPr>
                <w:rFonts w:ascii="Times New Roman" w:hAnsi="Times New Roman" w:eastAsia="宋体"/>
                <w:b/>
                <w:i w:val="0"/>
                <w:sz w:val="17"/>
              </w:rPr>
              <w:t>主要检验</w:t>
            </w:r>
          </w:p>
        </w:tc>
      </w:tr>
      <w:tr>
        <w:tc>
          <w:tcPr>
            <w:tcW w:type="dxa" w:w="1162"/>
          </w:tcPr>
          <w:p>
            <w:pPr>
              <w:spacing w:after="20" w:line="276" w:lineRule="auto"/>
            </w:pPr>
            <w:r/>
            <w:r>
              <w:rPr>
                <w:rFonts w:ascii="Times New Roman" w:hAnsi="Times New Roman" w:eastAsia="宋体"/>
                <w:b w:val="0"/>
                <w:i w:val="0"/>
                <w:sz w:val="17"/>
              </w:rPr>
              <w:t>E0 传统基线</w:t>
            </w:r>
          </w:p>
        </w:tc>
        <w:tc>
          <w:tcPr>
            <w:tcW w:type="dxa" w:w="1162"/>
          </w:tcPr>
          <w:p>
            <w:pPr>
              <w:spacing w:after="20" w:line="276" w:lineRule="auto"/>
            </w:pPr>
            <w:r/>
            <w:r>
              <w:rPr>
                <w:rFonts w:ascii="Times New Roman" w:hAnsi="Times New Roman" w:eastAsia="宋体"/>
                <w:b w:val="0"/>
                <w:i w:val="0"/>
                <w:sz w:val="17"/>
              </w:rPr>
              <w:t>数值</w:t>
            </w:r>
          </w:p>
        </w:tc>
        <w:tc>
          <w:tcPr>
            <w:tcW w:type="dxa" w:w="1162"/>
          </w:tcPr>
          <w:p>
            <w:pPr>
              <w:spacing w:after="20" w:line="276" w:lineRule="auto"/>
            </w:pPr>
            <w:r/>
            <w:r>
              <w:rPr>
                <w:rFonts w:ascii="Times New Roman" w:hAnsi="Times New Roman" w:eastAsia="宋体"/>
                <w:b w:val="0"/>
                <w:i w:val="0"/>
                <w:sz w:val="17"/>
              </w:rPr>
              <w:t>无</w:t>
            </w:r>
          </w:p>
        </w:tc>
        <w:tc>
          <w:tcPr>
            <w:tcW w:type="dxa" w:w="1162"/>
          </w:tcPr>
          <w:p>
            <w:pPr>
              <w:spacing w:after="20" w:line="276" w:lineRule="auto"/>
            </w:pPr>
            <w:r/>
            <w:r>
              <w:rPr>
                <w:rFonts w:ascii="Times New Roman" w:hAnsi="Times New Roman" w:eastAsia="宋体"/>
                <w:b w:val="0"/>
                <w:i w:val="0"/>
                <w:sz w:val="17"/>
              </w:rPr>
              <w:t>离线预测器</w:t>
            </w:r>
          </w:p>
        </w:tc>
        <w:tc>
          <w:tcPr>
            <w:tcW w:type="dxa" w:w="1162"/>
          </w:tcPr>
          <w:p>
            <w:pPr>
              <w:spacing w:after="20" w:line="276" w:lineRule="auto"/>
            </w:pPr>
            <w:r/>
            <w:r>
              <w:rPr>
                <w:rFonts w:ascii="Times New Roman" w:hAnsi="Times New Roman" w:eastAsia="宋体"/>
                <w:b w:val="0"/>
                <w:i w:val="0"/>
                <w:sz w:val="17"/>
              </w:rPr>
              <w:t>—</w:t>
            </w:r>
          </w:p>
        </w:tc>
        <w:tc>
          <w:tcPr>
            <w:tcW w:type="dxa" w:w="1162"/>
          </w:tcPr>
          <w:p>
            <w:pPr>
              <w:spacing w:after="20" w:line="276" w:lineRule="auto"/>
            </w:pPr>
            <w:r/>
            <w:r>
              <w:rPr>
                <w:rFonts w:ascii="Times New Roman" w:hAnsi="Times New Roman" w:eastAsia="宋体"/>
                <w:b w:val="0"/>
                <w:i w:val="0"/>
                <w:sz w:val="17"/>
              </w:rPr>
              <w:t>—</w:t>
            </w:r>
          </w:p>
        </w:tc>
        <w:tc>
          <w:tcPr>
            <w:tcW w:type="dxa" w:w="1162"/>
          </w:tcPr>
          <w:p>
            <w:pPr>
              <w:spacing w:after="20" w:line="276" w:lineRule="auto"/>
            </w:pPr>
            <w:r/>
            <w:r>
              <w:rPr>
                <w:rFonts w:ascii="Times New Roman" w:hAnsi="Times New Roman" w:eastAsia="宋体"/>
                <w:b w:val="0"/>
                <w:i w:val="0"/>
                <w:sz w:val="17"/>
              </w:rPr>
              <w:t>—</w:t>
            </w:r>
          </w:p>
        </w:tc>
        <w:tc>
          <w:tcPr>
            <w:tcW w:type="dxa" w:w="1162"/>
          </w:tcPr>
          <w:p>
            <w:pPr>
              <w:spacing w:after="20" w:line="276" w:lineRule="auto"/>
            </w:pPr>
            <w:r/>
            <w:r>
              <w:rPr>
                <w:rFonts w:ascii="Times New Roman" w:hAnsi="Times New Roman" w:eastAsia="宋体"/>
                <w:b w:val="0"/>
                <w:i w:val="0"/>
                <w:sz w:val="17"/>
              </w:rPr>
              <w:t>P1 基准对照</w:t>
            </w:r>
          </w:p>
        </w:tc>
      </w:tr>
      <w:tr>
        <w:tc>
          <w:tcPr>
            <w:tcW w:type="dxa" w:w="1162"/>
          </w:tcPr>
          <w:p>
            <w:pPr>
              <w:spacing w:after="20" w:line="276" w:lineRule="auto"/>
            </w:pPr>
            <w:r/>
            <w:r>
              <w:rPr>
                <w:rFonts w:ascii="Times New Roman" w:hAnsi="Times New Roman" w:eastAsia="宋体"/>
                <w:b w:val="0"/>
                <w:i w:val="0"/>
                <w:sz w:val="17"/>
              </w:rPr>
              <w:t>E1 数值融合</w:t>
            </w:r>
          </w:p>
        </w:tc>
        <w:tc>
          <w:tcPr>
            <w:tcW w:type="dxa" w:w="1162"/>
          </w:tcPr>
          <w:p>
            <w:pPr>
              <w:spacing w:after="20" w:line="276" w:lineRule="auto"/>
            </w:pPr>
            <w:r/>
            <w:r>
              <w:rPr>
                <w:rFonts w:ascii="Times New Roman" w:hAnsi="Times New Roman" w:eastAsia="宋体"/>
                <w:b w:val="0"/>
                <w:i w:val="0"/>
                <w:sz w:val="17"/>
              </w:rPr>
              <w:t>数值</w:t>
            </w:r>
          </w:p>
        </w:tc>
        <w:tc>
          <w:tcPr>
            <w:tcW w:type="dxa" w:w="1162"/>
          </w:tcPr>
          <w:p>
            <w:pPr>
              <w:spacing w:after="20" w:line="276" w:lineRule="auto"/>
            </w:pPr>
            <w:r/>
            <w:r>
              <w:rPr>
                <w:rFonts w:ascii="Times New Roman" w:hAnsi="Times New Roman" w:eastAsia="宋体"/>
                <w:b w:val="0"/>
                <w:i w:val="0"/>
                <w:sz w:val="17"/>
              </w:rPr>
              <w:t>无</w:t>
            </w:r>
          </w:p>
        </w:tc>
        <w:tc>
          <w:tcPr>
            <w:tcW w:type="dxa" w:w="1162"/>
          </w:tcPr>
          <w:p>
            <w:pPr>
              <w:spacing w:after="20" w:line="276" w:lineRule="auto"/>
            </w:pPr>
            <w:r/>
            <w:r>
              <w:rPr>
                <w:rFonts w:ascii="Times New Roman" w:hAnsi="Times New Roman" w:eastAsia="宋体"/>
                <w:b w:val="0"/>
                <w:i w:val="0"/>
                <w:sz w:val="17"/>
              </w:rPr>
              <w:t>离线预测器</w:t>
            </w:r>
          </w:p>
        </w:tc>
        <w:tc>
          <w:tcPr>
            <w:tcW w:type="dxa" w:w="1162"/>
          </w:tcPr>
          <w:p>
            <w:pPr>
              <w:spacing w:after="20" w:line="276" w:lineRule="auto"/>
            </w:pPr>
            <w:r/>
            <w:r>
              <w:rPr>
                <w:rFonts w:ascii="Times New Roman" w:hAnsi="Times New Roman" w:eastAsia="宋体"/>
                <w:b w:val="0"/>
                <w:i w:val="0"/>
                <w:sz w:val="17"/>
              </w:rPr>
              <w:t>—</w:t>
            </w:r>
          </w:p>
        </w:tc>
        <w:tc>
          <w:tcPr>
            <w:tcW w:type="dxa" w:w="1162"/>
          </w:tcPr>
          <w:p>
            <w:pPr>
              <w:spacing w:after="20" w:line="276" w:lineRule="auto"/>
            </w:pPr>
            <w:r/>
            <w:r>
              <w:rPr>
                <w:rFonts w:ascii="Times New Roman" w:hAnsi="Times New Roman" w:eastAsia="宋体"/>
                <w:b w:val="0"/>
                <w:i w:val="0"/>
                <w:sz w:val="17"/>
              </w:rPr>
              <w:t>—</w:t>
            </w:r>
          </w:p>
        </w:tc>
        <w:tc>
          <w:tcPr>
            <w:tcW w:type="dxa" w:w="1162"/>
          </w:tcPr>
          <w:p>
            <w:pPr>
              <w:spacing w:after="20" w:line="276" w:lineRule="auto"/>
            </w:pPr>
            <w:r/>
            <w:r>
              <w:rPr>
                <w:rFonts w:ascii="Times New Roman" w:hAnsi="Times New Roman" w:eastAsia="宋体"/>
                <w:b w:val="0"/>
                <w:i w:val="0"/>
                <w:sz w:val="17"/>
              </w:rPr>
              <w:t>—</w:t>
            </w:r>
          </w:p>
        </w:tc>
        <w:tc>
          <w:tcPr>
            <w:tcW w:type="dxa" w:w="1162"/>
          </w:tcPr>
          <w:p>
            <w:pPr>
              <w:spacing w:after="20" w:line="276" w:lineRule="auto"/>
            </w:pPr>
            <w:r/>
            <w:r>
              <w:rPr>
                <w:rFonts w:ascii="Times New Roman" w:hAnsi="Times New Roman" w:eastAsia="宋体"/>
                <w:b w:val="0"/>
                <w:i w:val="0"/>
                <w:sz w:val="17"/>
              </w:rPr>
              <w:t>P1 对照</w:t>
            </w:r>
          </w:p>
        </w:tc>
      </w:tr>
      <w:tr>
        <w:tc>
          <w:tcPr>
            <w:tcW w:type="dxa" w:w="1162"/>
          </w:tcPr>
          <w:p>
            <w:pPr>
              <w:spacing w:after="20" w:line="276" w:lineRule="auto"/>
            </w:pPr>
            <w:r/>
            <w:r>
              <w:rPr>
                <w:rFonts w:ascii="Times New Roman" w:hAnsi="Times New Roman" w:eastAsia="宋体"/>
                <w:b w:val="0"/>
                <w:i w:val="0"/>
                <w:sz w:val="17"/>
              </w:rPr>
              <w:t>E2 数值+文本融合</w:t>
            </w:r>
          </w:p>
        </w:tc>
        <w:tc>
          <w:tcPr>
            <w:tcW w:type="dxa" w:w="1162"/>
          </w:tcPr>
          <w:p>
            <w:pPr>
              <w:spacing w:after="20" w:line="276" w:lineRule="auto"/>
            </w:pPr>
            <w:r/>
            <w:r>
              <w:rPr>
                <w:rFonts w:ascii="Times New Roman" w:hAnsi="Times New Roman" w:eastAsia="宋体"/>
                <w:b w:val="0"/>
                <w:i w:val="0"/>
                <w:sz w:val="17"/>
              </w:rPr>
              <w:t>数值+文本</w:t>
            </w:r>
          </w:p>
        </w:tc>
        <w:tc>
          <w:tcPr>
            <w:tcW w:type="dxa" w:w="1162"/>
          </w:tcPr>
          <w:p>
            <w:pPr>
              <w:spacing w:after="20" w:line="276" w:lineRule="auto"/>
            </w:pPr>
            <w:r/>
            <w:r>
              <w:rPr>
                <w:rFonts w:ascii="Times New Roman" w:hAnsi="Times New Roman" w:eastAsia="宋体"/>
                <w:b w:val="0"/>
                <w:i w:val="0"/>
                <w:sz w:val="17"/>
              </w:rPr>
              <w:t>无</w:t>
            </w:r>
          </w:p>
        </w:tc>
        <w:tc>
          <w:tcPr>
            <w:tcW w:type="dxa" w:w="1162"/>
          </w:tcPr>
          <w:p>
            <w:pPr>
              <w:spacing w:after="20" w:line="276" w:lineRule="auto"/>
            </w:pPr>
            <w:r/>
            <w:r>
              <w:rPr>
                <w:rFonts w:ascii="Times New Roman" w:hAnsi="Times New Roman" w:eastAsia="宋体"/>
                <w:b w:val="0"/>
                <w:i w:val="0"/>
                <w:sz w:val="17"/>
              </w:rPr>
              <w:t>离线预测器</w:t>
            </w:r>
          </w:p>
        </w:tc>
        <w:tc>
          <w:tcPr>
            <w:tcW w:type="dxa" w:w="1162"/>
          </w:tcPr>
          <w:p>
            <w:pPr>
              <w:spacing w:after="20" w:line="276" w:lineRule="auto"/>
            </w:pPr>
            <w:r/>
            <w:r>
              <w:rPr>
                <w:rFonts w:ascii="Times New Roman" w:hAnsi="Times New Roman" w:eastAsia="宋体"/>
                <w:b w:val="0"/>
                <w:i w:val="0"/>
                <w:sz w:val="17"/>
              </w:rPr>
              <w:t>—</w:t>
            </w:r>
          </w:p>
        </w:tc>
        <w:tc>
          <w:tcPr>
            <w:tcW w:type="dxa" w:w="1162"/>
          </w:tcPr>
          <w:p>
            <w:pPr>
              <w:spacing w:after="20" w:line="276" w:lineRule="auto"/>
            </w:pPr>
            <w:r/>
            <w:r>
              <w:rPr>
                <w:rFonts w:ascii="Times New Roman" w:hAnsi="Times New Roman" w:eastAsia="宋体"/>
                <w:b w:val="0"/>
                <w:i w:val="0"/>
                <w:sz w:val="17"/>
              </w:rPr>
              <w:t>—</w:t>
            </w:r>
          </w:p>
        </w:tc>
        <w:tc>
          <w:tcPr>
            <w:tcW w:type="dxa" w:w="1162"/>
          </w:tcPr>
          <w:p>
            <w:pPr>
              <w:spacing w:after="20" w:line="276" w:lineRule="auto"/>
            </w:pPr>
            <w:r/>
            <w:r>
              <w:rPr>
                <w:rFonts w:ascii="Times New Roman" w:hAnsi="Times New Roman" w:eastAsia="宋体"/>
                <w:b w:val="0"/>
                <w:i w:val="0"/>
                <w:sz w:val="17"/>
              </w:rPr>
              <w:t>—</w:t>
            </w:r>
          </w:p>
        </w:tc>
        <w:tc>
          <w:tcPr>
            <w:tcW w:type="dxa" w:w="1162"/>
          </w:tcPr>
          <w:p>
            <w:pPr>
              <w:spacing w:after="20" w:line="276" w:lineRule="auto"/>
            </w:pPr>
            <w:r/>
            <w:r>
              <w:rPr>
                <w:rFonts w:ascii="Times New Roman" w:hAnsi="Times New Roman" w:eastAsia="宋体"/>
                <w:b w:val="0"/>
                <w:i w:val="0"/>
                <w:sz w:val="17"/>
              </w:rPr>
              <w:t>P1 主检验</w:t>
            </w:r>
          </w:p>
        </w:tc>
      </w:tr>
      <w:tr>
        <w:tc>
          <w:tcPr>
            <w:tcW w:type="dxa" w:w="1162"/>
          </w:tcPr>
          <w:p>
            <w:pPr>
              <w:spacing w:after="20" w:line="276" w:lineRule="auto"/>
            </w:pPr>
            <w:r/>
            <w:r>
              <w:rPr>
                <w:rFonts w:ascii="Times New Roman" w:hAnsi="Times New Roman" w:eastAsia="宋体"/>
                <w:b w:val="0"/>
                <w:i w:val="0"/>
                <w:sz w:val="17"/>
              </w:rPr>
              <w:t>E3 单智能体基础</w:t>
            </w:r>
          </w:p>
        </w:tc>
        <w:tc>
          <w:tcPr>
            <w:tcW w:type="dxa" w:w="1162"/>
          </w:tcPr>
          <w:p>
            <w:pPr>
              <w:spacing w:after="20" w:line="276" w:lineRule="auto"/>
            </w:pPr>
            <w:r/>
            <w:r>
              <w:rPr>
                <w:rFonts w:ascii="Times New Roman" w:hAnsi="Times New Roman" w:eastAsia="宋体"/>
                <w:b w:val="0"/>
                <w:i w:val="0"/>
                <w:sz w:val="17"/>
              </w:rPr>
              <w:t>数值+文本</w:t>
            </w:r>
          </w:p>
        </w:tc>
        <w:tc>
          <w:tcPr>
            <w:tcW w:type="dxa" w:w="1162"/>
          </w:tcPr>
          <w:p>
            <w:pPr>
              <w:spacing w:after="20" w:line="276" w:lineRule="auto"/>
            </w:pPr>
            <w:r/>
            <w:r>
              <w:rPr>
                <w:rFonts w:ascii="Times New Roman" w:hAnsi="Times New Roman" w:eastAsia="宋体"/>
                <w:b w:val="0"/>
                <w:i w:val="0"/>
                <w:sz w:val="17"/>
              </w:rPr>
              <w:t>无</w:t>
            </w:r>
          </w:p>
        </w:tc>
        <w:tc>
          <w:tcPr>
            <w:tcW w:type="dxa" w:w="1162"/>
          </w:tcPr>
          <w:p>
            <w:pPr>
              <w:spacing w:after="20" w:line="276" w:lineRule="auto"/>
            </w:pPr>
            <w:r/>
            <w:r>
              <w:rPr>
                <w:rFonts w:ascii="Times New Roman" w:hAnsi="Times New Roman" w:eastAsia="宋体"/>
                <w:b w:val="0"/>
                <w:i w:val="0"/>
                <w:sz w:val="17"/>
              </w:rPr>
              <w:t>single</w:t>
            </w:r>
          </w:p>
        </w:tc>
        <w:tc>
          <w:tcPr>
            <w:tcW w:type="dxa" w:w="1162"/>
          </w:tcPr>
          <w:p>
            <w:pPr>
              <w:spacing w:after="20" w:line="276" w:lineRule="auto"/>
            </w:pPr>
            <w:r/>
            <w:r>
              <w:rPr>
                <w:rFonts w:ascii="Times New Roman" w:hAnsi="Times New Roman" w:eastAsia="宋体"/>
                <w:b w:val="0"/>
                <w:i w:val="0"/>
                <w:sz w:val="17"/>
              </w:rPr>
              <w:t>否</w:t>
            </w:r>
          </w:p>
        </w:tc>
        <w:tc>
          <w:tcPr>
            <w:tcW w:type="dxa" w:w="1162"/>
          </w:tcPr>
          <w:p>
            <w:pPr>
              <w:spacing w:after="20" w:line="276" w:lineRule="auto"/>
            </w:pPr>
            <w:r/>
            <w:r>
              <w:rPr>
                <w:rFonts w:ascii="Times New Roman" w:hAnsi="Times New Roman" w:eastAsia="宋体"/>
                <w:b w:val="0"/>
                <w:i w:val="0"/>
                <w:sz w:val="17"/>
              </w:rPr>
              <w:t>否</w:t>
            </w:r>
          </w:p>
        </w:tc>
        <w:tc>
          <w:tcPr>
            <w:tcW w:type="dxa" w:w="1162"/>
          </w:tcPr>
          <w:p>
            <w:pPr>
              <w:spacing w:after="20" w:line="276" w:lineRule="auto"/>
            </w:pPr>
            <w:r/>
            <w:r>
              <w:rPr>
                <w:rFonts w:ascii="Times New Roman" w:hAnsi="Times New Roman" w:eastAsia="宋体"/>
                <w:b w:val="0"/>
                <w:i w:val="0"/>
                <w:sz w:val="17"/>
              </w:rPr>
              <w:t>否</w:t>
            </w:r>
          </w:p>
        </w:tc>
        <w:tc>
          <w:tcPr>
            <w:tcW w:type="dxa" w:w="1162"/>
          </w:tcPr>
          <w:p>
            <w:pPr>
              <w:spacing w:after="20" w:line="276" w:lineRule="auto"/>
            </w:pPr>
            <w:r/>
            <w:r>
              <w:rPr>
                <w:rFonts w:ascii="Times New Roman" w:hAnsi="Times New Roman" w:eastAsia="宋体"/>
                <w:b w:val="0"/>
                <w:i w:val="0"/>
                <w:sz w:val="17"/>
              </w:rPr>
              <w:t>P2 基准</w:t>
            </w:r>
          </w:p>
        </w:tc>
      </w:tr>
      <w:tr>
        <w:tc>
          <w:tcPr>
            <w:tcW w:type="dxa" w:w="1162"/>
          </w:tcPr>
          <w:p>
            <w:pPr>
              <w:spacing w:after="20" w:line="276" w:lineRule="auto"/>
            </w:pPr>
            <w:r/>
            <w:r>
              <w:rPr>
                <w:rFonts w:ascii="Times New Roman" w:hAnsi="Times New Roman" w:eastAsia="宋体"/>
                <w:b w:val="0"/>
                <w:i w:val="0"/>
                <w:sz w:val="17"/>
              </w:rPr>
              <w:t>E4 单智能体+知识</w:t>
            </w:r>
          </w:p>
        </w:tc>
        <w:tc>
          <w:tcPr>
            <w:tcW w:type="dxa" w:w="1162"/>
          </w:tcPr>
          <w:p>
            <w:pPr>
              <w:spacing w:after="20" w:line="276" w:lineRule="auto"/>
            </w:pPr>
            <w:r/>
            <w:r>
              <w:rPr>
                <w:rFonts w:ascii="Times New Roman" w:hAnsi="Times New Roman" w:eastAsia="宋体"/>
                <w:b w:val="0"/>
                <w:i w:val="0"/>
                <w:sz w:val="17"/>
              </w:rPr>
              <w:t>数值+文本</w:t>
            </w:r>
          </w:p>
        </w:tc>
        <w:tc>
          <w:tcPr>
            <w:tcW w:type="dxa" w:w="1162"/>
          </w:tcPr>
          <w:p>
            <w:pPr>
              <w:spacing w:after="20" w:line="276" w:lineRule="auto"/>
            </w:pPr>
            <w:r/>
            <w:r>
              <w:rPr>
                <w:rFonts w:ascii="Times New Roman" w:hAnsi="Times New Roman" w:eastAsia="宋体"/>
                <w:b w:val="0"/>
                <w:i w:val="0"/>
                <w:sz w:val="17"/>
              </w:rPr>
              <w:t>RAG</w:t>
            </w:r>
          </w:p>
        </w:tc>
        <w:tc>
          <w:tcPr>
            <w:tcW w:type="dxa" w:w="1162"/>
          </w:tcPr>
          <w:p>
            <w:pPr>
              <w:spacing w:after="20" w:line="276" w:lineRule="auto"/>
            </w:pPr>
            <w:r/>
            <w:r>
              <w:rPr>
                <w:rFonts w:ascii="Times New Roman" w:hAnsi="Times New Roman" w:eastAsia="宋体"/>
                <w:b w:val="0"/>
                <w:i w:val="0"/>
                <w:sz w:val="17"/>
              </w:rPr>
              <w:t>single</w:t>
            </w:r>
          </w:p>
        </w:tc>
        <w:tc>
          <w:tcPr>
            <w:tcW w:type="dxa" w:w="1162"/>
          </w:tcPr>
          <w:p>
            <w:pPr>
              <w:spacing w:after="20" w:line="276" w:lineRule="auto"/>
            </w:pPr>
            <w:r/>
            <w:r>
              <w:rPr>
                <w:rFonts w:ascii="Times New Roman" w:hAnsi="Times New Roman" w:eastAsia="宋体"/>
                <w:b w:val="0"/>
                <w:i w:val="0"/>
                <w:sz w:val="17"/>
              </w:rPr>
              <w:t>否</w:t>
            </w:r>
          </w:p>
        </w:tc>
        <w:tc>
          <w:tcPr>
            <w:tcW w:type="dxa" w:w="1162"/>
          </w:tcPr>
          <w:p>
            <w:pPr>
              <w:spacing w:after="20" w:line="276" w:lineRule="auto"/>
            </w:pPr>
            <w:r/>
            <w:r>
              <w:rPr>
                <w:rFonts w:ascii="Times New Roman" w:hAnsi="Times New Roman" w:eastAsia="宋体"/>
                <w:b w:val="0"/>
                <w:i w:val="0"/>
                <w:sz w:val="17"/>
              </w:rPr>
              <w:t>否</w:t>
            </w:r>
          </w:p>
        </w:tc>
        <w:tc>
          <w:tcPr>
            <w:tcW w:type="dxa" w:w="1162"/>
          </w:tcPr>
          <w:p>
            <w:pPr>
              <w:spacing w:after="20" w:line="276" w:lineRule="auto"/>
            </w:pPr>
            <w:r/>
            <w:r>
              <w:rPr>
                <w:rFonts w:ascii="Times New Roman" w:hAnsi="Times New Roman" w:eastAsia="宋体"/>
                <w:b w:val="0"/>
                <w:i w:val="0"/>
                <w:sz w:val="17"/>
              </w:rPr>
              <w:t>否</w:t>
            </w:r>
          </w:p>
        </w:tc>
        <w:tc>
          <w:tcPr>
            <w:tcW w:type="dxa" w:w="1162"/>
          </w:tcPr>
          <w:p>
            <w:pPr>
              <w:spacing w:after="20" w:line="276" w:lineRule="auto"/>
            </w:pPr>
            <w:r/>
            <w:r>
              <w:rPr>
                <w:rFonts w:ascii="Times New Roman" w:hAnsi="Times New Roman" w:eastAsia="宋体"/>
                <w:b w:val="0"/>
                <w:i w:val="0"/>
                <w:sz w:val="17"/>
              </w:rPr>
              <w:t>P2 检索贡献</w:t>
            </w:r>
          </w:p>
        </w:tc>
      </w:tr>
      <w:tr>
        <w:tc>
          <w:tcPr>
            <w:tcW w:type="dxa" w:w="1162"/>
          </w:tcPr>
          <w:p>
            <w:pPr>
              <w:spacing w:after="20" w:line="276" w:lineRule="auto"/>
            </w:pPr>
            <w:r/>
            <w:r>
              <w:rPr>
                <w:rFonts w:ascii="Times New Roman" w:hAnsi="Times New Roman" w:eastAsia="宋体"/>
                <w:b w:val="0"/>
                <w:i w:val="0"/>
                <w:sz w:val="17"/>
              </w:rPr>
              <w:t>E5 单智能体+工具</w:t>
            </w:r>
          </w:p>
        </w:tc>
        <w:tc>
          <w:tcPr>
            <w:tcW w:type="dxa" w:w="1162"/>
          </w:tcPr>
          <w:p>
            <w:pPr>
              <w:spacing w:after="20" w:line="276" w:lineRule="auto"/>
            </w:pPr>
            <w:r/>
            <w:r>
              <w:rPr>
                <w:rFonts w:ascii="Times New Roman" w:hAnsi="Times New Roman" w:eastAsia="宋体"/>
                <w:b w:val="0"/>
                <w:i w:val="0"/>
                <w:sz w:val="17"/>
              </w:rPr>
              <w:t>数值+文本</w:t>
            </w:r>
          </w:p>
        </w:tc>
        <w:tc>
          <w:tcPr>
            <w:tcW w:type="dxa" w:w="1162"/>
          </w:tcPr>
          <w:p>
            <w:pPr>
              <w:spacing w:after="20" w:line="276" w:lineRule="auto"/>
            </w:pPr>
            <w:r/>
            <w:r>
              <w:rPr>
                <w:rFonts w:ascii="Times New Roman" w:hAnsi="Times New Roman" w:eastAsia="宋体"/>
                <w:b w:val="0"/>
                <w:i w:val="0"/>
                <w:sz w:val="17"/>
              </w:rPr>
              <w:t>工具</w:t>
            </w:r>
          </w:p>
        </w:tc>
        <w:tc>
          <w:tcPr>
            <w:tcW w:type="dxa" w:w="1162"/>
          </w:tcPr>
          <w:p>
            <w:pPr>
              <w:spacing w:after="20" w:line="276" w:lineRule="auto"/>
            </w:pPr>
            <w:r/>
            <w:r>
              <w:rPr>
                <w:rFonts w:ascii="Times New Roman" w:hAnsi="Times New Roman" w:eastAsia="宋体"/>
                <w:b w:val="0"/>
                <w:i w:val="0"/>
                <w:sz w:val="17"/>
              </w:rPr>
              <w:t>single</w:t>
            </w:r>
          </w:p>
        </w:tc>
        <w:tc>
          <w:tcPr>
            <w:tcW w:type="dxa" w:w="1162"/>
          </w:tcPr>
          <w:p>
            <w:pPr>
              <w:spacing w:after="20" w:line="276" w:lineRule="auto"/>
            </w:pPr>
            <w:r/>
            <w:r>
              <w:rPr>
                <w:rFonts w:ascii="Times New Roman" w:hAnsi="Times New Roman" w:eastAsia="宋体"/>
                <w:b w:val="0"/>
                <w:i w:val="0"/>
                <w:sz w:val="17"/>
              </w:rPr>
              <w:t>否</w:t>
            </w:r>
          </w:p>
        </w:tc>
        <w:tc>
          <w:tcPr>
            <w:tcW w:type="dxa" w:w="1162"/>
          </w:tcPr>
          <w:p>
            <w:pPr>
              <w:spacing w:after="20" w:line="276" w:lineRule="auto"/>
            </w:pPr>
            <w:r/>
            <w:r>
              <w:rPr>
                <w:rFonts w:ascii="Times New Roman" w:hAnsi="Times New Roman" w:eastAsia="宋体"/>
                <w:b w:val="0"/>
                <w:i w:val="0"/>
                <w:sz w:val="17"/>
              </w:rPr>
              <w:t>否</w:t>
            </w:r>
          </w:p>
        </w:tc>
        <w:tc>
          <w:tcPr>
            <w:tcW w:type="dxa" w:w="1162"/>
          </w:tcPr>
          <w:p>
            <w:pPr>
              <w:spacing w:after="20" w:line="276" w:lineRule="auto"/>
            </w:pPr>
            <w:r/>
            <w:r>
              <w:rPr>
                <w:rFonts w:ascii="Times New Roman" w:hAnsi="Times New Roman" w:eastAsia="宋体"/>
                <w:b w:val="0"/>
                <w:i w:val="0"/>
                <w:sz w:val="17"/>
              </w:rPr>
              <w:t>否</w:t>
            </w:r>
          </w:p>
        </w:tc>
        <w:tc>
          <w:tcPr>
            <w:tcW w:type="dxa" w:w="1162"/>
          </w:tcPr>
          <w:p>
            <w:pPr>
              <w:spacing w:after="20" w:line="276" w:lineRule="auto"/>
            </w:pPr>
            <w:r/>
            <w:r>
              <w:rPr>
                <w:rFonts w:ascii="Times New Roman" w:hAnsi="Times New Roman" w:eastAsia="宋体"/>
                <w:b w:val="0"/>
                <w:i w:val="0"/>
                <w:sz w:val="17"/>
              </w:rPr>
              <w:t>P2 计算贡献</w:t>
            </w:r>
          </w:p>
        </w:tc>
      </w:tr>
      <w:tr>
        <w:tc>
          <w:tcPr>
            <w:tcW w:type="dxa" w:w="1162"/>
          </w:tcPr>
          <w:p>
            <w:pPr>
              <w:spacing w:after="20" w:line="276" w:lineRule="auto"/>
            </w:pPr>
            <w:r/>
            <w:r>
              <w:rPr>
                <w:rFonts w:ascii="Times New Roman" w:hAnsi="Times New Roman" w:eastAsia="宋体"/>
                <w:b w:val="0"/>
                <w:i w:val="0"/>
                <w:sz w:val="17"/>
              </w:rPr>
              <w:t>E6 单智能体+知识+工具</w:t>
            </w:r>
          </w:p>
        </w:tc>
        <w:tc>
          <w:tcPr>
            <w:tcW w:type="dxa" w:w="1162"/>
          </w:tcPr>
          <w:p>
            <w:pPr>
              <w:spacing w:after="20" w:line="276" w:lineRule="auto"/>
            </w:pPr>
            <w:r/>
            <w:r>
              <w:rPr>
                <w:rFonts w:ascii="Times New Roman" w:hAnsi="Times New Roman" w:eastAsia="宋体"/>
                <w:b w:val="0"/>
                <w:i w:val="0"/>
                <w:sz w:val="17"/>
              </w:rPr>
              <w:t>数值+文本</w:t>
            </w:r>
          </w:p>
        </w:tc>
        <w:tc>
          <w:tcPr>
            <w:tcW w:type="dxa" w:w="1162"/>
          </w:tcPr>
          <w:p>
            <w:pPr>
              <w:spacing w:after="20" w:line="276" w:lineRule="auto"/>
            </w:pPr>
            <w:r/>
            <w:r>
              <w:rPr>
                <w:rFonts w:ascii="Times New Roman" w:hAnsi="Times New Roman" w:eastAsia="宋体"/>
                <w:b w:val="0"/>
                <w:i w:val="0"/>
                <w:sz w:val="17"/>
              </w:rPr>
              <w:t>RAG+工具</w:t>
            </w:r>
          </w:p>
        </w:tc>
        <w:tc>
          <w:tcPr>
            <w:tcW w:type="dxa" w:w="1162"/>
          </w:tcPr>
          <w:p>
            <w:pPr>
              <w:spacing w:after="20" w:line="276" w:lineRule="auto"/>
            </w:pPr>
            <w:r/>
            <w:r>
              <w:rPr>
                <w:rFonts w:ascii="Times New Roman" w:hAnsi="Times New Roman" w:eastAsia="宋体"/>
                <w:b w:val="0"/>
                <w:i w:val="0"/>
                <w:sz w:val="17"/>
              </w:rPr>
              <w:t>single</w:t>
            </w:r>
          </w:p>
        </w:tc>
        <w:tc>
          <w:tcPr>
            <w:tcW w:type="dxa" w:w="1162"/>
          </w:tcPr>
          <w:p>
            <w:pPr>
              <w:spacing w:after="20" w:line="276" w:lineRule="auto"/>
            </w:pPr>
            <w:r/>
            <w:r>
              <w:rPr>
                <w:rFonts w:ascii="Times New Roman" w:hAnsi="Times New Roman" w:eastAsia="宋体"/>
                <w:b w:val="0"/>
                <w:i w:val="0"/>
                <w:sz w:val="17"/>
              </w:rPr>
              <w:t>否</w:t>
            </w:r>
          </w:p>
        </w:tc>
        <w:tc>
          <w:tcPr>
            <w:tcW w:type="dxa" w:w="1162"/>
          </w:tcPr>
          <w:p>
            <w:pPr>
              <w:spacing w:after="20" w:line="276" w:lineRule="auto"/>
            </w:pPr>
            <w:r/>
            <w:r>
              <w:rPr>
                <w:rFonts w:ascii="Times New Roman" w:hAnsi="Times New Roman" w:eastAsia="宋体"/>
                <w:b w:val="0"/>
                <w:i w:val="0"/>
                <w:sz w:val="17"/>
              </w:rPr>
              <w:t>否</w:t>
            </w:r>
          </w:p>
        </w:tc>
        <w:tc>
          <w:tcPr>
            <w:tcW w:type="dxa" w:w="1162"/>
          </w:tcPr>
          <w:p>
            <w:pPr>
              <w:spacing w:after="20" w:line="276" w:lineRule="auto"/>
            </w:pPr>
            <w:r/>
            <w:r>
              <w:rPr>
                <w:rFonts w:ascii="Times New Roman" w:hAnsi="Times New Roman" w:eastAsia="宋体"/>
                <w:b w:val="0"/>
                <w:i w:val="0"/>
                <w:sz w:val="17"/>
              </w:rPr>
              <w:t>否</w:t>
            </w:r>
          </w:p>
        </w:tc>
        <w:tc>
          <w:tcPr>
            <w:tcW w:type="dxa" w:w="1162"/>
          </w:tcPr>
          <w:p>
            <w:pPr>
              <w:spacing w:after="20" w:line="276" w:lineRule="auto"/>
            </w:pPr>
            <w:r/>
            <w:r>
              <w:rPr>
                <w:rFonts w:ascii="Times New Roman" w:hAnsi="Times New Roman" w:eastAsia="宋体"/>
                <w:b w:val="0"/>
                <w:i w:val="0"/>
                <w:sz w:val="17"/>
              </w:rPr>
              <w:t>P2 完整增强、P3 单智能体基准</w:t>
            </w:r>
          </w:p>
        </w:tc>
      </w:tr>
      <w:tr>
        <w:tc>
          <w:tcPr>
            <w:tcW w:type="dxa" w:w="1162"/>
          </w:tcPr>
          <w:p>
            <w:pPr>
              <w:spacing w:after="20" w:line="276" w:lineRule="auto"/>
            </w:pPr>
            <w:r/>
            <w:r>
              <w:rPr>
                <w:rFonts w:ascii="Times New Roman" w:hAnsi="Times New Roman" w:eastAsia="宋体"/>
                <w:b w:val="0"/>
                <w:i w:val="0"/>
                <w:sz w:val="17"/>
              </w:rPr>
              <w:t>E7 三独立智能体</w:t>
            </w:r>
          </w:p>
        </w:tc>
        <w:tc>
          <w:tcPr>
            <w:tcW w:type="dxa" w:w="1162"/>
          </w:tcPr>
          <w:p>
            <w:pPr>
              <w:spacing w:after="20" w:line="276" w:lineRule="auto"/>
            </w:pPr>
            <w:r/>
            <w:r>
              <w:rPr>
                <w:rFonts w:ascii="Times New Roman" w:hAnsi="Times New Roman" w:eastAsia="宋体"/>
                <w:b w:val="0"/>
                <w:i w:val="0"/>
                <w:sz w:val="17"/>
              </w:rPr>
              <w:t>数值+文本</w:t>
            </w:r>
          </w:p>
        </w:tc>
        <w:tc>
          <w:tcPr>
            <w:tcW w:type="dxa" w:w="1162"/>
          </w:tcPr>
          <w:p>
            <w:pPr>
              <w:spacing w:after="20" w:line="276" w:lineRule="auto"/>
            </w:pPr>
            <w:r/>
            <w:r>
              <w:rPr>
                <w:rFonts w:ascii="Times New Roman" w:hAnsi="Times New Roman" w:eastAsia="宋体"/>
                <w:b w:val="0"/>
                <w:i w:val="0"/>
                <w:sz w:val="17"/>
              </w:rPr>
              <w:t>RAG+工具</w:t>
            </w:r>
          </w:p>
        </w:tc>
        <w:tc>
          <w:tcPr>
            <w:tcW w:type="dxa" w:w="1162"/>
          </w:tcPr>
          <w:p>
            <w:pPr>
              <w:spacing w:after="20" w:line="276" w:lineRule="auto"/>
            </w:pPr>
            <w:r/>
            <w:r>
              <w:rPr>
                <w:rFonts w:ascii="Times New Roman" w:hAnsi="Times New Roman" w:eastAsia="宋体"/>
                <w:b w:val="0"/>
                <w:i w:val="0"/>
                <w:sz w:val="17"/>
              </w:rPr>
              <w:t>independent</w:t>
            </w:r>
          </w:p>
        </w:tc>
        <w:tc>
          <w:tcPr>
            <w:tcW w:type="dxa" w:w="1162"/>
          </w:tcPr>
          <w:p>
            <w:pPr>
              <w:spacing w:after="20" w:line="276" w:lineRule="auto"/>
            </w:pPr>
            <w:r/>
            <w:r>
              <w:rPr>
                <w:rFonts w:ascii="Times New Roman" w:hAnsi="Times New Roman" w:eastAsia="宋体"/>
                <w:b w:val="0"/>
                <w:i w:val="0"/>
                <w:sz w:val="17"/>
              </w:rPr>
              <w:t>否</w:t>
            </w:r>
          </w:p>
        </w:tc>
        <w:tc>
          <w:tcPr>
            <w:tcW w:type="dxa" w:w="1162"/>
          </w:tcPr>
          <w:p>
            <w:pPr>
              <w:spacing w:after="20" w:line="276" w:lineRule="auto"/>
            </w:pPr>
            <w:r/>
            <w:r>
              <w:rPr>
                <w:rFonts w:ascii="Times New Roman" w:hAnsi="Times New Roman" w:eastAsia="宋体"/>
                <w:b w:val="0"/>
                <w:i w:val="0"/>
                <w:sz w:val="17"/>
              </w:rPr>
              <w:t>否</w:t>
            </w:r>
          </w:p>
        </w:tc>
        <w:tc>
          <w:tcPr>
            <w:tcW w:type="dxa" w:w="1162"/>
          </w:tcPr>
          <w:p>
            <w:pPr>
              <w:spacing w:after="20" w:line="276" w:lineRule="auto"/>
            </w:pPr>
            <w:r/>
            <w:r>
              <w:rPr>
                <w:rFonts w:ascii="Times New Roman" w:hAnsi="Times New Roman" w:eastAsia="宋体"/>
                <w:b w:val="0"/>
                <w:i w:val="0"/>
                <w:sz w:val="17"/>
              </w:rPr>
              <w:t>否</w:t>
            </w:r>
          </w:p>
        </w:tc>
        <w:tc>
          <w:tcPr>
            <w:tcW w:type="dxa" w:w="1162"/>
          </w:tcPr>
          <w:p>
            <w:pPr>
              <w:spacing w:after="20" w:line="276" w:lineRule="auto"/>
            </w:pPr>
            <w:r/>
            <w:r>
              <w:rPr>
                <w:rFonts w:ascii="Times New Roman" w:hAnsi="Times New Roman" w:eastAsia="宋体"/>
                <w:b w:val="0"/>
                <w:i w:val="0"/>
                <w:sz w:val="17"/>
              </w:rPr>
              <w:t>P3 专业化分工</w:t>
            </w:r>
          </w:p>
        </w:tc>
      </w:tr>
      <w:tr>
        <w:tc>
          <w:tcPr>
            <w:tcW w:type="dxa" w:w="1162"/>
          </w:tcPr>
          <w:p>
            <w:pPr>
              <w:spacing w:after="20" w:line="276" w:lineRule="auto"/>
            </w:pPr>
            <w:r/>
            <w:r>
              <w:rPr>
                <w:rFonts w:ascii="Times New Roman" w:hAnsi="Times New Roman" w:eastAsia="宋体"/>
                <w:b w:val="0"/>
                <w:i w:val="0"/>
                <w:sz w:val="17"/>
              </w:rPr>
              <w:t>E8 三通用角色</w:t>
            </w:r>
          </w:p>
        </w:tc>
        <w:tc>
          <w:tcPr>
            <w:tcW w:type="dxa" w:w="1162"/>
          </w:tcPr>
          <w:p>
            <w:pPr>
              <w:spacing w:after="20" w:line="276" w:lineRule="auto"/>
            </w:pPr>
            <w:r/>
            <w:r>
              <w:rPr>
                <w:rFonts w:ascii="Times New Roman" w:hAnsi="Times New Roman" w:eastAsia="宋体"/>
                <w:b w:val="0"/>
                <w:i w:val="0"/>
                <w:sz w:val="17"/>
              </w:rPr>
              <w:t>数值+文本</w:t>
            </w:r>
          </w:p>
        </w:tc>
        <w:tc>
          <w:tcPr>
            <w:tcW w:type="dxa" w:w="1162"/>
          </w:tcPr>
          <w:p>
            <w:pPr>
              <w:spacing w:after="20" w:line="276" w:lineRule="auto"/>
            </w:pPr>
            <w:r/>
            <w:r>
              <w:rPr>
                <w:rFonts w:ascii="Times New Roman" w:hAnsi="Times New Roman" w:eastAsia="宋体"/>
                <w:b w:val="0"/>
                <w:i w:val="0"/>
                <w:sz w:val="17"/>
              </w:rPr>
              <w:t>RAG+工具</w:t>
            </w:r>
          </w:p>
        </w:tc>
        <w:tc>
          <w:tcPr>
            <w:tcW w:type="dxa" w:w="1162"/>
          </w:tcPr>
          <w:p>
            <w:pPr>
              <w:spacing w:after="20" w:line="276" w:lineRule="auto"/>
            </w:pPr>
            <w:r/>
            <w:r>
              <w:rPr>
                <w:rFonts w:ascii="Times New Roman" w:hAnsi="Times New Roman" w:eastAsia="宋体"/>
                <w:b w:val="0"/>
                <w:i w:val="0"/>
                <w:sz w:val="17"/>
              </w:rPr>
              <w:t>independent</w:t>
            </w:r>
          </w:p>
        </w:tc>
        <w:tc>
          <w:tcPr>
            <w:tcW w:type="dxa" w:w="1162"/>
          </w:tcPr>
          <w:p>
            <w:pPr>
              <w:spacing w:after="20" w:line="276" w:lineRule="auto"/>
            </w:pPr>
            <w:r/>
            <w:r>
              <w:rPr>
                <w:rFonts w:ascii="Times New Roman" w:hAnsi="Times New Roman" w:eastAsia="宋体"/>
                <w:b w:val="0"/>
                <w:i w:val="0"/>
                <w:sz w:val="17"/>
              </w:rPr>
              <w:t>否</w:t>
            </w:r>
          </w:p>
        </w:tc>
        <w:tc>
          <w:tcPr>
            <w:tcW w:type="dxa" w:w="1162"/>
          </w:tcPr>
          <w:p>
            <w:pPr>
              <w:spacing w:after="20" w:line="276" w:lineRule="auto"/>
            </w:pPr>
            <w:r/>
            <w:r>
              <w:rPr>
                <w:rFonts w:ascii="Times New Roman" w:hAnsi="Times New Roman" w:eastAsia="宋体"/>
                <w:b w:val="0"/>
                <w:i w:val="0"/>
                <w:sz w:val="17"/>
              </w:rPr>
              <w:t>否</w:t>
            </w:r>
          </w:p>
        </w:tc>
        <w:tc>
          <w:tcPr>
            <w:tcW w:type="dxa" w:w="1162"/>
          </w:tcPr>
          <w:p>
            <w:pPr>
              <w:spacing w:after="20" w:line="276" w:lineRule="auto"/>
            </w:pPr>
            <w:r/>
            <w:r>
              <w:rPr>
                <w:rFonts w:ascii="Times New Roman" w:hAnsi="Times New Roman" w:eastAsia="宋体"/>
                <w:b w:val="0"/>
                <w:i w:val="0"/>
                <w:sz w:val="17"/>
              </w:rPr>
              <w:t>否</w:t>
            </w:r>
          </w:p>
        </w:tc>
        <w:tc>
          <w:tcPr>
            <w:tcW w:type="dxa" w:w="1162"/>
          </w:tcPr>
          <w:p>
            <w:pPr>
              <w:spacing w:after="20" w:line="276" w:lineRule="auto"/>
            </w:pPr>
            <w:r/>
            <w:r>
              <w:rPr>
                <w:rFonts w:ascii="Times New Roman" w:hAnsi="Times New Roman" w:eastAsia="宋体"/>
                <w:b w:val="0"/>
                <w:i w:val="0"/>
                <w:sz w:val="17"/>
              </w:rPr>
              <w:t>P3 分工内容对照</w:t>
            </w:r>
          </w:p>
        </w:tc>
      </w:tr>
      <w:tr>
        <w:tc>
          <w:tcPr>
            <w:tcW w:type="dxa" w:w="1162"/>
          </w:tcPr>
          <w:p>
            <w:pPr>
              <w:spacing w:after="20" w:line="276" w:lineRule="auto"/>
            </w:pPr>
            <w:r/>
            <w:r>
              <w:rPr>
                <w:rFonts w:ascii="Times New Roman" w:hAnsi="Times New Roman" w:eastAsia="宋体"/>
                <w:b w:val="0"/>
                <w:i w:val="0"/>
                <w:sz w:val="17"/>
              </w:rPr>
              <w:t>E9 完整协同</w:t>
            </w:r>
          </w:p>
        </w:tc>
        <w:tc>
          <w:tcPr>
            <w:tcW w:type="dxa" w:w="1162"/>
          </w:tcPr>
          <w:p>
            <w:pPr>
              <w:spacing w:after="20" w:line="276" w:lineRule="auto"/>
            </w:pPr>
            <w:r/>
            <w:r>
              <w:rPr>
                <w:rFonts w:ascii="Times New Roman" w:hAnsi="Times New Roman" w:eastAsia="宋体"/>
                <w:b w:val="0"/>
                <w:i w:val="0"/>
                <w:sz w:val="17"/>
              </w:rPr>
              <w:t>数值+文本</w:t>
            </w:r>
          </w:p>
        </w:tc>
        <w:tc>
          <w:tcPr>
            <w:tcW w:type="dxa" w:w="1162"/>
          </w:tcPr>
          <w:p>
            <w:pPr>
              <w:spacing w:after="20" w:line="276" w:lineRule="auto"/>
            </w:pPr>
            <w:r/>
            <w:r>
              <w:rPr>
                <w:rFonts w:ascii="Times New Roman" w:hAnsi="Times New Roman" w:eastAsia="宋体"/>
                <w:b w:val="0"/>
                <w:i w:val="0"/>
                <w:sz w:val="17"/>
              </w:rPr>
              <w:t>RAG+工具</w:t>
            </w:r>
          </w:p>
        </w:tc>
        <w:tc>
          <w:tcPr>
            <w:tcW w:type="dxa" w:w="1162"/>
          </w:tcPr>
          <w:p>
            <w:pPr>
              <w:spacing w:after="20" w:line="276" w:lineRule="auto"/>
            </w:pPr>
            <w:r/>
            <w:r>
              <w:rPr>
                <w:rFonts w:ascii="Times New Roman" w:hAnsi="Times New Roman" w:eastAsia="宋体"/>
                <w:b w:val="0"/>
                <w:i w:val="0"/>
                <w:sz w:val="17"/>
              </w:rPr>
              <w:t>collaborative</w:t>
            </w:r>
          </w:p>
        </w:tc>
        <w:tc>
          <w:tcPr>
            <w:tcW w:type="dxa" w:w="1162"/>
          </w:tcPr>
          <w:p>
            <w:pPr>
              <w:spacing w:after="20" w:line="276" w:lineRule="auto"/>
            </w:pPr>
            <w:r/>
            <w:r>
              <w:rPr>
                <w:rFonts w:ascii="Times New Roman" w:hAnsi="Times New Roman" w:eastAsia="宋体"/>
                <w:b w:val="0"/>
                <w:i w:val="0"/>
                <w:sz w:val="17"/>
              </w:rPr>
              <w:t>是</w:t>
            </w:r>
          </w:p>
        </w:tc>
        <w:tc>
          <w:tcPr>
            <w:tcW w:type="dxa" w:w="1162"/>
          </w:tcPr>
          <w:p>
            <w:pPr>
              <w:spacing w:after="20" w:line="276" w:lineRule="auto"/>
            </w:pPr>
            <w:r/>
            <w:r>
              <w:rPr>
                <w:rFonts w:ascii="Times New Roman" w:hAnsi="Times New Roman" w:eastAsia="宋体"/>
                <w:b w:val="0"/>
                <w:i w:val="0"/>
                <w:sz w:val="17"/>
              </w:rPr>
              <w:t>是</w:t>
            </w:r>
          </w:p>
        </w:tc>
        <w:tc>
          <w:tcPr>
            <w:tcW w:type="dxa" w:w="1162"/>
          </w:tcPr>
          <w:p>
            <w:pPr>
              <w:spacing w:after="20" w:line="276" w:lineRule="auto"/>
            </w:pPr>
            <w:r/>
            <w:r>
              <w:rPr>
                <w:rFonts w:ascii="Times New Roman" w:hAnsi="Times New Roman" w:eastAsia="宋体"/>
                <w:b w:val="0"/>
                <w:i w:val="0"/>
                <w:sz w:val="17"/>
              </w:rPr>
              <w:t>是</w:t>
            </w:r>
          </w:p>
        </w:tc>
        <w:tc>
          <w:tcPr>
            <w:tcW w:type="dxa" w:w="1162"/>
          </w:tcPr>
          <w:p>
            <w:pPr>
              <w:spacing w:after="20" w:line="276" w:lineRule="auto"/>
            </w:pPr>
            <w:r/>
            <w:r>
              <w:rPr>
                <w:rFonts w:ascii="Times New Roman" w:hAnsi="Times New Roman" w:eastAsia="宋体"/>
                <w:b w:val="0"/>
                <w:i w:val="0"/>
                <w:sz w:val="17"/>
              </w:rPr>
              <w:t>P3 主检验</w:t>
            </w:r>
          </w:p>
        </w:tc>
      </w:tr>
      <w:tr>
        <w:tc>
          <w:tcPr>
            <w:tcW w:type="dxa" w:w="1162"/>
          </w:tcPr>
          <w:p>
            <w:pPr>
              <w:spacing w:after="20" w:line="276" w:lineRule="auto"/>
            </w:pPr>
            <w:r/>
            <w:r>
              <w:rPr>
                <w:rFonts w:ascii="Times New Roman" w:hAnsi="Times New Roman" w:eastAsia="宋体"/>
                <w:b w:val="0"/>
                <w:i w:val="0"/>
                <w:sz w:val="17"/>
              </w:rPr>
              <w:t>E10 无证据共享</w:t>
            </w:r>
          </w:p>
        </w:tc>
        <w:tc>
          <w:tcPr>
            <w:tcW w:type="dxa" w:w="1162"/>
          </w:tcPr>
          <w:p>
            <w:pPr>
              <w:spacing w:after="20" w:line="276" w:lineRule="auto"/>
            </w:pPr>
            <w:r/>
            <w:r>
              <w:rPr>
                <w:rFonts w:ascii="Times New Roman" w:hAnsi="Times New Roman" w:eastAsia="宋体"/>
                <w:b w:val="0"/>
                <w:i w:val="0"/>
                <w:sz w:val="17"/>
              </w:rPr>
              <w:t>数值+文本</w:t>
            </w:r>
          </w:p>
        </w:tc>
        <w:tc>
          <w:tcPr>
            <w:tcW w:type="dxa" w:w="1162"/>
          </w:tcPr>
          <w:p>
            <w:pPr>
              <w:spacing w:after="20" w:line="276" w:lineRule="auto"/>
            </w:pPr>
            <w:r/>
            <w:r>
              <w:rPr>
                <w:rFonts w:ascii="Times New Roman" w:hAnsi="Times New Roman" w:eastAsia="宋体"/>
                <w:b w:val="0"/>
                <w:i w:val="0"/>
                <w:sz w:val="17"/>
              </w:rPr>
              <w:t>RAG+工具</w:t>
            </w:r>
          </w:p>
        </w:tc>
        <w:tc>
          <w:tcPr>
            <w:tcW w:type="dxa" w:w="1162"/>
          </w:tcPr>
          <w:p>
            <w:pPr>
              <w:spacing w:after="20" w:line="276" w:lineRule="auto"/>
            </w:pPr>
            <w:r/>
            <w:r>
              <w:rPr>
                <w:rFonts w:ascii="Times New Roman" w:hAnsi="Times New Roman" w:eastAsia="宋体"/>
                <w:b w:val="0"/>
                <w:i w:val="0"/>
                <w:sz w:val="17"/>
              </w:rPr>
              <w:t>collaborative</w:t>
            </w:r>
          </w:p>
        </w:tc>
        <w:tc>
          <w:tcPr>
            <w:tcW w:type="dxa" w:w="1162"/>
          </w:tcPr>
          <w:p>
            <w:pPr>
              <w:spacing w:after="20" w:line="276" w:lineRule="auto"/>
            </w:pPr>
            <w:r/>
            <w:r>
              <w:rPr>
                <w:rFonts w:ascii="Times New Roman" w:hAnsi="Times New Roman" w:eastAsia="宋体"/>
                <w:b w:val="0"/>
                <w:i w:val="0"/>
                <w:sz w:val="17"/>
              </w:rPr>
              <w:t>否</w:t>
            </w:r>
          </w:p>
        </w:tc>
        <w:tc>
          <w:tcPr>
            <w:tcW w:type="dxa" w:w="1162"/>
          </w:tcPr>
          <w:p>
            <w:pPr>
              <w:spacing w:after="20" w:line="276" w:lineRule="auto"/>
            </w:pPr>
            <w:r/>
            <w:r>
              <w:rPr>
                <w:rFonts w:ascii="Times New Roman" w:hAnsi="Times New Roman" w:eastAsia="宋体"/>
                <w:b w:val="0"/>
                <w:i w:val="0"/>
                <w:sz w:val="17"/>
              </w:rPr>
              <w:t>是</w:t>
            </w:r>
          </w:p>
        </w:tc>
        <w:tc>
          <w:tcPr>
            <w:tcW w:type="dxa" w:w="1162"/>
          </w:tcPr>
          <w:p>
            <w:pPr>
              <w:spacing w:after="20" w:line="276" w:lineRule="auto"/>
            </w:pPr>
            <w:r/>
            <w:r>
              <w:rPr>
                <w:rFonts w:ascii="Times New Roman" w:hAnsi="Times New Roman" w:eastAsia="宋体"/>
                <w:b w:val="0"/>
                <w:i w:val="0"/>
                <w:sz w:val="17"/>
              </w:rPr>
              <w:t>是</w:t>
            </w:r>
          </w:p>
        </w:tc>
        <w:tc>
          <w:tcPr>
            <w:tcW w:type="dxa" w:w="1162"/>
          </w:tcPr>
          <w:p>
            <w:pPr>
              <w:spacing w:after="20" w:line="276" w:lineRule="auto"/>
            </w:pPr>
            <w:r/>
            <w:r>
              <w:rPr>
                <w:rFonts w:ascii="Times New Roman" w:hAnsi="Times New Roman" w:eastAsia="宋体"/>
                <w:b w:val="0"/>
                <w:i w:val="0"/>
                <w:sz w:val="17"/>
              </w:rPr>
              <w:t>P3 共享贡献</w:t>
            </w:r>
          </w:p>
        </w:tc>
      </w:tr>
      <w:tr>
        <w:tc>
          <w:tcPr>
            <w:tcW w:type="dxa" w:w="1162"/>
          </w:tcPr>
          <w:p>
            <w:pPr>
              <w:spacing w:after="20" w:line="276" w:lineRule="auto"/>
            </w:pPr>
            <w:r/>
            <w:r>
              <w:rPr>
                <w:rFonts w:ascii="Times New Roman" w:hAnsi="Times New Roman" w:eastAsia="宋体"/>
                <w:b w:val="0"/>
                <w:i w:val="0"/>
                <w:sz w:val="17"/>
              </w:rPr>
              <w:t>E11 无交叉验证</w:t>
            </w:r>
          </w:p>
        </w:tc>
        <w:tc>
          <w:tcPr>
            <w:tcW w:type="dxa" w:w="1162"/>
          </w:tcPr>
          <w:p>
            <w:pPr>
              <w:spacing w:after="20" w:line="276" w:lineRule="auto"/>
            </w:pPr>
            <w:r/>
            <w:r>
              <w:rPr>
                <w:rFonts w:ascii="Times New Roman" w:hAnsi="Times New Roman" w:eastAsia="宋体"/>
                <w:b w:val="0"/>
                <w:i w:val="0"/>
                <w:sz w:val="17"/>
              </w:rPr>
              <w:t>数值+文本</w:t>
            </w:r>
          </w:p>
        </w:tc>
        <w:tc>
          <w:tcPr>
            <w:tcW w:type="dxa" w:w="1162"/>
          </w:tcPr>
          <w:p>
            <w:pPr>
              <w:spacing w:after="20" w:line="276" w:lineRule="auto"/>
            </w:pPr>
            <w:r/>
            <w:r>
              <w:rPr>
                <w:rFonts w:ascii="Times New Roman" w:hAnsi="Times New Roman" w:eastAsia="宋体"/>
                <w:b w:val="0"/>
                <w:i w:val="0"/>
                <w:sz w:val="17"/>
              </w:rPr>
              <w:t>RAG+工具</w:t>
            </w:r>
          </w:p>
        </w:tc>
        <w:tc>
          <w:tcPr>
            <w:tcW w:type="dxa" w:w="1162"/>
          </w:tcPr>
          <w:p>
            <w:pPr>
              <w:spacing w:after="20" w:line="276" w:lineRule="auto"/>
            </w:pPr>
            <w:r/>
            <w:r>
              <w:rPr>
                <w:rFonts w:ascii="Times New Roman" w:hAnsi="Times New Roman" w:eastAsia="宋体"/>
                <w:b w:val="0"/>
                <w:i w:val="0"/>
                <w:sz w:val="17"/>
              </w:rPr>
              <w:t>collaborative</w:t>
            </w:r>
          </w:p>
        </w:tc>
        <w:tc>
          <w:tcPr>
            <w:tcW w:type="dxa" w:w="1162"/>
          </w:tcPr>
          <w:p>
            <w:pPr>
              <w:spacing w:after="20" w:line="276" w:lineRule="auto"/>
            </w:pPr>
            <w:r/>
            <w:r>
              <w:rPr>
                <w:rFonts w:ascii="Times New Roman" w:hAnsi="Times New Roman" w:eastAsia="宋体"/>
                <w:b w:val="0"/>
                <w:i w:val="0"/>
                <w:sz w:val="17"/>
              </w:rPr>
              <w:t>是</w:t>
            </w:r>
          </w:p>
        </w:tc>
        <w:tc>
          <w:tcPr>
            <w:tcW w:type="dxa" w:w="1162"/>
          </w:tcPr>
          <w:p>
            <w:pPr>
              <w:spacing w:after="20" w:line="276" w:lineRule="auto"/>
            </w:pPr>
            <w:r/>
            <w:r>
              <w:rPr>
                <w:rFonts w:ascii="Times New Roman" w:hAnsi="Times New Roman" w:eastAsia="宋体"/>
                <w:b w:val="0"/>
                <w:i w:val="0"/>
                <w:sz w:val="17"/>
              </w:rPr>
              <w:t>否</w:t>
            </w:r>
          </w:p>
        </w:tc>
        <w:tc>
          <w:tcPr>
            <w:tcW w:type="dxa" w:w="1162"/>
          </w:tcPr>
          <w:p>
            <w:pPr>
              <w:spacing w:after="20" w:line="276" w:lineRule="auto"/>
            </w:pPr>
            <w:r/>
            <w:r>
              <w:rPr>
                <w:rFonts w:ascii="Times New Roman" w:hAnsi="Times New Roman" w:eastAsia="宋体"/>
                <w:b w:val="0"/>
                <w:i w:val="0"/>
                <w:sz w:val="17"/>
              </w:rPr>
              <w:t>是</w:t>
            </w:r>
          </w:p>
        </w:tc>
        <w:tc>
          <w:tcPr>
            <w:tcW w:type="dxa" w:w="1162"/>
          </w:tcPr>
          <w:p>
            <w:pPr>
              <w:spacing w:after="20" w:line="276" w:lineRule="auto"/>
            </w:pPr>
            <w:r/>
            <w:r>
              <w:rPr>
                <w:rFonts w:ascii="Times New Roman" w:hAnsi="Times New Roman" w:eastAsia="宋体"/>
                <w:b w:val="0"/>
                <w:i w:val="0"/>
                <w:sz w:val="17"/>
              </w:rPr>
              <w:t>P3 复核贡献</w:t>
            </w:r>
          </w:p>
        </w:tc>
      </w:tr>
      <w:tr>
        <w:tc>
          <w:tcPr>
            <w:tcW w:type="dxa" w:w="1162"/>
          </w:tcPr>
          <w:p>
            <w:pPr>
              <w:spacing w:after="20" w:line="276" w:lineRule="auto"/>
            </w:pPr>
            <w:r/>
            <w:r>
              <w:rPr>
                <w:rFonts w:ascii="Times New Roman" w:hAnsi="Times New Roman" w:eastAsia="宋体"/>
                <w:b w:val="0"/>
                <w:i w:val="0"/>
                <w:sz w:val="17"/>
              </w:rPr>
              <w:t>E12 无冲突协调</w:t>
            </w:r>
          </w:p>
        </w:tc>
        <w:tc>
          <w:tcPr>
            <w:tcW w:type="dxa" w:w="1162"/>
          </w:tcPr>
          <w:p>
            <w:pPr>
              <w:spacing w:after="20" w:line="276" w:lineRule="auto"/>
            </w:pPr>
            <w:r/>
            <w:r>
              <w:rPr>
                <w:rFonts w:ascii="Times New Roman" w:hAnsi="Times New Roman" w:eastAsia="宋体"/>
                <w:b w:val="0"/>
                <w:i w:val="0"/>
                <w:sz w:val="17"/>
              </w:rPr>
              <w:t>数值+文本</w:t>
            </w:r>
          </w:p>
        </w:tc>
        <w:tc>
          <w:tcPr>
            <w:tcW w:type="dxa" w:w="1162"/>
          </w:tcPr>
          <w:p>
            <w:pPr>
              <w:spacing w:after="20" w:line="276" w:lineRule="auto"/>
            </w:pPr>
            <w:r/>
            <w:r>
              <w:rPr>
                <w:rFonts w:ascii="Times New Roman" w:hAnsi="Times New Roman" w:eastAsia="宋体"/>
                <w:b w:val="0"/>
                <w:i w:val="0"/>
                <w:sz w:val="17"/>
              </w:rPr>
              <w:t>RAG+工具</w:t>
            </w:r>
          </w:p>
        </w:tc>
        <w:tc>
          <w:tcPr>
            <w:tcW w:type="dxa" w:w="1162"/>
          </w:tcPr>
          <w:p>
            <w:pPr>
              <w:spacing w:after="20" w:line="276" w:lineRule="auto"/>
            </w:pPr>
            <w:r/>
            <w:r>
              <w:rPr>
                <w:rFonts w:ascii="Times New Roman" w:hAnsi="Times New Roman" w:eastAsia="宋体"/>
                <w:b w:val="0"/>
                <w:i w:val="0"/>
                <w:sz w:val="17"/>
              </w:rPr>
              <w:t>collaborative</w:t>
            </w:r>
          </w:p>
        </w:tc>
        <w:tc>
          <w:tcPr>
            <w:tcW w:type="dxa" w:w="1162"/>
          </w:tcPr>
          <w:p>
            <w:pPr>
              <w:spacing w:after="20" w:line="276" w:lineRule="auto"/>
            </w:pPr>
            <w:r/>
            <w:r>
              <w:rPr>
                <w:rFonts w:ascii="Times New Roman" w:hAnsi="Times New Roman" w:eastAsia="宋体"/>
                <w:b w:val="0"/>
                <w:i w:val="0"/>
                <w:sz w:val="17"/>
              </w:rPr>
              <w:t>是</w:t>
            </w:r>
          </w:p>
        </w:tc>
        <w:tc>
          <w:tcPr>
            <w:tcW w:type="dxa" w:w="1162"/>
          </w:tcPr>
          <w:p>
            <w:pPr>
              <w:spacing w:after="20" w:line="276" w:lineRule="auto"/>
            </w:pPr>
            <w:r/>
            <w:r>
              <w:rPr>
                <w:rFonts w:ascii="Times New Roman" w:hAnsi="Times New Roman" w:eastAsia="宋体"/>
                <w:b w:val="0"/>
                <w:i w:val="0"/>
                <w:sz w:val="17"/>
              </w:rPr>
              <w:t>是</w:t>
            </w:r>
          </w:p>
        </w:tc>
        <w:tc>
          <w:tcPr>
            <w:tcW w:type="dxa" w:w="1162"/>
          </w:tcPr>
          <w:p>
            <w:pPr>
              <w:spacing w:after="20" w:line="276" w:lineRule="auto"/>
            </w:pPr>
            <w:r/>
            <w:r>
              <w:rPr>
                <w:rFonts w:ascii="Times New Roman" w:hAnsi="Times New Roman" w:eastAsia="宋体"/>
                <w:b w:val="0"/>
                <w:i w:val="0"/>
                <w:sz w:val="17"/>
              </w:rPr>
              <w:t>否</w:t>
            </w:r>
          </w:p>
        </w:tc>
        <w:tc>
          <w:tcPr>
            <w:tcW w:type="dxa" w:w="1162"/>
          </w:tcPr>
          <w:p>
            <w:pPr>
              <w:spacing w:after="20" w:line="276" w:lineRule="auto"/>
            </w:pPr>
            <w:r/>
            <w:r>
              <w:rPr>
                <w:rFonts w:ascii="Times New Roman" w:hAnsi="Times New Roman" w:eastAsia="宋体"/>
                <w:b w:val="0"/>
                <w:i w:val="0"/>
                <w:sz w:val="17"/>
              </w:rPr>
              <w:t>P3 协调贡献</w:t>
            </w:r>
          </w:p>
        </w:tc>
      </w:tr>
    </w:tbl>
    <w:p>
      <w:pPr>
        <w:spacing w:after="40"/>
      </w:pPr>
    </w:p>
    <w:p>
      <w:r>
        <w:rPr>
          <w:rFonts w:ascii="Times New Roman" w:hAnsi="Times New Roman" w:eastAsia="宋体"/>
          <w:b w:val="0"/>
          <w:i w:val="0"/>
          <w:sz w:val="21"/>
        </w:rPr>
        <w:t xml:space="preserve">资源可比性通过三条规则保证：其一，同一配置族使用同一底层模型与采样参数；其二，工具调用次数、token 用量与运行时长设上限并逐次记录，超限即停止；其三，评估日集合 </w:t>
      </w:r>
      <w:r>
        <w:rPr>
          <w:rFonts w:ascii="Times New Roman" w:hAnsi="Times New Roman" w:eastAsia="宋体"/>
          <w:b w:val="0"/>
          <w:i/>
          <w:color w:val="1F3864"/>
          <w:sz w:val="21"/>
        </w:rPr>
        <w:t>E</w:t>
      </w:r>
      <w:r>
        <w:rPr>
          <w:rFonts w:ascii="Times New Roman" w:hAnsi="Times New Roman" w:eastAsia="宋体"/>
          <w:b w:val="0"/>
          <w:i w:val="0"/>
          <w:sz w:val="21"/>
        </w:rPr>
        <w:t xml:space="preserve">、标签版本、预测期限与随机种子固定并写入运行记录。工具版本、默认参数与知识库索引参数由 </w:t>
      </w:r>
      <w:r>
        <w:rPr>
          <w:rFonts w:ascii="Consolas" w:hAnsi="Consolas" w:eastAsia="Consolas"/>
          <w:b w:val="0"/>
          <w:i w:val="0"/>
          <w:color w:val="8B1E3F"/>
          <w:sz w:val="20"/>
        </w:rPr>
        <w:t>configs/tools.yaml</w:t>
      </w:r>
      <w:r>
        <w:rPr>
          <w:rFonts w:ascii="Times New Roman" w:hAnsi="Times New Roman" w:eastAsia="宋体"/>
          <w:b w:val="0"/>
          <w:i w:val="0"/>
          <w:sz w:val="21"/>
        </w:rPr>
        <w:t xml:space="preserve"> 管理，运行时记录版本快照。6.4 另行替换预测期、阈值、模型版本与成本权重做稳健性分析。</w:t>
      </w:r>
    </w:p>
    <w:p>
      <w:pPr>
        <w:pStyle w:val="Heading3"/>
      </w:pPr>
      <w:r>
        <w:rPr>
          <w:rFonts w:ascii="Times New Roman" w:hAnsi="Times New Roman" w:eastAsia="宋体"/>
          <w:b w:val="0"/>
          <w:i w:val="0"/>
          <w:sz w:val="23"/>
        </w:rPr>
        <w:t>4.5.3 指标定义与统计检验</w:t>
      </w:r>
    </w:p>
    <w:p>
      <w:r>
        <w:rPr>
          <w:rFonts w:ascii="Times New Roman" w:hAnsi="Times New Roman" w:eastAsia="宋体"/>
          <w:b w:val="0"/>
          <w:i w:val="0"/>
          <w:sz w:val="21"/>
        </w:rPr>
        <w:t>P1、P2、P3 分别对应预警表现、可信性与决策价值三个评价层次，指标定义见表 4-10。三个层次不可相互替代；每个命题使用独立指标集并分别报告。</w:t>
      </w:r>
    </w:p>
    <w:p>
      <w:pPr>
        <w:keepNext/>
        <w:spacing w:before="120" w:after="40"/>
        <w:jc w:val="center"/>
      </w:pPr>
      <w:r>
        <w:rPr>
          <w:rFonts w:ascii="Times New Roman" w:hAnsi="Times New Roman" w:eastAsia="宋体"/>
          <w:b/>
          <w:i w:val="0"/>
          <w:color w:val="1F3864"/>
          <w:sz w:val="19"/>
        </w:rPr>
        <w:t>表 4-10 指标定义与统计口径</w:t>
      </w:r>
    </w:p>
    <w:tbl>
      <w:tblPr>
        <w:tblStyle w:val="TableGrid"/>
        <w:tblW w:type="auto" w:w="0"/>
        <w:jc w:val="center"/>
        <w:tblLayout w:type="autofit"/>
        <w:tblLook w:firstColumn="1" w:firstRow="1" w:lastColumn="0" w:lastRow="0" w:noHBand="0" w:noVBand="1" w:val="04A0"/>
      </w:tblPr>
      <w:tblGrid>
        <w:gridCol w:w="1860"/>
        <w:gridCol w:w="1860"/>
        <w:gridCol w:w="1860"/>
        <w:gridCol w:w="1860"/>
        <w:gridCol w:w="1860"/>
      </w:tblGrid>
      <w:tr>
        <w:tc>
          <w:tcPr>
            <w:tcW w:type="dxa" w:w="1860"/>
          </w:tcPr>
          <w:p>
            <w:pPr>
              <w:spacing w:after="20" w:line="276" w:lineRule="auto"/>
            </w:pPr>
            <w:r>
              <w:rPr>
                <w:b/>
              </w:rPr>
            </w:r>
            <w:r>
              <w:rPr>
                <w:rFonts w:ascii="Times New Roman" w:hAnsi="Times New Roman" w:eastAsia="宋体"/>
                <w:b/>
                <w:i w:val="0"/>
                <w:sz w:val="17"/>
              </w:rPr>
              <w:t>层次</w:t>
            </w:r>
          </w:p>
        </w:tc>
        <w:tc>
          <w:tcPr>
            <w:tcW w:type="dxa" w:w="1860"/>
          </w:tcPr>
          <w:p>
            <w:pPr>
              <w:spacing w:after="20" w:line="276" w:lineRule="auto"/>
            </w:pPr>
            <w:r>
              <w:rPr>
                <w:b/>
              </w:rPr>
            </w:r>
            <w:r>
              <w:rPr>
                <w:rFonts w:ascii="Times New Roman" w:hAnsi="Times New Roman" w:eastAsia="宋体"/>
                <w:b/>
                <w:i w:val="0"/>
                <w:sz w:val="17"/>
              </w:rPr>
              <w:t>指标</w:t>
            </w:r>
          </w:p>
        </w:tc>
        <w:tc>
          <w:tcPr>
            <w:tcW w:type="dxa" w:w="1860"/>
          </w:tcPr>
          <w:p>
            <w:pPr>
              <w:spacing w:after="20" w:line="276" w:lineRule="auto"/>
            </w:pPr>
            <w:r>
              <w:rPr>
                <w:b/>
              </w:rPr>
            </w:r>
            <w:r>
              <w:rPr>
                <w:rFonts w:ascii="Times New Roman" w:hAnsi="Times New Roman" w:eastAsia="宋体"/>
                <w:b/>
                <w:i w:val="0"/>
                <w:sz w:val="17"/>
              </w:rPr>
              <w:t>定义/公式</w:t>
            </w:r>
          </w:p>
        </w:tc>
        <w:tc>
          <w:tcPr>
            <w:tcW w:type="dxa" w:w="1860"/>
          </w:tcPr>
          <w:p>
            <w:pPr>
              <w:spacing w:after="20" w:line="276" w:lineRule="auto"/>
            </w:pPr>
            <w:r>
              <w:rPr>
                <w:b/>
              </w:rPr>
            </w:r>
            <w:r>
              <w:rPr>
                <w:rFonts w:ascii="Times New Roman" w:hAnsi="Times New Roman" w:eastAsia="宋体"/>
                <w:b/>
                <w:i w:val="0"/>
                <w:sz w:val="17"/>
              </w:rPr>
              <w:t>数据来源</w:t>
            </w:r>
          </w:p>
        </w:tc>
        <w:tc>
          <w:tcPr>
            <w:tcW w:type="dxa" w:w="1860"/>
          </w:tcPr>
          <w:p>
            <w:pPr>
              <w:spacing w:after="20" w:line="276" w:lineRule="auto"/>
            </w:pPr>
            <w:r>
              <w:rPr>
                <w:b/>
              </w:rPr>
            </w:r>
            <w:r>
              <w:rPr>
                <w:rFonts w:ascii="Times New Roman" w:hAnsi="Times New Roman" w:eastAsia="宋体"/>
                <w:b/>
                <w:i w:val="0"/>
                <w:sz w:val="17"/>
              </w:rPr>
              <w:t>对应章节</w:t>
            </w:r>
          </w:p>
        </w:tc>
      </w:tr>
      <w:tr>
        <w:tc>
          <w:tcPr>
            <w:tcW w:type="dxa" w:w="1860"/>
          </w:tcPr>
          <w:p>
            <w:pPr>
              <w:spacing w:after="20" w:line="276" w:lineRule="auto"/>
            </w:pPr>
            <w:r/>
            <w:r>
              <w:rPr>
                <w:rFonts w:ascii="Times New Roman" w:hAnsi="Times New Roman" w:eastAsia="宋体"/>
                <w:b w:val="0"/>
                <w:i w:val="0"/>
                <w:sz w:val="17"/>
              </w:rPr>
              <w:t>P1</w:t>
            </w:r>
          </w:p>
        </w:tc>
        <w:tc>
          <w:tcPr>
            <w:tcW w:type="dxa" w:w="1860"/>
          </w:tcPr>
          <w:p>
            <w:pPr>
              <w:spacing w:after="20" w:line="276" w:lineRule="auto"/>
            </w:pPr>
            <w:r/>
            <w:r>
              <w:rPr>
                <w:rFonts w:ascii="Times New Roman" w:hAnsi="Times New Roman" w:eastAsia="宋体"/>
                <w:b w:val="0"/>
                <w:i w:val="0"/>
                <w:sz w:val="17"/>
              </w:rPr>
              <w:t>PR-AUC</w:t>
            </w:r>
          </w:p>
        </w:tc>
        <w:tc>
          <w:tcPr>
            <w:tcW w:type="dxa" w:w="1860"/>
          </w:tcPr>
          <w:p>
            <w:pPr>
              <w:spacing w:after="20" w:line="276" w:lineRule="auto"/>
            </w:pPr>
            <w:r/>
            <w:r>
              <w:rPr>
                <w:rFonts w:ascii="Times New Roman" w:hAnsi="Times New Roman" w:eastAsia="宋体"/>
                <w:b w:val="0"/>
                <w:i w:val="0"/>
                <w:sz w:val="17"/>
              </w:rPr>
              <w:t>精确率—召回率曲线下面积</w:t>
            </w:r>
          </w:p>
        </w:tc>
        <w:tc>
          <w:tcPr>
            <w:tcW w:type="dxa" w:w="1860"/>
          </w:tcPr>
          <w:p>
            <w:pPr>
              <w:spacing w:after="20" w:line="276" w:lineRule="auto"/>
            </w:pPr>
            <w:r/>
            <w:r>
              <w:rPr>
                <w:rFonts w:ascii="Times New Roman" w:hAnsi="Times New Roman" w:eastAsia="宋体"/>
                <w:b w:val="0"/>
                <w:i w:val="0"/>
                <w:sz w:val="17"/>
              </w:rPr>
              <w:t>滚动样本外预测</w:t>
            </w:r>
          </w:p>
        </w:tc>
        <w:tc>
          <w:tcPr>
            <w:tcW w:type="dxa" w:w="1860"/>
          </w:tcPr>
          <w:p>
            <w:pPr>
              <w:spacing w:after="20" w:line="276" w:lineRule="auto"/>
            </w:pPr>
            <w:r/>
            <w:r>
              <w:rPr>
                <w:rFonts w:ascii="Times New Roman" w:hAnsi="Times New Roman" w:eastAsia="宋体"/>
                <w:b w:val="0"/>
                <w:i w:val="0"/>
                <w:sz w:val="17"/>
              </w:rPr>
              <w:t>5.3、6.1</w:t>
            </w:r>
          </w:p>
        </w:tc>
      </w:tr>
      <w:tr>
        <w:tc>
          <w:tcPr>
            <w:tcW w:type="dxa" w:w="1860"/>
          </w:tcPr>
          <w:p>
            <w:pPr>
              <w:spacing w:after="20" w:line="276" w:lineRule="auto"/>
            </w:pPr>
            <w:r/>
            <w:r>
              <w:rPr>
                <w:rFonts w:ascii="Times New Roman" w:hAnsi="Times New Roman" w:eastAsia="宋体"/>
                <w:b w:val="0"/>
                <w:i w:val="0"/>
                <w:sz w:val="17"/>
              </w:rPr>
              <w:t>P1</w:t>
            </w:r>
          </w:p>
        </w:tc>
        <w:tc>
          <w:tcPr>
            <w:tcW w:type="dxa" w:w="1860"/>
          </w:tcPr>
          <w:p>
            <w:pPr>
              <w:spacing w:after="20" w:line="276" w:lineRule="auto"/>
            </w:pPr>
            <w:r/>
            <w:r>
              <w:rPr>
                <w:rFonts w:ascii="Times New Roman" w:hAnsi="Times New Roman" w:eastAsia="宋体"/>
                <w:b w:val="0"/>
                <w:i w:val="0"/>
                <w:sz w:val="17"/>
              </w:rPr>
              <w:t>top-decile 召回率</w:t>
            </w:r>
          </w:p>
        </w:tc>
        <w:tc>
          <w:tcPr>
            <w:tcW w:type="dxa" w:w="1860"/>
          </w:tcPr>
          <w:p>
            <w:pPr>
              <w:spacing w:after="20" w:line="276" w:lineRule="auto"/>
            </w:pPr>
            <w:r/>
            <w:r>
              <w:rPr>
                <w:rFonts w:ascii="Times New Roman" w:hAnsi="Times New Roman" w:eastAsia="宋体"/>
                <w:b w:val="0"/>
                <w:i w:val="0"/>
                <w:sz w:val="17"/>
              </w:rPr>
              <w:t>按预警分数取前 10% 样本时被捕获的压力事件占全部压力事件的比例</w:t>
            </w:r>
          </w:p>
        </w:tc>
        <w:tc>
          <w:tcPr>
            <w:tcW w:type="dxa" w:w="1860"/>
          </w:tcPr>
          <w:p>
            <w:pPr>
              <w:spacing w:after="20" w:line="276" w:lineRule="auto"/>
            </w:pPr>
            <w:r/>
            <w:r>
              <w:rPr>
                <w:rFonts w:ascii="Times New Roman" w:hAnsi="Times New Roman" w:eastAsia="宋体"/>
                <w:b w:val="0"/>
                <w:i w:val="0"/>
                <w:sz w:val="17"/>
              </w:rPr>
              <w:t>同上</w:t>
            </w:r>
          </w:p>
        </w:tc>
        <w:tc>
          <w:tcPr>
            <w:tcW w:type="dxa" w:w="1860"/>
          </w:tcPr>
          <w:p>
            <w:pPr>
              <w:spacing w:after="20" w:line="276" w:lineRule="auto"/>
            </w:pPr>
            <w:r/>
            <w:r>
              <w:rPr>
                <w:rFonts w:ascii="Times New Roman" w:hAnsi="Times New Roman" w:eastAsia="宋体"/>
                <w:b w:val="0"/>
                <w:i w:val="0"/>
                <w:sz w:val="17"/>
              </w:rPr>
              <w:t>5.3、6.1</w:t>
            </w:r>
          </w:p>
        </w:tc>
      </w:tr>
      <w:tr>
        <w:tc>
          <w:tcPr>
            <w:tcW w:type="dxa" w:w="1860"/>
          </w:tcPr>
          <w:p>
            <w:pPr>
              <w:spacing w:after="20" w:line="276" w:lineRule="auto"/>
            </w:pPr>
            <w:r/>
            <w:r>
              <w:rPr>
                <w:rFonts w:ascii="Times New Roman" w:hAnsi="Times New Roman" w:eastAsia="宋体"/>
                <w:b w:val="0"/>
                <w:i w:val="0"/>
                <w:sz w:val="17"/>
              </w:rPr>
              <w:t>P1</w:t>
            </w:r>
          </w:p>
        </w:tc>
        <w:tc>
          <w:tcPr>
            <w:tcW w:type="dxa" w:w="1860"/>
          </w:tcPr>
          <w:p>
            <w:pPr>
              <w:spacing w:after="20" w:line="276" w:lineRule="auto"/>
            </w:pPr>
            <w:r/>
            <w:r>
              <w:rPr>
                <w:rFonts w:ascii="Times New Roman" w:hAnsi="Times New Roman" w:eastAsia="宋体"/>
                <w:b w:val="0"/>
                <w:i w:val="0"/>
                <w:sz w:val="17"/>
              </w:rPr>
              <w:t>Brier 分数</w:t>
            </w:r>
          </w:p>
        </w:tc>
        <w:tc>
          <w:tcPr>
            <w:tcW w:type="dxa" w:w="1860"/>
          </w:tcPr>
          <w:p>
            <w:pPr>
              <w:spacing w:after="20" w:line="276" w:lineRule="auto"/>
            </w:pPr>
            <w:r/>
            <w:r>
              <w:rPr>
                <w:rFonts w:ascii="Times New Roman" w:hAnsi="Times New Roman" w:eastAsia="宋体"/>
                <w:b w:val="0"/>
                <w:i/>
                <w:color w:val="1F3864"/>
                <w:sz w:val="17"/>
              </w:rPr>
              <w:t>1NΣ_i( p_i-y_i)2</w:t>
            </w:r>
          </w:p>
        </w:tc>
        <w:tc>
          <w:tcPr>
            <w:tcW w:type="dxa" w:w="1860"/>
          </w:tcPr>
          <w:p>
            <w:pPr>
              <w:spacing w:after="20" w:line="276" w:lineRule="auto"/>
            </w:pPr>
            <w:r/>
            <w:r>
              <w:rPr>
                <w:rFonts w:ascii="Times New Roman" w:hAnsi="Times New Roman" w:eastAsia="宋体"/>
                <w:b w:val="0"/>
                <w:i w:val="0"/>
                <w:sz w:val="17"/>
              </w:rPr>
              <w:t>同上</w:t>
            </w:r>
          </w:p>
        </w:tc>
        <w:tc>
          <w:tcPr>
            <w:tcW w:type="dxa" w:w="1860"/>
          </w:tcPr>
          <w:p>
            <w:pPr>
              <w:spacing w:after="20" w:line="276" w:lineRule="auto"/>
            </w:pPr>
            <w:r/>
            <w:r>
              <w:rPr>
                <w:rFonts w:ascii="Times New Roman" w:hAnsi="Times New Roman" w:eastAsia="宋体"/>
                <w:b w:val="0"/>
                <w:i w:val="0"/>
                <w:sz w:val="17"/>
              </w:rPr>
              <w:t>5.3、6.1</w:t>
            </w:r>
          </w:p>
        </w:tc>
      </w:tr>
      <w:tr>
        <w:tc>
          <w:tcPr>
            <w:tcW w:type="dxa" w:w="1860"/>
          </w:tcPr>
          <w:p>
            <w:pPr>
              <w:spacing w:after="20" w:line="276" w:lineRule="auto"/>
            </w:pPr>
            <w:r/>
            <w:r>
              <w:rPr>
                <w:rFonts w:ascii="Times New Roman" w:hAnsi="Times New Roman" w:eastAsia="宋体"/>
                <w:b w:val="0"/>
                <w:i w:val="0"/>
                <w:sz w:val="17"/>
              </w:rPr>
              <w:t>P1</w:t>
            </w:r>
          </w:p>
        </w:tc>
        <w:tc>
          <w:tcPr>
            <w:tcW w:type="dxa" w:w="1860"/>
          </w:tcPr>
          <w:p>
            <w:pPr>
              <w:spacing w:after="20" w:line="276" w:lineRule="auto"/>
            </w:pPr>
            <w:r/>
            <w:r>
              <w:rPr>
                <w:rFonts w:ascii="Times New Roman" w:hAnsi="Times New Roman" w:eastAsia="宋体"/>
                <w:b w:val="0"/>
                <w:i w:val="0"/>
                <w:sz w:val="17"/>
              </w:rPr>
              <w:t>期望校准误差 ECE</w:t>
            </w:r>
          </w:p>
        </w:tc>
        <w:tc>
          <w:tcPr>
            <w:tcW w:type="dxa" w:w="1860"/>
          </w:tcPr>
          <w:p>
            <w:pPr>
              <w:spacing w:after="20" w:line="276" w:lineRule="auto"/>
            </w:pPr>
            <w:r/>
            <w:r>
              <w:rPr>
                <w:rFonts w:ascii="Times New Roman" w:hAnsi="Times New Roman" w:eastAsia="宋体"/>
                <w:b w:val="0"/>
                <w:i/>
                <w:color w:val="1F3864"/>
                <w:sz w:val="17"/>
              </w:rPr>
              <w:t>Σ_bn_bN ,_b-conf_b</w:t>
            </w:r>
          </w:p>
        </w:tc>
        <w:tc>
          <w:tcPr>
            <w:tcW w:type="dxa" w:w="1860"/>
          </w:tcPr>
          <w:p>
            <w:pPr>
              <w:spacing w:after="20" w:line="276" w:lineRule="auto"/>
            </w:pPr>
            <w:r/>
            <w:r>
              <w:rPr>
                <w:rFonts w:ascii="Times New Roman" w:hAnsi="Times New Roman" w:eastAsia="宋体"/>
                <w:b w:val="0"/>
                <w:i w:val="0"/>
                <w:sz w:val="17"/>
              </w:rPr>
              <w:t>同上</w:t>
            </w:r>
          </w:p>
        </w:tc>
        <w:tc>
          <w:tcPr>
            <w:tcW w:type="dxa" w:w="1860"/>
          </w:tcPr>
          <w:p>
            <w:pPr>
              <w:spacing w:after="20" w:line="276" w:lineRule="auto"/>
            </w:pPr>
            <w:r/>
            <w:r>
              <w:rPr>
                <w:rFonts w:ascii="Times New Roman" w:hAnsi="Times New Roman" w:eastAsia="宋体"/>
                <w:b w:val="0"/>
                <w:i w:val="0"/>
                <w:sz w:val="17"/>
              </w:rPr>
              <w:t>5.3、6.1</w:t>
            </w:r>
          </w:p>
        </w:tc>
      </w:tr>
      <w:tr>
        <w:tc>
          <w:tcPr>
            <w:tcW w:type="dxa" w:w="1860"/>
          </w:tcPr>
          <w:p>
            <w:pPr>
              <w:spacing w:after="20" w:line="276" w:lineRule="auto"/>
            </w:pPr>
            <w:r/>
            <w:r>
              <w:rPr>
                <w:rFonts w:ascii="Times New Roman" w:hAnsi="Times New Roman" w:eastAsia="宋体"/>
                <w:b w:val="0"/>
                <w:i w:val="0"/>
                <w:sz w:val="17"/>
              </w:rPr>
              <w:t>P1</w:t>
            </w:r>
          </w:p>
        </w:tc>
        <w:tc>
          <w:tcPr>
            <w:tcW w:type="dxa" w:w="1860"/>
          </w:tcPr>
          <w:p>
            <w:pPr>
              <w:spacing w:after="20" w:line="276" w:lineRule="auto"/>
            </w:pPr>
            <w:r/>
            <w:r>
              <w:rPr>
                <w:rFonts w:ascii="Times New Roman" w:hAnsi="Times New Roman" w:eastAsia="宋体"/>
                <w:b w:val="0"/>
                <w:i w:val="0"/>
                <w:sz w:val="17"/>
              </w:rPr>
              <w:t>预警提前期</w:t>
            </w:r>
          </w:p>
        </w:tc>
        <w:tc>
          <w:tcPr>
            <w:tcW w:type="dxa" w:w="1860"/>
          </w:tcPr>
          <w:p>
            <w:pPr>
              <w:spacing w:after="20" w:line="276" w:lineRule="auto"/>
            </w:pPr>
            <w:r/>
            <w:r>
              <w:rPr>
                <w:rFonts w:ascii="Times New Roman" w:hAnsi="Times New Roman" w:eastAsia="宋体"/>
                <w:b w:val="0"/>
                <w:i w:val="0"/>
                <w:sz w:val="17"/>
              </w:rPr>
              <w:t>见式（4-20）</w:t>
            </w:r>
          </w:p>
        </w:tc>
        <w:tc>
          <w:tcPr>
            <w:tcW w:type="dxa" w:w="1860"/>
          </w:tcPr>
          <w:p>
            <w:pPr>
              <w:spacing w:after="20" w:line="276" w:lineRule="auto"/>
            </w:pPr>
            <w:r/>
            <w:r>
              <w:rPr>
                <w:rFonts w:ascii="Times New Roman" w:hAnsi="Times New Roman" w:eastAsia="宋体"/>
                <w:b w:val="0"/>
                <w:i w:val="0"/>
                <w:sz w:val="17"/>
              </w:rPr>
              <w:t>事件级评估</w:t>
            </w:r>
          </w:p>
        </w:tc>
        <w:tc>
          <w:tcPr>
            <w:tcW w:type="dxa" w:w="1860"/>
          </w:tcPr>
          <w:p>
            <w:pPr>
              <w:spacing w:after="20" w:line="276" w:lineRule="auto"/>
            </w:pPr>
            <w:r/>
            <w:r>
              <w:rPr>
                <w:rFonts w:ascii="Times New Roman" w:hAnsi="Times New Roman" w:eastAsia="宋体"/>
                <w:b w:val="0"/>
                <w:i w:val="0"/>
                <w:sz w:val="17"/>
              </w:rPr>
              <w:t>5.3、6.1</w:t>
            </w:r>
          </w:p>
        </w:tc>
      </w:tr>
      <w:tr>
        <w:tc>
          <w:tcPr>
            <w:tcW w:type="dxa" w:w="1860"/>
          </w:tcPr>
          <w:p>
            <w:pPr>
              <w:spacing w:after="20" w:line="276" w:lineRule="auto"/>
            </w:pPr>
            <w:r/>
            <w:r>
              <w:rPr>
                <w:rFonts w:ascii="Times New Roman" w:hAnsi="Times New Roman" w:eastAsia="宋体"/>
                <w:b w:val="0"/>
                <w:i w:val="0"/>
                <w:sz w:val="17"/>
              </w:rPr>
              <w:t>P2</w:t>
            </w:r>
          </w:p>
        </w:tc>
        <w:tc>
          <w:tcPr>
            <w:tcW w:type="dxa" w:w="1860"/>
          </w:tcPr>
          <w:p>
            <w:pPr>
              <w:spacing w:after="20" w:line="276" w:lineRule="auto"/>
            </w:pPr>
            <w:r/>
            <w:r>
              <w:rPr>
                <w:rFonts w:ascii="Times New Roman" w:hAnsi="Times New Roman" w:eastAsia="宋体"/>
                <w:b w:val="0"/>
                <w:i w:val="0"/>
                <w:sz w:val="17"/>
              </w:rPr>
              <w:t>数值错误率</w:t>
            </w:r>
          </w:p>
        </w:tc>
        <w:tc>
          <w:tcPr>
            <w:tcW w:type="dxa" w:w="1860"/>
          </w:tcPr>
          <w:p>
            <w:pPr>
              <w:spacing w:after="20" w:line="276" w:lineRule="auto"/>
            </w:pPr>
            <w:r/>
            <w:r>
              <w:rPr>
                <w:rFonts w:ascii="Times New Roman" w:hAnsi="Times New Roman" w:eastAsia="宋体"/>
                <w:b w:val="0"/>
                <w:i w:val="0"/>
                <w:sz w:val="17"/>
              </w:rPr>
              <w:t>式（4-12）</w:t>
            </w:r>
          </w:p>
        </w:tc>
        <w:tc>
          <w:tcPr>
            <w:tcW w:type="dxa" w:w="1860"/>
          </w:tcPr>
          <w:p>
            <w:pPr>
              <w:spacing w:after="20" w:line="276" w:lineRule="auto"/>
            </w:pPr>
            <w:r/>
            <w:r>
              <w:rPr>
                <w:rFonts w:ascii="Times New Roman" w:hAnsi="Times New Roman" w:eastAsia="宋体"/>
                <w:b w:val="0"/>
                <w:i w:val="0"/>
                <w:sz w:val="17"/>
              </w:rPr>
              <w:t>核验报告</w:t>
            </w:r>
          </w:p>
        </w:tc>
        <w:tc>
          <w:tcPr>
            <w:tcW w:type="dxa" w:w="1860"/>
          </w:tcPr>
          <w:p>
            <w:pPr>
              <w:spacing w:after="20" w:line="276" w:lineRule="auto"/>
            </w:pPr>
            <w:r/>
            <w:r>
              <w:rPr>
                <w:rFonts w:ascii="Times New Roman" w:hAnsi="Times New Roman" w:eastAsia="宋体"/>
                <w:b w:val="0"/>
                <w:i w:val="0"/>
                <w:sz w:val="17"/>
              </w:rPr>
              <w:t>5.3、6.2</w:t>
            </w:r>
          </w:p>
        </w:tc>
      </w:tr>
      <w:tr>
        <w:tc>
          <w:tcPr>
            <w:tcW w:type="dxa" w:w="1860"/>
          </w:tcPr>
          <w:p>
            <w:pPr>
              <w:spacing w:after="20" w:line="276" w:lineRule="auto"/>
            </w:pPr>
            <w:r/>
            <w:r>
              <w:rPr>
                <w:rFonts w:ascii="Times New Roman" w:hAnsi="Times New Roman" w:eastAsia="宋体"/>
                <w:b w:val="0"/>
                <w:i w:val="0"/>
                <w:sz w:val="17"/>
              </w:rPr>
              <w:t>P2</w:t>
            </w:r>
          </w:p>
        </w:tc>
        <w:tc>
          <w:tcPr>
            <w:tcW w:type="dxa" w:w="1860"/>
          </w:tcPr>
          <w:p>
            <w:pPr>
              <w:spacing w:after="20" w:line="276" w:lineRule="auto"/>
            </w:pPr>
            <w:r/>
            <w:r>
              <w:rPr>
                <w:rFonts w:ascii="Times New Roman" w:hAnsi="Times New Roman" w:eastAsia="宋体"/>
                <w:b w:val="0"/>
                <w:i w:val="0"/>
                <w:sz w:val="17"/>
              </w:rPr>
              <w:t>证据准确率</w:t>
            </w:r>
          </w:p>
        </w:tc>
        <w:tc>
          <w:tcPr>
            <w:tcW w:type="dxa" w:w="1860"/>
          </w:tcPr>
          <w:p>
            <w:pPr>
              <w:spacing w:after="20" w:line="276" w:lineRule="auto"/>
            </w:pPr>
            <w:r/>
            <w:r>
              <w:rPr>
                <w:rFonts w:ascii="Times New Roman" w:hAnsi="Times New Roman" w:eastAsia="宋体"/>
                <w:b w:val="0"/>
                <w:i w:val="0"/>
                <w:sz w:val="17"/>
              </w:rPr>
              <w:t>式（4-13）</w:t>
            </w:r>
          </w:p>
        </w:tc>
        <w:tc>
          <w:tcPr>
            <w:tcW w:type="dxa" w:w="1860"/>
          </w:tcPr>
          <w:p>
            <w:pPr>
              <w:spacing w:after="20" w:line="276" w:lineRule="auto"/>
            </w:pPr>
            <w:r/>
            <w:r>
              <w:rPr>
                <w:rFonts w:ascii="Times New Roman" w:hAnsi="Times New Roman" w:eastAsia="宋体"/>
                <w:b w:val="0"/>
                <w:i w:val="0"/>
                <w:sz w:val="17"/>
              </w:rPr>
              <w:t>核验报告</w:t>
            </w:r>
          </w:p>
        </w:tc>
        <w:tc>
          <w:tcPr>
            <w:tcW w:type="dxa" w:w="1860"/>
          </w:tcPr>
          <w:p>
            <w:pPr>
              <w:spacing w:after="20" w:line="276" w:lineRule="auto"/>
            </w:pPr>
            <w:r/>
            <w:r>
              <w:rPr>
                <w:rFonts w:ascii="Times New Roman" w:hAnsi="Times New Roman" w:eastAsia="宋体"/>
                <w:b w:val="0"/>
                <w:i w:val="0"/>
                <w:sz w:val="17"/>
              </w:rPr>
              <w:t>5.3、6.2</w:t>
            </w:r>
          </w:p>
        </w:tc>
      </w:tr>
      <w:tr>
        <w:tc>
          <w:tcPr>
            <w:tcW w:type="dxa" w:w="1860"/>
          </w:tcPr>
          <w:p>
            <w:pPr>
              <w:spacing w:after="20" w:line="276" w:lineRule="auto"/>
            </w:pPr>
            <w:r/>
            <w:r>
              <w:rPr>
                <w:rFonts w:ascii="Times New Roman" w:hAnsi="Times New Roman" w:eastAsia="宋体"/>
                <w:b w:val="0"/>
                <w:i w:val="0"/>
                <w:sz w:val="17"/>
              </w:rPr>
              <w:t>P2</w:t>
            </w:r>
          </w:p>
        </w:tc>
        <w:tc>
          <w:tcPr>
            <w:tcW w:type="dxa" w:w="1860"/>
          </w:tcPr>
          <w:p>
            <w:pPr>
              <w:spacing w:after="20" w:line="276" w:lineRule="auto"/>
            </w:pPr>
            <w:r/>
            <w:r>
              <w:rPr>
                <w:rFonts w:ascii="Times New Roman" w:hAnsi="Times New Roman" w:eastAsia="宋体"/>
                <w:b w:val="0"/>
                <w:i w:val="0"/>
                <w:sz w:val="17"/>
              </w:rPr>
              <w:t>无依据断言率</w:t>
            </w:r>
          </w:p>
        </w:tc>
        <w:tc>
          <w:tcPr>
            <w:tcW w:type="dxa" w:w="1860"/>
          </w:tcPr>
          <w:p>
            <w:pPr>
              <w:spacing w:after="20" w:line="276" w:lineRule="auto"/>
            </w:pPr>
            <w:r/>
            <w:r>
              <w:rPr>
                <w:rFonts w:ascii="Times New Roman" w:hAnsi="Times New Roman" w:eastAsia="宋体"/>
                <w:b w:val="0"/>
                <w:i w:val="0"/>
                <w:sz w:val="17"/>
              </w:rPr>
              <w:t>式（4-14）</w:t>
            </w:r>
          </w:p>
        </w:tc>
        <w:tc>
          <w:tcPr>
            <w:tcW w:type="dxa" w:w="1860"/>
          </w:tcPr>
          <w:p>
            <w:pPr>
              <w:spacing w:after="20" w:line="276" w:lineRule="auto"/>
            </w:pPr>
            <w:r/>
            <w:r>
              <w:rPr>
                <w:rFonts w:ascii="Times New Roman" w:hAnsi="Times New Roman" w:eastAsia="宋体"/>
                <w:b w:val="0"/>
                <w:i w:val="0"/>
                <w:sz w:val="17"/>
              </w:rPr>
              <w:t>核验报告</w:t>
            </w:r>
          </w:p>
        </w:tc>
        <w:tc>
          <w:tcPr>
            <w:tcW w:type="dxa" w:w="1860"/>
          </w:tcPr>
          <w:p>
            <w:pPr>
              <w:spacing w:after="20" w:line="276" w:lineRule="auto"/>
            </w:pPr>
            <w:r/>
            <w:r>
              <w:rPr>
                <w:rFonts w:ascii="Times New Roman" w:hAnsi="Times New Roman" w:eastAsia="宋体"/>
                <w:b w:val="0"/>
                <w:i w:val="0"/>
                <w:sz w:val="17"/>
              </w:rPr>
              <w:t>5.3、6.2</w:t>
            </w:r>
          </w:p>
        </w:tc>
      </w:tr>
      <w:tr>
        <w:tc>
          <w:tcPr>
            <w:tcW w:type="dxa" w:w="1860"/>
          </w:tcPr>
          <w:p>
            <w:pPr>
              <w:spacing w:after="20" w:line="276" w:lineRule="auto"/>
            </w:pPr>
            <w:r/>
            <w:r>
              <w:rPr>
                <w:rFonts w:ascii="Times New Roman" w:hAnsi="Times New Roman" w:eastAsia="宋体"/>
                <w:b w:val="0"/>
                <w:i w:val="0"/>
                <w:sz w:val="17"/>
              </w:rPr>
              <w:t>P2</w:t>
            </w:r>
          </w:p>
        </w:tc>
        <w:tc>
          <w:tcPr>
            <w:tcW w:type="dxa" w:w="1860"/>
          </w:tcPr>
          <w:p>
            <w:pPr>
              <w:spacing w:after="20" w:line="276" w:lineRule="auto"/>
            </w:pPr>
            <w:r/>
            <w:r>
              <w:rPr>
                <w:rFonts w:ascii="Times New Roman" w:hAnsi="Times New Roman" w:eastAsia="宋体"/>
                <w:b w:val="0"/>
                <w:i w:val="0"/>
                <w:sz w:val="17"/>
              </w:rPr>
              <w:t>越权阻断次数</w:t>
            </w:r>
          </w:p>
        </w:tc>
        <w:tc>
          <w:tcPr>
            <w:tcW w:type="dxa" w:w="1860"/>
          </w:tcPr>
          <w:p>
            <w:pPr>
              <w:spacing w:after="20" w:line="276" w:lineRule="auto"/>
            </w:pPr>
            <w:r/>
            <w:r>
              <w:rPr>
                <w:rFonts w:ascii="Times New Roman" w:hAnsi="Times New Roman" w:eastAsia="宋体"/>
                <w:b w:val="0"/>
                <w:i w:val="0"/>
                <w:sz w:val="17"/>
              </w:rPr>
              <w:t>权限矩阵拦截计数</w:t>
            </w:r>
          </w:p>
        </w:tc>
        <w:tc>
          <w:tcPr>
            <w:tcW w:type="dxa" w:w="1860"/>
          </w:tcPr>
          <w:p>
            <w:pPr>
              <w:spacing w:after="20" w:line="276" w:lineRule="auto"/>
            </w:pPr>
            <w:r/>
            <w:r>
              <w:rPr>
                <w:rFonts w:ascii="Times New Roman" w:hAnsi="Times New Roman" w:eastAsia="宋体"/>
                <w:b w:val="0"/>
                <w:i w:val="0"/>
                <w:sz w:val="17"/>
              </w:rPr>
              <w:t>审计轨迹</w:t>
            </w:r>
          </w:p>
        </w:tc>
        <w:tc>
          <w:tcPr>
            <w:tcW w:type="dxa" w:w="1860"/>
          </w:tcPr>
          <w:p>
            <w:pPr>
              <w:spacing w:after="20" w:line="276" w:lineRule="auto"/>
            </w:pPr>
            <w:r/>
            <w:r>
              <w:rPr>
                <w:rFonts w:ascii="Times New Roman" w:hAnsi="Times New Roman" w:eastAsia="宋体"/>
                <w:b w:val="0"/>
                <w:i w:val="0"/>
                <w:sz w:val="17"/>
              </w:rPr>
              <w:t>5.3、6.2</w:t>
            </w:r>
          </w:p>
        </w:tc>
      </w:tr>
      <w:tr>
        <w:tc>
          <w:tcPr>
            <w:tcW w:type="dxa" w:w="1860"/>
          </w:tcPr>
          <w:p>
            <w:pPr>
              <w:spacing w:after="20" w:line="276" w:lineRule="auto"/>
            </w:pPr>
            <w:r/>
            <w:r>
              <w:rPr>
                <w:rFonts w:ascii="Times New Roman" w:hAnsi="Times New Roman" w:eastAsia="宋体"/>
                <w:b w:val="0"/>
                <w:i w:val="0"/>
                <w:sz w:val="17"/>
              </w:rPr>
              <w:t>P2</w:t>
            </w:r>
          </w:p>
        </w:tc>
        <w:tc>
          <w:tcPr>
            <w:tcW w:type="dxa" w:w="1860"/>
          </w:tcPr>
          <w:p>
            <w:pPr>
              <w:spacing w:after="20" w:line="276" w:lineRule="auto"/>
            </w:pPr>
            <w:r/>
            <w:r>
              <w:rPr>
                <w:rFonts w:ascii="Times New Roman" w:hAnsi="Times New Roman" w:eastAsia="宋体"/>
                <w:b w:val="0"/>
                <w:i w:val="0"/>
                <w:sz w:val="17"/>
              </w:rPr>
              <w:t>时点泄漏事件数</w:t>
            </w:r>
          </w:p>
        </w:tc>
        <w:tc>
          <w:tcPr>
            <w:tcW w:type="dxa" w:w="1860"/>
          </w:tcPr>
          <w:p>
            <w:pPr>
              <w:spacing w:after="20" w:line="276" w:lineRule="auto"/>
            </w:pPr>
            <w:r/>
            <w:r>
              <w:rPr>
                <w:rFonts w:ascii="Consolas" w:hAnsi="Consolas" w:eastAsia="Consolas"/>
                <w:b w:val="0"/>
                <w:i w:val="0"/>
                <w:color w:val="8B1E3F"/>
                <w:sz w:val="16"/>
              </w:rPr>
              <w:t>publish_time/release_time &gt; as_of</w:t>
            </w:r>
            <w:r>
              <w:rPr>
                <w:rFonts w:ascii="Times New Roman" w:hAnsi="Times New Roman" w:eastAsia="宋体"/>
                <w:b w:val="0"/>
                <w:i w:val="0"/>
                <w:sz w:val="17"/>
              </w:rPr>
              <w:t xml:space="preserve"> 的证据计数</w:t>
            </w:r>
          </w:p>
        </w:tc>
        <w:tc>
          <w:tcPr>
            <w:tcW w:type="dxa" w:w="1860"/>
          </w:tcPr>
          <w:p>
            <w:pPr>
              <w:spacing w:after="20" w:line="276" w:lineRule="auto"/>
            </w:pPr>
            <w:r/>
            <w:r>
              <w:rPr>
                <w:rFonts w:ascii="Times New Roman" w:hAnsi="Times New Roman" w:eastAsia="宋体"/>
                <w:b w:val="0"/>
                <w:i w:val="0"/>
                <w:sz w:val="17"/>
              </w:rPr>
              <w:t>核验报告</w:t>
            </w:r>
          </w:p>
        </w:tc>
        <w:tc>
          <w:tcPr>
            <w:tcW w:type="dxa" w:w="1860"/>
          </w:tcPr>
          <w:p>
            <w:pPr>
              <w:spacing w:after="20" w:line="276" w:lineRule="auto"/>
            </w:pPr>
            <w:r/>
            <w:r>
              <w:rPr>
                <w:rFonts w:ascii="Times New Roman" w:hAnsi="Times New Roman" w:eastAsia="宋体"/>
                <w:b w:val="0"/>
                <w:i w:val="0"/>
                <w:sz w:val="17"/>
              </w:rPr>
              <w:t>5.1、6.2</w:t>
            </w:r>
          </w:p>
        </w:tc>
      </w:tr>
      <w:tr>
        <w:tc>
          <w:tcPr>
            <w:tcW w:type="dxa" w:w="1860"/>
          </w:tcPr>
          <w:p>
            <w:pPr>
              <w:spacing w:after="20" w:line="276" w:lineRule="auto"/>
            </w:pPr>
            <w:r/>
            <w:r>
              <w:rPr>
                <w:rFonts w:ascii="Times New Roman" w:hAnsi="Times New Roman" w:eastAsia="宋体"/>
                <w:b w:val="0"/>
                <w:i w:val="0"/>
                <w:sz w:val="17"/>
              </w:rPr>
              <w:t>P2</w:t>
            </w:r>
          </w:p>
        </w:tc>
        <w:tc>
          <w:tcPr>
            <w:tcW w:type="dxa" w:w="1860"/>
          </w:tcPr>
          <w:p>
            <w:pPr>
              <w:spacing w:after="20" w:line="276" w:lineRule="auto"/>
            </w:pPr>
            <w:r/>
            <w:r>
              <w:rPr>
                <w:rFonts w:ascii="Times New Roman" w:hAnsi="Times New Roman" w:eastAsia="宋体"/>
                <w:b w:val="0"/>
                <w:i w:val="0"/>
                <w:sz w:val="17"/>
              </w:rPr>
              <w:t>schema 失败率</w:t>
            </w:r>
          </w:p>
        </w:tc>
        <w:tc>
          <w:tcPr>
            <w:tcW w:type="dxa" w:w="1860"/>
          </w:tcPr>
          <w:p>
            <w:pPr>
              <w:spacing w:after="20" w:line="276" w:lineRule="auto"/>
            </w:pPr>
            <w:r/>
            <w:r>
              <w:rPr>
                <w:rFonts w:ascii="Times New Roman" w:hAnsi="Times New Roman" w:eastAsia="宋体"/>
                <w:b w:val="0"/>
                <w:i w:val="0"/>
                <w:sz w:val="17"/>
              </w:rPr>
              <w:t>未通过结构化校验的输出占比</w:t>
            </w:r>
          </w:p>
        </w:tc>
        <w:tc>
          <w:tcPr>
            <w:tcW w:type="dxa" w:w="1860"/>
          </w:tcPr>
          <w:p>
            <w:pPr>
              <w:spacing w:after="20" w:line="276" w:lineRule="auto"/>
            </w:pPr>
            <w:r/>
            <w:r>
              <w:rPr>
                <w:rFonts w:ascii="Times New Roman" w:hAnsi="Times New Roman" w:eastAsia="宋体"/>
                <w:b w:val="0"/>
                <w:i w:val="0"/>
                <w:sz w:val="17"/>
              </w:rPr>
              <w:t>核验报告</w:t>
            </w:r>
          </w:p>
        </w:tc>
        <w:tc>
          <w:tcPr>
            <w:tcW w:type="dxa" w:w="1860"/>
          </w:tcPr>
          <w:p>
            <w:pPr>
              <w:spacing w:after="20" w:line="276" w:lineRule="auto"/>
            </w:pPr>
            <w:r/>
            <w:r>
              <w:rPr>
                <w:rFonts w:ascii="Times New Roman" w:hAnsi="Times New Roman" w:eastAsia="宋体"/>
                <w:b w:val="0"/>
                <w:i w:val="0"/>
                <w:sz w:val="17"/>
              </w:rPr>
              <w:t>5.3、6.2</w:t>
            </w:r>
          </w:p>
        </w:tc>
      </w:tr>
      <w:tr>
        <w:tc>
          <w:tcPr>
            <w:tcW w:type="dxa" w:w="1860"/>
          </w:tcPr>
          <w:p>
            <w:pPr>
              <w:spacing w:after="20" w:line="276" w:lineRule="auto"/>
            </w:pPr>
            <w:r/>
            <w:r>
              <w:rPr>
                <w:rFonts w:ascii="Times New Roman" w:hAnsi="Times New Roman" w:eastAsia="宋体"/>
                <w:b w:val="0"/>
                <w:i w:val="0"/>
                <w:sz w:val="17"/>
              </w:rPr>
              <w:t>P3</w:t>
            </w:r>
          </w:p>
        </w:tc>
        <w:tc>
          <w:tcPr>
            <w:tcW w:type="dxa" w:w="1860"/>
          </w:tcPr>
          <w:p>
            <w:pPr>
              <w:spacing w:after="20" w:line="276" w:lineRule="auto"/>
            </w:pPr>
            <w:r/>
            <w:r>
              <w:rPr>
                <w:rFonts w:ascii="Times New Roman" w:hAnsi="Times New Roman" w:eastAsia="宋体"/>
                <w:b w:val="0"/>
                <w:i w:val="0"/>
                <w:sz w:val="17"/>
              </w:rPr>
              <w:t>任务完成率</w:t>
            </w:r>
          </w:p>
        </w:tc>
        <w:tc>
          <w:tcPr>
            <w:tcW w:type="dxa" w:w="1860"/>
          </w:tcPr>
          <w:p>
            <w:pPr>
              <w:spacing w:after="20" w:line="276" w:lineRule="auto"/>
            </w:pPr>
            <w:r/>
            <w:r>
              <w:rPr>
                <w:rFonts w:ascii="Times New Roman" w:hAnsi="Times New Roman" w:eastAsia="宋体"/>
                <w:b w:val="0"/>
                <w:i w:val="0"/>
                <w:sz w:val="17"/>
              </w:rPr>
              <w:t>三角色任务中按 RoleSpec 完成并通过核验的比例</w:t>
            </w:r>
          </w:p>
        </w:tc>
        <w:tc>
          <w:tcPr>
            <w:tcW w:type="dxa" w:w="1860"/>
          </w:tcPr>
          <w:p>
            <w:pPr>
              <w:spacing w:after="20" w:line="276" w:lineRule="auto"/>
            </w:pPr>
            <w:r/>
            <w:r>
              <w:rPr>
                <w:rFonts w:ascii="Times New Roman" w:hAnsi="Times New Roman" w:eastAsia="宋体"/>
                <w:b w:val="0"/>
                <w:i w:val="0"/>
                <w:sz w:val="17"/>
              </w:rPr>
              <w:t>运行记录</w:t>
            </w:r>
          </w:p>
        </w:tc>
        <w:tc>
          <w:tcPr>
            <w:tcW w:type="dxa" w:w="1860"/>
          </w:tcPr>
          <w:p>
            <w:pPr>
              <w:spacing w:after="20" w:line="276" w:lineRule="auto"/>
            </w:pPr>
            <w:r/>
            <w:r>
              <w:rPr>
                <w:rFonts w:ascii="Times New Roman" w:hAnsi="Times New Roman" w:eastAsia="宋体"/>
                <w:b w:val="0"/>
                <w:i w:val="0"/>
                <w:sz w:val="17"/>
              </w:rPr>
              <w:t>5.3、6.3</w:t>
            </w:r>
          </w:p>
        </w:tc>
      </w:tr>
      <w:tr>
        <w:tc>
          <w:tcPr>
            <w:tcW w:type="dxa" w:w="1860"/>
          </w:tcPr>
          <w:p>
            <w:pPr>
              <w:spacing w:after="20" w:line="276" w:lineRule="auto"/>
            </w:pPr>
            <w:r/>
            <w:r>
              <w:rPr>
                <w:rFonts w:ascii="Times New Roman" w:hAnsi="Times New Roman" w:eastAsia="宋体"/>
                <w:b w:val="0"/>
                <w:i w:val="0"/>
                <w:sz w:val="17"/>
              </w:rPr>
              <w:t>P3</w:t>
            </w:r>
          </w:p>
        </w:tc>
        <w:tc>
          <w:tcPr>
            <w:tcW w:type="dxa" w:w="1860"/>
          </w:tcPr>
          <w:p>
            <w:pPr>
              <w:spacing w:after="20" w:line="276" w:lineRule="auto"/>
            </w:pPr>
            <w:r/>
            <w:r>
              <w:rPr>
                <w:rFonts w:ascii="Times New Roman" w:hAnsi="Times New Roman" w:eastAsia="宋体"/>
                <w:b w:val="0"/>
                <w:i w:val="0"/>
                <w:sz w:val="17"/>
              </w:rPr>
              <w:t>主体决策损失</w:t>
            </w:r>
          </w:p>
        </w:tc>
        <w:tc>
          <w:tcPr>
            <w:tcW w:type="dxa" w:w="1860"/>
          </w:tcPr>
          <w:p>
            <w:pPr>
              <w:spacing w:after="20" w:line="276" w:lineRule="auto"/>
            </w:pPr>
            <w:r/>
            <w:r>
              <w:rPr>
                <w:rFonts w:ascii="Times New Roman" w:hAnsi="Times New Roman" w:eastAsia="宋体"/>
                <w:b w:val="0"/>
                <w:i w:val="0"/>
                <w:sz w:val="17"/>
              </w:rPr>
              <w:t>式（4-16）逐角色；式（4-19）加权汇总</w:t>
            </w:r>
          </w:p>
        </w:tc>
        <w:tc>
          <w:tcPr>
            <w:tcW w:type="dxa" w:w="1860"/>
          </w:tcPr>
          <w:p>
            <w:pPr>
              <w:spacing w:after="20" w:line="276" w:lineRule="auto"/>
            </w:pPr>
            <w:r/>
            <w:r>
              <w:rPr>
                <w:rFonts w:ascii="Times New Roman" w:hAnsi="Times New Roman" w:eastAsia="宋体"/>
                <w:b w:val="0"/>
                <w:i w:val="0"/>
                <w:sz w:val="17"/>
              </w:rPr>
              <w:t>事件级评估</w:t>
            </w:r>
          </w:p>
        </w:tc>
        <w:tc>
          <w:tcPr>
            <w:tcW w:type="dxa" w:w="1860"/>
          </w:tcPr>
          <w:p>
            <w:pPr>
              <w:spacing w:after="20" w:line="276" w:lineRule="auto"/>
            </w:pPr>
            <w:r/>
            <w:r>
              <w:rPr>
                <w:rFonts w:ascii="Times New Roman" w:hAnsi="Times New Roman" w:eastAsia="宋体"/>
                <w:b w:val="0"/>
                <w:i w:val="0"/>
                <w:sz w:val="17"/>
              </w:rPr>
              <w:t>5.3、6.3</w:t>
            </w:r>
          </w:p>
        </w:tc>
      </w:tr>
      <w:tr>
        <w:tc>
          <w:tcPr>
            <w:tcW w:type="dxa" w:w="1860"/>
          </w:tcPr>
          <w:p>
            <w:pPr>
              <w:spacing w:after="20" w:line="276" w:lineRule="auto"/>
            </w:pPr>
            <w:r/>
            <w:r>
              <w:rPr>
                <w:rFonts w:ascii="Times New Roman" w:hAnsi="Times New Roman" w:eastAsia="宋体"/>
                <w:b w:val="0"/>
                <w:i w:val="0"/>
                <w:sz w:val="17"/>
              </w:rPr>
              <w:t>P3</w:t>
            </w:r>
          </w:p>
        </w:tc>
        <w:tc>
          <w:tcPr>
            <w:tcW w:type="dxa" w:w="1860"/>
          </w:tcPr>
          <w:p>
            <w:pPr>
              <w:spacing w:after="20" w:line="276" w:lineRule="auto"/>
            </w:pPr>
            <w:r/>
            <w:r>
              <w:rPr>
                <w:rFonts w:ascii="Times New Roman" w:hAnsi="Times New Roman" w:eastAsia="宋体"/>
                <w:b w:val="0"/>
                <w:i w:val="0"/>
                <w:sz w:val="17"/>
              </w:rPr>
              <w:t>协同成本</w:t>
            </w:r>
          </w:p>
        </w:tc>
        <w:tc>
          <w:tcPr>
            <w:tcW w:type="dxa" w:w="1860"/>
          </w:tcPr>
          <w:p>
            <w:pPr>
              <w:spacing w:after="20" w:line="276" w:lineRule="auto"/>
            </w:pPr>
            <w:r/>
            <w:r>
              <w:rPr>
                <w:rFonts w:ascii="Times New Roman" w:hAnsi="Times New Roman" w:eastAsia="宋体"/>
                <w:b w:val="0"/>
                <w:i w:val="0"/>
                <w:sz w:val="17"/>
              </w:rPr>
              <w:t>式（4-19）</w:t>
            </w:r>
          </w:p>
        </w:tc>
        <w:tc>
          <w:tcPr>
            <w:tcW w:type="dxa" w:w="1860"/>
          </w:tcPr>
          <w:p>
            <w:pPr>
              <w:spacing w:after="20" w:line="276" w:lineRule="auto"/>
            </w:pPr>
            <w:r/>
            <w:r>
              <w:rPr>
                <w:rFonts w:ascii="Times New Roman" w:hAnsi="Times New Roman" w:eastAsia="宋体"/>
                <w:b w:val="0"/>
                <w:i w:val="0"/>
                <w:sz w:val="17"/>
              </w:rPr>
              <w:t>审计轨迹</w:t>
            </w:r>
          </w:p>
        </w:tc>
        <w:tc>
          <w:tcPr>
            <w:tcW w:type="dxa" w:w="1860"/>
          </w:tcPr>
          <w:p>
            <w:pPr>
              <w:spacing w:after="20" w:line="276" w:lineRule="auto"/>
            </w:pPr>
            <w:r/>
            <w:r>
              <w:rPr>
                <w:rFonts w:ascii="Times New Roman" w:hAnsi="Times New Roman" w:eastAsia="宋体"/>
                <w:b w:val="0"/>
                <w:i w:val="0"/>
                <w:sz w:val="17"/>
              </w:rPr>
              <w:t>5.3、6.3</w:t>
            </w:r>
          </w:p>
        </w:tc>
      </w:tr>
      <w:tr>
        <w:tc>
          <w:tcPr>
            <w:tcW w:type="dxa" w:w="1860"/>
          </w:tcPr>
          <w:p>
            <w:pPr>
              <w:spacing w:after="20" w:line="276" w:lineRule="auto"/>
            </w:pPr>
            <w:r/>
            <w:r>
              <w:rPr>
                <w:rFonts w:ascii="Times New Roman" w:hAnsi="Times New Roman" w:eastAsia="宋体"/>
                <w:b w:val="0"/>
                <w:i w:val="0"/>
                <w:sz w:val="17"/>
              </w:rPr>
              <w:t>P3</w:t>
            </w:r>
          </w:p>
        </w:tc>
        <w:tc>
          <w:tcPr>
            <w:tcW w:type="dxa" w:w="1860"/>
          </w:tcPr>
          <w:p>
            <w:pPr>
              <w:spacing w:after="20" w:line="276" w:lineRule="auto"/>
            </w:pPr>
            <w:r/>
            <w:r>
              <w:rPr>
                <w:rFonts w:ascii="Times New Roman" w:hAnsi="Times New Roman" w:eastAsia="宋体"/>
                <w:b w:val="0"/>
                <w:i w:val="0"/>
                <w:sz w:val="17"/>
              </w:rPr>
              <w:t>冲突率与解决率</w:t>
            </w:r>
          </w:p>
        </w:tc>
        <w:tc>
          <w:tcPr>
            <w:tcW w:type="dxa" w:w="1860"/>
          </w:tcPr>
          <w:p>
            <w:pPr>
              <w:spacing w:after="20" w:line="276" w:lineRule="auto"/>
            </w:pPr>
            <w:r/>
            <w:r>
              <w:rPr>
                <w:rFonts w:ascii="Times New Roman" w:hAnsi="Times New Roman" w:eastAsia="宋体"/>
                <w:b w:val="0"/>
                <w:i w:val="0"/>
                <w:sz w:val="17"/>
              </w:rPr>
              <w:t>冲突数/比较对数；已解决冲突/冲突总数</w:t>
            </w:r>
          </w:p>
        </w:tc>
        <w:tc>
          <w:tcPr>
            <w:tcW w:type="dxa" w:w="1860"/>
          </w:tcPr>
          <w:p>
            <w:pPr>
              <w:spacing w:after="20" w:line="276" w:lineRule="auto"/>
            </w:pPr>
            <w:r/>
            <w:r>
              <w:rPr>
                <w:rFonts w:ascii="Times New Roman" w:hAnsi="Times New Roman" w:eastAsia="宋体"/>
                <w:b w:val="0"/>
                <w:i w:val="0"/>
                <w:sz w:val="17"/>
              </w:rPr>
              <w:t>决策卡</w:t>
            </w:r>
          </w:p>
        </w:tc>
        <w:tc>
          <w:tcPr>
            <w:tcW w:type="dxa" w:w="1860"/>
          </w:tcPr>
          <w:p>
            <w:pPr>
              <w:spacing w:after="20" w:line="276" w:lineRule="auto"/>
            </w:pPr>
            <w:r/>
            <w:r>
              <w:rPr>
                <w:rFonts w:ascii="Times New Roman" w:hAnsi="Times New Roman" w:eastAsia="宋体"/>
                <w:b w:val="0"/>
                <w:i w:val="0"/>
                <w:sz w:val="17"/>
              </w:rPr>
              <w:t>6.3</w:t>
            </w:r>
          </w:p>
        </w:tc>
      </w:tr>
      <w:tr>
        <w:tc>
          <w:tcPr>
            <w:tcW w:type="dxa" w:w="1860"/>
          </w:tcPr>
          <w:p>
            <w:pPr>
              <w:spacing w:after="20" w:line="276" w:lineRule="auto"/>
            </w:pPr>
            <w:r/>
            <w:r>
              <w:rPr>
                <w:rFonts w:ascii="Times New Roman" w:hAnsi="Times New Roman" w:eastAsia="宋体"/>
                <w:b w:val="0"/>
                <w:i w:val="0"/>
                <w:sz w:val="17"/>
              </w:rPr>
              <w:t>P3</w:t>
            </w:r>
          </w:p>
        </w:tc>
        <w:tc>
          <w:tcPr>
            <w:tcW w:type="dxa" w:w="1860"/>
          </w:tcPr>
          <w:p>
            <w:pPr>
              <w:spacing w:after="20" w:line="276" w:lineRule="auto"/>
            </w:pPr>
            <w:r/>
            <w:r>
              <w:rPr>
                <w:rFonts w:ascii="Times New Roman" w:hAnsi="Times New Roman" w:eastAsia="宋体"/>
                <w:b w:val="0"/>
                <w:i w:val="0"/>
                <w:sz w:val="17"/>
              </w:rPr>
              <w:t>平均协调轮次</w:t>
            </w:r>
          </w:p>
        </w:tc>
        <w:tc>
          <w:tcPr>
            <w:tcW w:type="dxa" w:w="1860"/>
          </w:tcPr>
          <w:p>
            <w:pPr>
              <w:spacing w:after="20" w:line="276" w:lineRule="auto"/>
            </w:pPr>
            <w:r/>
            <w:r>
              <w:rPr>
                <w:rFonts w:ascii="Times New Roman" w:hAnsi="Times New Roman" w:eastAsia="宋体"/>
                <w:b w:val="0"/>
                <w:i w:val="0"/>
                <w:sz w:val="17"/>
              </w:rPr>
              <w:t>达到停止条件的轮次均值</w:t>
            </w:r>
          </w:p>
        </w:tc>
        <w:tc>
          <w:tcPr>
            <w:tcW w:type="dxa" w:w="1860"/>
          </w:tcPr>
          <w:p>
            <w:pPr>
              <w:spacing w:after="20" w:line="276" w:lineRule="auto"/>
            </w:pPr>
            <w:r/>
            <w:r>
              <w:rPr>
                <w:rFonts w:ascii="Times New Roman" w:hAnsi="Times New Roman" w:eastAsia="宋体"/>
                <w:b w:val="0"/>
                <w:i w:val="0"/>
                <w:sz w:val="17"/>
              </w:rPr>
              <w:t>决策卡</w:t>
            </w:r>
          </w:p>
        </w:tc>
        <w:tc>
          <w:tcPr>
            <w:tcW w:type="dxa" w:w="1860"/>
          </w:tcPr>
          <w:p>
            <w:pPr>
              <w:spacing w:after="20" w:line="276" w:lineRule="auto"/>
            </w:pPr>
            <w:r/>
            <w:r>
              <w:rPr>
                <w:rFonts w:ascii="Times New Roman" w:hAnsi="Times New Roman" w:eastAsia="宋体"/>
                <w:b w:val="0"/>
                <w:i w:val="0"/>
                <w:sz w:val="17"/>
              </w:rPr>
              <w:t>6.3</w:t>
            </w:r>
          </w:p>
        </w:tc>
      </w:tr>
      <w:tr>
        <w:tc>
          <w:tcPr>
            <w:tcW w:type="dxa" w:w="1860"/>
          </w:tcPr>
          <w:p>
            <w:pPr>
              <w:spacing w:after="20" w:line="276" w:lineRule="auto"/>
            </w:pPr>
            <w:r/>
            <w:r>
              <w:rPr>
                <w:rFonts w:ascii="Times New Roman" w:hAnsi="Times New Roman" w:eastAsia="宋体"/>
                <w:b w:val="0"/>
                <w:i w:val="0"/>
                <w:sz w:val="17"/>
              </w:rPr>
              <w:t>P3</w:t>
            </w:r>
          </w:p>
        </w:tc>
        <w:tc>
          <w:tcPr>
            <w:tcW w:type="dxa" w:w="1860"/>
          </w:tcPr>
          <w:p>
            <w:pPr>
              <w:spacing w:after="20" w:line="276" w:lineRule="auto"/>
            </w:pPr>
            <w:r/>
            <w:r>
              <w:rPr>
                <w:rFonts w:ascii="Times New Roman" w:hAnsi="Times New Roman" w:eastAsia="宋体"/>
                <w:b w:val="0"/>
                <w:i w:val="0"/>
                <w:sz w:val="17"/>
              </w:rPr>
              <w:t>重复证据率</w:t>
            </w:r>
          </w:p>
        </w:tc>
        <w:tc>
          <w:tcPr>
            <w:tcW w:type="dxa" w:w="1860"/>
          </w:tcPr>
          <w:p>
            <w:pPr>
              <w:spacing w:after="20" w:line="276" w:lineRule="auto"/>
            </w:pPr>
            <w:r/>
            <w:r>
              <w:rPr>
                <w:rFonts w:ascii="Times New Roman" w:hAnsi="Times New Roman" w:eastAsia="宋体"/>
                <w:b w:val="0"/>
                <w:i w:val="0"/>
                <w:sz w:val="17"/>
              </w:rPr>
              <w:t>相同哈希证据/共享证据总数</w:t>
            </w:r>
          </w:p>
        </w:tc>
        <w:tc>
          <w:tcPr>
            <w:tcW w:type="dxa" w:w="1860"/>
          </w:tcPr>
          <w:p>
            <w:pPr>
              <w:spacing w:after="20" w:line="276" w:lineRule="auto"/>
            </w:pPr>
            <w:r/>
            <w:r>
              <w:rPr>
                <w:rFonts w:ascii="Times New Roman" w:hAnsi="Times New Roman" w:eastAsia="宋体"/>
                <w:b w:val="0"/>
                <w:i w:val="0"/>
                <w:sz w:val="17"/>
              </w:rPr>
              <w:t>黑板统计</w:t>
            </w:r>
          </w:p>
        </w:tc>
        <w:tc>
          <w:tcPr>
            <w:tcW w:type="dxa" w:w="1860"/>
          </w:tcPr>
          <w:p>
            <w:pPr>
              <w:spacing w:after="20" w:line="276" w:lineRule="auto"/>
            </w:pPr>
            <w:r/>
            <w:r>
              <w:rPr>
                <w:rFonts w:ascii="Times New Roman" w:hAnsi="Times New Roman" w:eastAsia="宋体"/>
                <w:b w:val="0"/>
                <w:i w:val="0"/>
                <w:sz w:val="17"/>
              </w:rPr>
              <w:t>6.3</w:t>
            </w:r>
          </w:p>
        </w:tc>
      </w:tr>
      <w:tr>
        <w:tc>
          <w:tcPr>
            <w:tcW w:type="dxa" w:w="1860"/>
          </w:tcPr>
          <w:p>
            <w:pPr>
              <w:spacing w:after="20" w:line="276" w:lineRule="auto"/>
            </w:pPr>
            <w:r/>
            <w:r>
              <w:rPr>
                <w:rFonts w:ascii="Times New Roman" w:hAnsi="Times New Roman" w:eastAsia="宋体"/>
                <w:b w:val="0"/>
                <w:i w:val="0"/>
                <w:sz w:val="17"/>
              </w:rPr>
              <w:t>P3</w:t>
            </w:r>
          </w:p>
        </w:tc>
        <w:tc>
          <w:tcPr>
            <w:tcW w:type="dxa" w:w="1860"/>
          </w:tcPr>
          <w:p>
            <w:pPr>
              <w:spacing w:after="20" w:line="276" w:lineRule="auto"/>
            </w:pPr>
            <w:r/>
            <w:r>
              <w:rPr>
                <w:rFonts w:ascii="Times New Roman" w:hAnsi="Times New Roman" w:eastAsia="宋体"/>
                <w:b w:val="0"/>
                <w:i w:val="0"/>
                <w:sz w:val="17"/>
              </w:rPr>
              <w:t>人工复核触发率</w:t>
            </w:r>
          </w:p>
        </w:tc>
        <w:tc>
          <w:tcPr>
            <w:tcW w:type="dxa" w:w="1860"/>
          </w:tcPr>
          <w:p>
            <w:pPr>
              <w:spacing w:after="20" w:line="276" w:lineRule="auto"/>
            </w:pPr>
            <w:r/>
            <w:r>
              <w:rPr>
                <w:rFonts w:ascii="Times New Roman" w:hAnsi="Times New Roman" w:eastAsia="宋体"/>
                <w:b w:val="0"/>
                <w:i w:val="0"/>
                <w:sz w:val="17"/>
              </w:rPr>
              <w:t>触发 HITL 的运行占全部运行比例</w:t>
            </w:r>
          </w:p>
        </w:tc>
        <w:tc>
          <w:tcPr>
            <w:tcW w:type="dxa" w:w="1860"/>
          </w:tcPr>
          <w:p>
            <w:pPr>
              <w:spacing w:after="20" w:line="276" w:lineRule="auto"/>
            </w:pPr>
            <w:r/>
            <w:r>
              <w:rPr>
                <w:rFonts w:ascii="Times New Roman" w:hAnsi="Times New Roman" w:eastAsia="宋体"/>
                <w:b w:val="0"/>
                <w:i w:val="0"/>
                <w:sz w:val="17"/>
              </w:rPr>
              <w:t>审计轨迹</w:t>
            </w:r>
          </w:p>
        </w:tc>
        <w:tc>
          <w:tcPr>
            <w:tcW w:type="dxa" w:w="1860"/>
          </w:tcPr>
          <w:p>
            <w:pPr>
              <w:spacing w:after="20" w:line="276" w:lineRule="auto"/>
            </w:pPr>
            <w:r/>
            <w:r>
              <w:rPr>
                <w:rFonts w:ascii="Times New Roman" w:hAnsi="Times New Roman" w:eastAsia="宋体"/>
                <w:b w:val="0"/>
                <w:i w:val="0"/>
                <w:sz w:val="17"/>
              </w:rPr>
              <w:t>5.3、6.3</w:t>
            </w:r>
          </w:p>
        </w:tc>
      </w:tr>
    </w:tbl>
    <w:p>
      <w:pPr>
        <w:spacing w:after="40"/>
      </w:pPr>
    </w:p>
    <w:p>
      <w:r>
        <w:rPr>
          <w:rFonts w:ascii="Times New Roman" w:hAnsi="Times New Roman" w:eastAsia="宋体"/>
          <w:b w:val="0"/>
          <w:i w:val="0"/>
          <w:sz w:val="21"/>
        </w:rPr>
        <w:t>预警提前期只对“被成功预警的压力事件”计算，定义为事件起始日与首次有效预警日之间的交易日数：</w:t>
      </w:r>
    </w:p>
    <w:p>
      <w:pPr>
        <w:spacing w:before="80" w:after="80"/>
        <w:jc w:val="center"/>
      </w:pPr>
      <w:r>
        <w:rPr>
          <w:rFonts w:ascii="Times New Roman" w:hAnsi="Times New Roman" w:eastAsia="宋体"/>
          <w:b w:val="0"/>
          <w:i/>
          <w:color w:val="1F3864"/>
          <w:sz w:val="21"/>
        </w:rPr>
        <w:t>LT_i=t_istart-t_ialert, t_ialert≤ t_istart 4-20</w:t>
      </w:r>
    </w:p>
    <w:p>
      <w:r>
        <w:rPr>
          <w:rFonts w:ascii="Times New Roman" w:hAnsi="Times New Roman" w:eastAsia="宋体"/>
          <w:b w:val="0"/>
          <w:i w:val="0"/>
          <w:sz w:val="21"/>
        </w:rPr>
        <w:t>期望校准误差按置信区间分箱计算，</w:t>
      </w:r>
      <w:r>
        <w:rPr>
          <w:rFonts w:ascii="Times New Roman" w:hAnsi="Times New Roman" w:eastAsia="宋体"/>
          <w:b w:val="0"/>
          <w:i/>
          <w:color w:val="1F3864"/>
          <w:sz w:val="21"/>
        </w:rPr>
        <w:t>acc_b</w:t>
      </w:r>
      <w:r>
        <w:rPr>
          <w:rFonts w:ascii="Times New Roman" w:hAnsi="Times New Roman" w:eastAsia="宋体"/>
          <w:b w:val="0"/>
          <w:i w:val="0"/>
          <w:sz w:val="21"/>
        </w:rPr>
        <w:t xml:space="preserve"> 与 </w:t>
      </w:r>
      <w:r>
        <w:rPr>
          <w:rFonts w:ascii="Times New Roman" w:hAnsi="Times New Roman" w:eastAsia="宋体"/>
          <w:b w:val="0"/>
          <w:i/>
          <w:color w:val="1F3864"/>
          <w:sz w:val="21"/>
        </w:rPr>
        <w:t>conf_b</w:t>
      </w:r>
      <w:r>
        <w:rPr>
          <w:rFonts w:ascii="Times New Roman" w:hAnsi="Times New Roman" w:eastAsia="宋体"/>
          <w:b w:val="0"/>
          <w:i w:val="0"/>
          <w:sz w:val="21"/>
        </w:rPr>
        <w:t xml:space="preserve"> 分别为第 </w:t>
      </w:r>
      <w:r>
        <w:rPr>
          <w:rFonts w:ascii="Times New Roman" w:hAnsi="Times New Roman" w:eastAsia="宋体"/>
          <w:b w:val="0"/>
          <w:i/>
          <w:color w:val="1F3864"/>
          <w:sz w:val="21"/>
        </w:rPr>
        <w:t>b</w:t>
      </w:r>
      <w:r>
        <w:rPr>
          <w:rFonts w:ascii="Times New Roman" w:hAnsi="Times New Roman" w:eastAsia="宋体"/>
          <w:b w:val="0"/>
          <w:i w:val="0"/>
          <w:sz w:val="21"/>
        </w:rPr>
        <w:t xml:space="preserve"> 箱的实际命中率与平均预测概率。增量指标以评估日为配对单位构造 bootstrap 置信区间：对第 </w:t>
      </w:r>
      <w:r>
        <w:rPr>
          <w:rFonts w:ascii="Times New Roman" w:hAnsi="Times New Roman" w:eastAsia="宋体"/>
          <w:b w:val="0"/>
          <w:i/>
          <w:color w:val="1F3864"/>
          <w:sz w:val="21"/>
        </w:rPr>
        <w:t>b</w:t>
      </w:r>
      <w:r>
        <w:rPr>
          <w:rFonts w:ascii="Times New Roman" w:hAnsi="Times New Roman" w:eastAsia="宋体"/>
          <w:b w:val="0"/>
          <w:i w:val="0"/>
          <w:sz w:val="21"/>
        </w:rPr>
        <w:t xml:space="preserve"> 次重抽样计算配对差 </w:t>
      </w:r>
      <w:r>
        <w:rPr>
          <w:rFonts w:ascii="Times New Roman" w:hAnsi="Times New Roman" w:eastAsia="宋体"/>
          <w:b w:val="0"/>
          <w:i/>
          <w:color w:val="1F3864"/>
          <w:sz w:val="21"/>
        </w:rPr>
        <w:t>Δ_b</w:t>
      </w:r>
      <w:r>
        <w:rPr>
          <w:rFonts w:ascii="Times New Roman" w:hAnsi="Times New Roman" w:eastAsia="宋体"/>
          <w:b w:val="0"/>
          <w:i w:val="0"/>
          <w:sz w:val="21"/>
        </w:rPr>
        <w:t xml:space="preserve">，取 2.5% 与 97.5% 分位为区间；区间不含零即认为差异成立。P3 的损失差与成本差同法处理并报告效应量，多重比较的校正口径见 6.4。配置中的指标名经 </w:t>
      </w:r>
      <w:r>
        <w:rPr>
          <w:rFonts w:ascii="Consolas" w:hAnsi="Consolas" w:eastAsia="Consolas"/>
          <w:b w:val="0"/>
          <w:i w:val="0"/>
          <w:color w:val="8B1E3F"/>
          <w:sz w:val="20"/>
        </w:rPr>
        <w:t>METRIC_ALIASES</w:t>
      </w:r>
      <w:r>
        <w:rPr>
          <w:rFonts w:ascii="Times New Roman" w:hAnsi="Times New Roman" w:eastAsia="宋体"/>
          <w:b w:val="0"/>
          <w:i w:val="0"/>
          <w:sz w:val="21"/>
        </w:rPr>
        <w:t xml:space="preserve"> 映射到实现函数（如 </w:t>
      </w:r>
      <w:r>
        <w:rPr>
          <w:rFonts w:ascii="Consolas" w:hAnsi="Consolas" w:eastAsia="Consolas"/>
          <w:b w:val="0"/>
          <w:i w:val="0"/>
          <w:color w:val="8B1E3F"/>
          <w:sz w:val="20"/>
        </w:rPr>
        <w:t>recall_at_top_decile</w:t>
      </w:r>
      <w:r>
        <w:rPr>
          <w:rFonts w:ascii="Times New Roman" w:hAnsi="Times New Roman" w:eastAsia="宋体"/>
          <w:b w:val="0"/>
          <w:i w:val="0"/>
          <w:sz w:val="21"/>
        </w:rPr>
        <w:t>），保证配置与代码同名同义。</w:t>
      </w:r>
    </w:p>
    <w:p>
      <w:pPr>
        <w:spacing w:before="80" w:after="80"/>
        <w:jc w:val="center"/>
      </w:pPr>
      <w:r>
        <w:rPr>
          <w:rFonts w:ascii="Times New Roman" w:hAnsi="Times New Roman" w:eastAsia="宋体"/>
          <w:b w:val="0"/>
          <w:i/>
          <w:color w:val="1F3864"/>
          <w:sz w:val="21"/>
        </w:rPr>
        <w:t>Δ_metric=metric(E_aug)-metric(E_base), CI_95%=[q_0.025(Δ(1..B)), q_0.975(Δ(1..B))] 4-21</w:t>
      </w:r>
    </w:p>
    <w:p>
      <w:pPr>
        <w:pStyle w:val="Heading3"/>
      </w:pPr>
      <w:r>
        <w:rPr>
          <w:rFonts w:ascii="Times New Roman" w:hAnsi="Times New Roman" w:eastAsia="宋体"/>
          <w:b w:val="0"/>
          <w:i w:val="0"/>
          <w:sz w:val="23"/>
        </w:rPr>
        <w:t>4.5.4 已知限制</w:t>
      </w:r>
    </w:p>
    <w:p>
      <w:r>
        <w:rPr>
          <w:rFonts w:ascii="Times New Roman" w:hAnsi="Times New Roman" w:eastAsia="宋体"/>
          <w:b w:val="0"/>
          <w:i w:val="0"/>
          <w:sz w:val="21"/>
        </w:rPr>
        <w:t>方法设计存在若干不可消除或只能部分缓解的限制，须在论文与演示中明确说明。第一，历史文本发布时间记录可能缺失或精度不足，可能高估或低估文本模态增量。第二，模型预训练知识泄漏无法完全消除，只能通过版本控制、时间截断提示与无预训练基线对照部分缓解。第三，风险标签构造具有主观性，本文以标签版本化与稳健性替换检验结论敏感性。第四，公开数据存在覆盖差异、缺失与修订，approximate 序列可能引入轻微前视偏差。第五，语言模型存在版本漂移，本文以温度为零、固定版本、记录种子与 mock 复现控制，但无法保证跨版本一致。第六，决策损失权重是情景假设而非真实敞口，结论应理解为情景内的相对比较。第七，协同成本只计工具调用、token 与延迟，未计组织协调与人工复核，对协同价值估计偏乐观。第八，研究情境为跨境金融压力与特定市场，跨市场、跨币种的外部有效性需另行检验。第九，当前主实验数据为可复现的合成数据（DGP 内嵌压力事件与文本领先语义），文本增量在真实市场数据中可能有限，需另行复核。</w:t>
      </w:r>
    </w:p>
    <w:p>
      <w:r>
        <w:rPr>
          <w:rFonts w:ascii="Times New Roman" w:hAnsi="Times New Roman" w:eastAsia="宋体"/>
          <w:b w:val="0"/>
          <w:i w:val="0"/>
          <w:sz w:val="21"/>
        </w:rPr>
        <w:t>本章小结：本章提出“多模态融合形成共享风险锚、知识与工具提供可核验证据、三类智能体分工协同并输出决策支持信息”的方法框架，给出形式化定义、算法、契约与指标，并按 P1–P3 与第五、六章建立可检验的对应关系。方法有效性不预设于设计本身，而交由第五章的时点回放、对照与消融实验检验。</w:t>
      </w:r>
    </w:p>
    <w:p>
      <w:pPr>
        <w:pStyle w:val="Heading1"/>
      </w:pPr>
      <w:r>
        <w:rPr>
          <w:rFonts w:ascii="Times New Roman" w:hAnsi="Times New Roman" w:eastAsia="宋体"/>
          <w:b w:val="0"/>
          <w:i w:val="0"/>
          <w:sz w:val="32"/>
        </w:rPr>
        <w:t>附录</w:t>
      </w:r>
    </w:p>
    <w:p>
      <w:pPr>
        <w:pStyle w:val="Heading2"/>
      </w:pPr>
      <w:r>
        <w:rPr>
          <w:rFonts w:ascii="Times New Roman" w:hAnsi="Times New Roman" w:eastAsia="宋体"/>
          <w:b w:val="0"/>
          <w:i w:val="0"/>
          <w:sz w:val="26"/>
        </w:rPr>
        <w:t>附录 A 关键接口清单</w:t>
      </w:r>
    </w:p>
    <w:p>
      <w:pPr>
        <w:pStyle w:val="Heading3"/>
      </w:pPr>
      <w:r>
        <w:rPr>
          <w:rFonts w:ascii="Times New Roman" w:hAnsi="Times New Roman" w:eastAsia="宋体"/>
          <w:b w:val="0"/>
          <w:i w:val="0"/>
          <w:sz w:val="23"/>
        </w:rPr>
        <w:t>附录 A.1 模块接口（Python 协议）</w:t>
      </w:r>
    </w:p>
    <w:p>
      <w:r>
        <w:rPr>
          <w:rFonts w:ascii="Times New Roman" w:hAnsi="Times New Roman" w:eastAsia="宋体"/>
          <w:b w:val="0"/>
          <w:i w:val="0"/>
          <w:sz w:val="21"/>
        </w:rPr>
        <w:t>表 A-1 关键接口与契约</w:t>
      </w:r>
    </w:p>
    <w:tbl>
      <w:tblPr>
        <w:tblStyle w:val="TableGrid"/>
        <w:tblW w:type="auto" w:w="0"/>
        <w:jc w:val="center"/>
        <w:tblLayout w:type="autofit"/>
        <w:tblLook w:firstColumn="1" w:firstRow="1" w:lastColumn="0" w:lastRow="0" w:noHBand="0" w:noVBand="1" w:val="04A0"/>
      </w:tblPr>
      <w:tblGrid>
        <w:gridCol w:w="1860"/>
        <w:gridCol w:w="1860"/>
        <w:gridCol w:w="1860"/>
        <w:gridCol w:w="1860"/>
        <w:gridCol w:w="1860"/>
      </w:tblGrid>
      <w:tr>
        <w:tc>
          <w:tcPr>
            <w:tcW w:type="dxa" w:w="1860"/>
          </w:tcPr>
          <w:p>
            <w:pPr>
              <w:spacing w:after="20" w:line="276" w:lineRule="auto"/>
            </w:pPr>
            <w:r>
              <w:rPr>
                <w:b/>
              </w:rPr>
            </w:r>
            <w:r>
              <w:rPr>
                <w:rFonts w:ascii="Times New Roman" w:hAnsi="Times New Roman" w:eastAsia="宋体"/>
                <w:b/>
                <w:i w:val="0"/>
                <w:sz w:val="17"/>
              </w:rPr>
              <w:t>接口</w:t>
            </w:r>
          </w:p>
        </w:tc>
        <w:tc>
          <w:tcPr>
            <w:tcW w:type="dxa" w:w="1860"/>
          </w:tcPr>
          <w:p>
            <w:pPr>
              <w:spacing w:after="20" w:line="276" w:lineRule="auto"/>
            </w:pPr>
            <w:r>
              <w:rPr>
                <w:b/>
              </w:rPr>
            </w:r>
            <w:r>
              <w:rPr>
                <w:rFonts w:ascii="Times New Roman" w:hAnsi="Times New Roman" w:eastAsia="宋体"/>
                <w:b/>
                <w:i w:val="0"/>
                <w:sz w:val="17"/>
              </w:rPr>
              <w:t>方法</w:t>
            </w:r>
          </w:p>
        </w:tc>
        <w:tc>
          <w:tcPr>
            <w:tcW w:type="dxa" w:w="1860"/>
          </w:tcPr>
          <w:p>
            <w:pPr>
              <w:spacing w:after="20" w:line="276" w:lineRule="auto"/>
            </w:pPr>
            <w:r>
              <w:rPr>
                <w:b/>
              </w:rPr>
            </w:r>
            <w:r>
              <w:rPr>
                <w:rFonts w:ascii="Times New Roman" w:hAnsi="Times New Roman" w:eastAsia="宋体"/>
                <w:b/>
                <w:i w:val="0"/>
                <w:sz w:val="17"/>
              </w:rPr>
              <w:t>输入</w:t>
            </w:r>
          </w:p>
        </w:tc>
        <w:tc>
          <w:tcPr>
            <w:tcW w:type="dxa" w:w="1860"/>
          </w:tcPr>
          <w:p>
            <w:pPr>
              <w:spacing w:after="20" w:line="276" w:lineRule="auto"/>
            </w:pPr>
            <w:r>
              <w:rPr>
                <w:b/>
              </w:rPr>
            </w:r>
            <w:r>
              <w:rPr>
                <w:rFonts w:ascii="Times New Roman" w:hAnsi="Times New Roman" w:eastAsia="宋体"/>
                <w:b/>
                <w:i w:val="0"/>
                <w:sz w:val="17"/>
              </w:rPr>
              <w:t>输出</w:t>
            </w:r>
          </w:p>
        </w:tc>
        <w:tc>
          <w:tcPr>
            <w:tcW w:type="dxa" w:w="1860"/>
          </w:tcPr>
          <w:p>
            <w:pPr>
              <w:spacing w:after="20" w:line="276" w:lineRule="auto"/>
            </w:pPr>
            <w:r>
              <w:rPr>
                <w:b/>
              </w:rPr>
            </w:r>
            <w:r>
              <w:rPr>
                <w:rFonts w:ascii="Times New Roman" w:hAnsi="Times New Roman" w:eastAsia="宋体"/>
                <w:b/>
                <w:i w:val="0"/>
                <w:sz w:val="17"/>
              </w:rPr>
              <w:t>契约要点</w:t>
            </w:r>
          </w:p>
        </w:tc>
      </w:tr>
      <w:tr>
        <w:tc>
          <w:tcPr>
            <w:tcW w:type="dxa" w:w="1860"/>
          </w:tcPr>
          <w:p>
            <w:pPr>
              <w:spacing w:after="20" w:line="276" w:lineRule="auto"/>
            </w:pPr>
            <w:r/>
            <w:r>
              <w:rPr>
                <w:rFonts w:ascii="Consolas" w:hAnsi="Consolas" w:eastAsia="Consolas"/>
                <w:b w:val="0"/>
                <w:i w:val="0"/>
                <w:color w:val="8B1E3F"/>
                <w:sz w:val="16"/>
              </w:rPr>
              <w:t>DataProvider</w:t>
            </w:r>
          </w:p>
        </w:tc>
        <w:tc>
          <w:tcPr>
            <w:tcW w:type="dxa" w:w="1860"/>
          </w:tcPr>
          <w:p>
            <w:pPr>
              <w:spacing w:after="20" w:line="276" w:lineRule="auto"/>
            </w:pPr>
            <w:r/>
            <w:r>
              <w:rPr>
                <w:rFonts w:ascii="Consolas" w:hAnsi="Consolas" w:eastAsia="Consolas"/>
                <w:b w:val="0"/>
                <w:i w:val="0"/>
                <w:color w:val="8B1E3F"/>
                <w:sz w:val="16"/>
              </w:rPr>
              <w:t>risk_signal(as_of)</w:t>
            </w:r>
          </w:p>
        </w:tc>
        <w:tc>
          <w:tcPr>
            <w:tcW w:type="dxa" w:w="1860"/>
          </w:tcPr>
          <w:p>
            <w:pPr>
              <w:spacing w:after="20" w:line="276" w:lineRule="auto"/>
            </w:pPr>
            <w:r/>
            <w:r>
              <w:rPr>
                <w:rFonts w:ascii="Times New Roman" w:hAnsi="Times New Roman" w:eastAsia="宋体"/>
                <w:b w:val="0"/>
                <w:i w:val="0"/>
                <w:sz w:val="17"/>
              </w:rPr>
              <w:t>评估日</w:t>
            </w:r>
          </w:p>
        </w:tc>
        <w:tc>
          <w:tcPr>
            <w:tcW w:type="dxa" w:w="1860"/>
          </w:tcPr>
          <w:p>
            <w:pPr>
              <w:spacing w:after="20" w:line="276" w:lineRule="auto"/>
            </w:pPr>
            <w:r/>
            <w:r>
              <w:rPr>
                <w:rFonts w:ascii="Consolas" w:hAnsi="Consolas" w:eastAsia="Consolas"/>
                <w:b w:val="0"/>
                <w:i w:val="0"/>
                <w:color w:val="8B1E3F"/>
                <w:sz w:val="16"/>
              </w:rPr>
              <w:t>RiskSignal</w:t>
            </w:r>
          </w:p>
        </w:tc>
        <w:tc>
          <w:tcPr>
            <w:tcW w:type="dxa" w:w="1860"/>
          </w:tcPr>
          <w:p>
            <w:pPr>
              <w:spacing w:after="20" w:line="276" w:lineRule="auto"/>
            </w:pPr>
            <w:r/>
            <w:r>
              <w:rPr>
                <w:rFonts w:ascii="Times New Roman" w:hAnsi="Times New Roman" w:eastAsia="宋体"/>
                <w:b w:val="0"/>
                <w:i w:val="0"/>
                <w:sz w:val="17"/>
              </w:rPr>
              <w:t xml:space="preserve">只返回 </w:t>
            </w:r>
            <w:r>
              <w:rPr>
                <w:rFonts w:ascii="Consolas" w:hAnsi="Consolas" w:eastAsia="Consolas"/>
                <w:b w:val="0"/>
                <w:i w:val="0"/>
                <w:color w:val="8B1E3F"/>
                <w:sz w:val="16"/>
              </w:rPr>
              <w:t>as_of</w:t>
            </w:r>
            <w:r>
              <w:rPr>
                <w:rFonts w:ascii="Times New Roman" w:hAnsi="Times New Roman" w:eastAsia="宋体"/>
                <w:b w:val="0"/>
                <w:i w:val="0"/>
                <w:sz w:val="17"/>
              </w:rPr>
              <w:t xml:space="preserve"> 可得信号</w:t>
            </w:r>
          </w:p>
        </w:tc>
      </w:tr>
      <w:tr>
        <w:tc>
          <w:tcPr>
            <w:tcW w:type="dxa" w:w="1860"/>
          </w:tcPr>
          <w:p>
            <w:pPr>
              <w:spacing w:after="20" w:line="276" w:lineRule="auto"/>
            </w:pPr>
            <w:r/>
            <w:r>
              <w:rPr>
                <w:rFonts w:ascii="Consolas" w:hAnsi="Consolas" w:eastAsia="Consolas"/>
                <w:b w:val="0"/>
                <w:i w:val="0"/>
                <w:color w:val="8B1E3F"/>
                <w:sz w:val="16"/>
              </w:rPr>
              <w:t>DataProvider</w:t>
            </w:r>
          </w:p>
        </w:tc>
        <w:tc>
          <w:tcPr>
            <w:tcW w:type="dxa" w:w="1860"/>
          </w:tcPr>
          <w:p>
            <w:pPr>
              <w:spacing w:after="20" w:line="276" w:lineRule="auto"/>
            </w:pPr>
            <w:r/>
            <w:r>
              <w:rPr>
                <w:rFonts w:ascii="Consolas" w:hAnsi="Consolas" w:eastAsia="Consolas"/>
                <w:b w:val="0"/>
                <w:i w:val="0"/>
                <w:color w:val="8B1E3F"/>
                <w:sz w:val="16"/>
              </w:rPr>
              <w:t>market_snapshot(as_of)</w:t>
            </w:r>
          </w:p>
        </w:tc>
        <w:tc>
          <w:tcPr>
            <w:tcW w:type="dxa" w:w="1860"/>
          </w:tcPr>
          <w:p>
            <w:pPr>
              <w:spacing w:after="20" w:line="276" w:lineRule="auto"/>
            </w:pPr>
            <w:r/>
            <w:r>
              <w:rPr>
                <w:rFonts w:ascii="Times New Roman" w:hAnsi="Times New Roman" w:eastAsia="宋体"/>
                <w:b w:val="0"/>
                <w:i w:val="0"/>
                <w:sz w:val="17"/>
              </w:rPr>
              <w:t>评估日</w:t>
            </w:r>
          </w:p>
        </w:tc>
        <w:tc>
          <w:tcPr>
            <w:tcW w:type="dxa" w:w="1860"/>
          </w:tcPr>
          <w:p>
            <w:pPr>
              <w:spacing w:after="20" w:line="276" w:lineRule="auto"/>
            </w:pPr>
            <w:r/>
            <w:r>
              <w:rPr>
                <w:rFonts w:ascii="Consolas" w:hAnsi="Consolas" w:eastAsia="Consolas"/>
                <w:b w:val="0"/>
                <w:i w:val="0"/>
                <w:color w:val="8B1E3F"/>
                <w:sz w:val="16"/>
              </w:rPr>
              <w:t>MarketSnapshot</w:t>
            </w:r>
          </w:p>
        </w:tc>
        <w:tc>
          <w:tcPr>
            <w:tcW w:type="dxa" w:w="1860"/>
          </w:tcPr>
          <w:p>
            <w:pPr>
              <w:spacing w:after="20" w:line="276" w:lineRule="auto"/>
            </w:pPr>
            <w:r/>
            <w:r>
              <w:rPr>
                <w:rFonts w:ascii="Times New Roman" w:hAnsi="Times New Roman" w:eastAsia="宋体"/>
                <w:b w:val="0"/>
                <w:i w:val="0"/>
                <w:sz w:val="17"/>
              </w:rPr>
              <w:t>含缺失序列与数据卡</w:t>
            </w:r>
          </w:p>
        </w:tc>
      </w:tr>
      <w:tr>
        <w:tc>
          <w:tcPr>
            <w:tcW w:type="dxa" w:w="1860"/>
          </w:tcPr>
          <w:p>
            <w:pPr>
              <w:spacing w:after="20" w:line="276" w:lineRule="auto"/>
            </w:pPr>
            <w:r/>
            <w:r>
              <w:rPr>
                <w:rFonts w:ascii="Consolas" w:hAnsi="Consolas" w:eastAsia="Consolas"/>
                <w:b w:val="0"/>
                <w:i w:val="0"/>
                <w:color w:val="8B1E3F"/>
                <w:sz w:val="16"/>
              </w:rPr>
              <w:t>DataProvider</w:t>
            </w:r>
          </w:p>
        </w:tc>
        <w:tc>
          <w:tcPr>
            <w:tcW w:type="dxa" w:w="1860"/>
          </w:tcPr>
          <w:p>
            <w:pPr>
              <w:spacing w:after="20" w:line="276" w:lineRule="auto"/>
            </w:pPr>
            <w:r/>
            <w:r>
              <w:rPr>
                <w:rFonts w:ascii="Consolas" w:hAnsi="Consolas" w:eastAsia="Consolas"/>
                <w:b w:val="0"/>
                <w:i w:val="0"/>
                <w:color w:val="8B1E3F"/>
                <w:sz w:val="16"/>
              </w:rPr>
              <w:t>history(series_id, as_of, lookback)</w:t>
            </w:r>
          </w:p>
        </w:tc>
        <w:tc>
          <w:tcPr>
            <w:tcW w:type="dxa" w:w="1860"/>
          </w:tcPr>
          <w:p>
            <w:pPr>
              <w:spacing w:after="20" w:line="276" w:lineRule="auto"/>
            </w:pPr>
            <w:r/>
            <w:r>
              <w:rPr>
                <w:rFonts w:ascii="Times New Roman" w:hAnsi="Times New Roman" w:eastAsia="宋体"/>
                <w:b w:val="0"/>
                <w:i w:val="0"/>
                <w:sz w:val="17"/>
              </w:rPr>
              <w:t>序列、时点、长度</w:t>
            </w:r>
          </w:p>
        </w:tc>
        <w:tc>
          <w:tcPr>
            <w:tcW w:type="dxa" w:w="1860"/>
          </w:tcPr>
          <w:p>
            <w:pPr>
              <w:spacing w:after="20" w:line="276" w:lineRule="auto"/>
            </w:pPr>
            <w:r/>
            <w:r>
              <w:rPr>
                <w:rFonts w:ascii="Times New Roman" w:hAnsi="Times New Roman" w:eastAsia="宋体"/>
                <w:b w:val="0"/>
                <w:i w:val="0"/>
                <w:sz w:val="17"/>
              </w:rPr>
              <w:t>历史记录列表</w:t>
            </w:r>
          </w:p>
        </w:tc>
        <w:tc>
          <w:tcPr>
            <w:tcW w:type="dxa" w:w="1860"/>
          </w:tcPr>
          <w:p>
            <w:pPr>
              <w:spacing w:after="20" w:line="276" w:lineRule="auto"/>
            </w:pPr>
            <w:r/>
            <w:r>
              <w:rPr>
                <w:rFonts w:ascii="Times New Roman" w:hAnsi="Times New Roman" w:eastAsia="宋体"/>
                <w:b w:val="0"/>
                <w:i w:val="0"/>
                <w:sz w:val="17"/>
              </w:rPr>
              <w:t>遵守点对点可得性</w:t>
            </w:r>
          </w:p>
        </w:tc>
      </w:tr>
      <w:tr>
        <w:tc>
          <w:tcPr>
            <w:tcW w:type="dxa" w:w="1860"/>
          </w:tcPr>
          <w:p>
            <w:pPr>
              <w:spacing w:after="20" w:line="276" w:lineRule="auto"/>
            </w:pPr>
            <w:r/>
            <w:r>
              <w:rPr>
                <w:rFonts w:ascii="Consolas" w:hAnsi="Consolas" w:eastAsia="Consolas"/>
                <w:b w:val="0"/>
                <w:i w:val="0"/>
                <w:color w:val="8B1E3F"/>
                <w:sz w:val="16"/>
              </w:rPr>
              <w:t>DataProvider</w:t>
            </w:r>
          </w:p>
        </w:tc>
        <w:tc>
          <w:tcPr>
            <w:tcW w:type="dxa" w:w="1860"/>
          </w:tcPr>
          <w:p>
            <w:pPr>
              <w:spacing w:after="20" w:line="276" w:lineRule="auto"/>
            </w:pPr>
            <w:r/>
            <w:r>
              <w:rPr>
                <w:rFonts w:ascii="Consolas" w:hAnsi="Consolas" w:eastAsia="Consolas"/>
                <w:b w:val="0"/>
                <w:i w:val="0"/>
                <w:color w:val="8B1E3F"/>
                <w:sz w:val="16"/>
              </w:rPr>
              <w:t>label(as_of, horizon)</w:t>
            </w:r>
          </w:p>
        </w:tc>
        <w:tc>
          <w:tcPr>
            <w:tcW w:type="dxa" w:w="1860"/>
          </w:tcPr>
          <w:p>
            <w:pPr>
              <w:spacing w:after="20" w:line="276" w:lineRule="auto"/>
            </w:pPr>
            <w:r/>
            <w:r>
              <w:rPr>
                <w:rFonts w:ascii="Times New Roman" w:hAnsi="Times New Roman" w:eastAsia="宋体"/>
                <w:b w:val="0"/>
                <w:i w:val="0"/>
                <w:sz w:val="17"/>
              </w:rPr>
              <w:t>评估日、期限</w:t>
            </w:r>
          </w:p>
        </w:tc>
        <w:tc>
          <w:tcPr>
            <w:tcW w:type="dxa" w:w="1860"/>
          </w:tcPr>
          <w:p>
            <w:pPr>
              <w:spacing w:after="20" w:line="276" w:lineRule="auto"/>
            </w:pPr>
            <w:r/>
            <w:r>
              <w:rPr>
                <w:rFonts w:ascii="Times New Roman" w:hAnsi="Times New Roman" w:eastAsia="宋体"/>
                <w:b w:val="0"/>
                <w:i w:val="0"/>
                <w:sz w:val="17"/>
              </w:rPr>
              <w:t>0/1 或空值</w:t>
            </w:r>
          </w:p>
        </w:tc>
        <w:tc>
          <w:tcPr>
            <w:tcW w:type="dxa" w:w="1860"/>
          </w:tcPr>
          <w:p>
            <w:pPr>
              <w:spacing w:after="20" w:line="276" w:lineRule="auto"/>
            </w:pPr>
            <w:r/>
            <w:r>
              <w:rPr>
                <w:rFonts w:ascii="Times New Roman" w:hAnsi="Times New Roman" w:eastAsia="宋体"/>
                <w:b w:val="0"/>
                <w:i w:val="0"/>
                <w:sz w:val="17"/>
              </w:rPr>
              <w:t>仅评估阶段使用</w:t>
            </w:r>
          </w:p>
        </w:tc>
      </w:tr>
      <w:tr>
        <w:tc>
          <w:tcPr>
            <w:tcW w:type="dxa" w:w="1860"/>
          </w:tcPr>
          <w:p>
            <w:pPr>
              <w:spacing w:after="20" w:line="276" w:lineRule="auto"/>
            </w:pPr>
            <w:r/>
            <w:r>
              <w:rPr>
                <w:rFonts w:ascii="Consolas" w:hAnsi="Consolas" w:eastAsia="Consolas"/>
                <w:b w:val="0"/>
                <w:i w:val="0"/>
                <w:color w:val="8B1E3F"/>
                <w:sz w:val="16"/>
              </w:rPr>
              <w:t>DataProvider</w:t>
            </w:r>
          </w:p>
        </w:tc>
        <w:tc>
          <w:tcPr>
            <w:tcW w:type="dxa" w:w="1860"/>
          </w:tcPr>
          <w:p>
            <w:pPr>
              <w:spacing w:after="20" w:line="276" w:lineRule="auto"/>
            </w:pPr>
            <w:r/>
            <w:r>
              <w:rPr>
                <w:rFonts w:ascii="Consolas" w:hAnsi="Consolas" w:eastAsia="Consolas"/>
                <w:b w:val="0"/>
                <w:i w:val="0"/>
                <w:color w:val="8B1E3F"/>
                <w:sz w:val="16"/>
              </w:rPr>
              <w:t>data_cards()</w:t>
            </w:r>
          </w:p>
        </w:tc>
        <w:tc>
          <w:tcPr>
            <w:tcW w:type="dxa" w:w="1860"/>
          </w:tcPr>
          <w:p>
            <w:pPr>
              <w:spacing w:after="20" w:line="276" w:lineRule="auto"/>
            </w:pPr>
            <w:r/>
            <w:r>
              <w:rPr>
                <w:rFonts w:ascii="Times New Roman" w:hAnsi="Times New Roman" w:eastAsia="宋体"/>
                <w:b w:val="0"/>
                <w:i w:val="0"/>
                <w:sz w:val="17"/>
              </w:rPr>
              <w:t>—</w:t>
            </w:r>
          </w:p>
        </w:tc>
        <w:tc>
          <w:tcPr>
            <w:tcW w:type="dxa" w:w="1860"/>
          </w:tcPr>
          <w:p>
            <w:pPr>
              <w:spacing w:after="20" w:line="276" w:lineRule="auto"/>
            </w:pPr>
            <w:r/>
            <w:r>
              <w:rPr>
                <w:rFonts w:ascii="Times New Roman" w:hAnsi="Times New Roman" w:eastAsia="宋体"/>
                <w:b w:val="0"/>
                <w:i w:val="0"/>
                <w:sz w:val="17"/>
              </w:rPr>
              <w:t>数据卡列表</w:t>
            </w:r>
          </w:p>
        </w:tc>
        <w:tc>
          <w:tcPr>
            <w:tcW w:type="dxa" w:w="1860"/>
          </w:tcPr>
          <w:p>
            <w:pPr>
              <w:spacing w:after="20" w:line="276" w:lineRule="auto"/>
            </w:pPr>
            <w:r/>
            <w:r>
              <w:rPr>
                <w:rFonts w:ascii="Times New Roman" w:hAnsi="Times New Roman" w:eastAsia="宋体"/>
                <w:b w:val="0"/>
                <w:i w:val="0"/>
                <w:sz w:val="17"/>
              </w:rPr>
              <w:t>数据说明与时点评级</w:t>
            </w:r>
          </w:p>
        </w:tc>
      </w:tr>
      <w:tr>
        <w:tc>
          <w:tcPr>
            <w:tcW w:type="dxa" w:w="1860"/>
          </w:tcPr>
          <w:p>
            <w:pPr>
              <w:spacing w:after="20" w:line="276" w:lineRule="auto"/>
            </w:pPr>
            <w:r/>
            <w:r>
              <w:rPr>
                <w:rFonts w:ascii="Consolas" w:hAnsi="Consolas" w:eastAsia="Consolas"/>
                <w:b w:val="0"/>
                <w:i w:val="0"/>
                <w:color w:val="8B1E3F"/>
                <w:sz w:val="16"/>
              </w:rPr>
              <w:t>Tool</w:t>
            </w:r>
          </w:p>
        </w:tc>
        <w:tc>
          <w:tcPr>
            <w:tcW w:type="dxa" w:w="1860"/>
          </w:tcPr>
          <w:p>
            <w:pPr>
              <w:spacing w:after="20" w:line="276" w:lineRule="auto"/>
            </w:pPr>
            <w:r/>
            <w:r>
              <w:rPr>
                <w:rFonts w:ascii="Consolas" w:hAnsi="Consolas" w:eastAsia="Consolas"/>
                <w:b w:val="0"/>
                <w:i w:val="0"/>
                <w:color w:val="8B1E3F"/>
                <w:sz w:val="16"/>
              </w:rPr>
              <w:t>run(as_of, **kwargs)</w:t>
            </w:r>
          </w:p>
        </w:tc>
        <w:tc>
          <w:tcPr>
            <w:tcW w:type="dxa" w:w="1860"/>
          </w:tcPr>
          <w:p>
            <w:pPr>
              <w:spacing w:after="20" w:line="276" w:lineRule="auto"/>
            </w:pPr>
            <w:r/>
            <w:r>
              <w:rPr>
                <w:rFonts w:ascii="Times New Roman" w:hAnsi="Times New Roman" w:eastAsia="宋体"/>
                <w:b w:val="0"/>
                <w:i w:val="0"/>
                <w:sz w:val="17"/>
              </w:rPr>
              <w:t>时点、工具参数</w:t>
            </w:r>
          </w:p>
        </w:tc>
        <w:tc>
          <w:tcPr>
            <w:tcW w:type="dxa" w:w="1860"/>
          </w:tcPr>
          <w:p>
            <w:pPr>
              <w:spacing w:after="20" w:line="276" w:lineRule="auto"/>
            </w:pPr>
            <w:r/>
            <w:r>
              <w:rPr>
                <w:rFonts w:ascii="Consolas" w:hAnsi="Consolas" w:eastAsia="Consolas"/>
                <w:b w:val="0"/>
                <w:i w:val="0"/>
                <w:color w:val="8B1E3F"/>
                <w:sz w:val="16"/>
              </w:rPr>
              <w:t>ToolResult</w:t>
            </w:r>
          </w:p>
        </w:tc>
        <w:tc>
          <w:tcPr>
            <w:tcW w:type="dxa" w:w="1860"/>
          </w:tcPr>
          <w:p>
            <w:pPr>
              <w:spacing w:after="20" w:line="276" w:lineRule="auto"/>
            </w:pPr>
            <w:r/>
            <w:r>
              <w:rPr>
                <w:rFonts w:ascii="Times New Roman" w:hAnsi="Times New Roman" w:eastAsia="宋体"/>
                <w:b w:val="0"/>
                <w:i w:val="0"/>
                <w:sz w:val="17"/>
              </w:rPr>
              <w:t>含证据、单位、版本、输入哈希</w:t>
            </w:r>
          </w:p>
        </w:tc>
      </w:tr>
      <w:tr>
        <w:tc>
          <w:tcPr>
            <w:tcW w:type="dxa" w:w="1860"/>
          </w:tcPr>
          <w:p>
            <w:pPr>
              <w:spacing w:after="20" w:line="276" w:lineRule="auto"/>
            </w:pPr>
            <w:r/>
            <w:r>
              <w:rPr>
                <w:rFonts w:ascii="Consolas" w:hAnsi="Consolas" w:eastAsia="Consolas"/>
                <w:b w:val="0"/>
                <w:i w:val="0"/>
                <w:color w:val="8B1E3F"/>
                <w:sz w:val="16"/>
              </w:rPr>
              <w:t>ToolRegistry</w:t>
            </w:r>
          </w:p>
        </w:tc>
        <w:tc>
          <w:tcPr>
            <w:tcW w:type="dxa" w:w="1860"/>
          </w:tcPr>
          <w:p>
            <w:pPr>
              <w:spacing w:after="20" w:line="276" w:lineRule="auto"/>
            </w:pPr>
            <w:r/>
            <w:r>
              <w:rPr>
                <w:rFonts w:ascii="Consolas" w:hAnsi="Consolas" w:eastAsia="Consolas"/>
                <w:b w:val="0"/>
                <w:i w:val="0"/>
                <w:color w:val="8B1E3F"/>
                <w:sz w:val="16"/>
              </w:rPr>
              <w:t>get(name)</w:t>
            </w:r>
            <w:r>
              <w:rPr>
                <w:rFonts w:ascii="Times New Roman" w:hAnsi="Times New Roman" w:eastAsia="宋体"/>
                <w:b w:val="0"/>
                <w:i w:val="0"/>
                <w:sz w:val="17"/>
              </w:rPr>
              <w:t>、</w:t>
            </w:r>
            <w:r>
              <w:rPr>
                <w:rFonts w:ascii="Consolas" w:hAnsi="Consolas" w:eastAsia="Consolas"/>
                <w:b w:val="0"/>
                <w:i w:val="0"/>
                <w:color w:val="8B1E3F"/>
                <w:sz w:val="16"/>
              </w:rPr>
              <w:t>names()</w:t>
            </w:r>
          </w:p>
        </w:tc>
        <w:tc>
          <w:tcPr>
            <w:tcW w:type="dxa" w:w="1860"/>
          </w:tcPr>
          <w:p>
            <w:pPr>
              <w:spacing w:after="20" w:line="276" w:lineRule="auto"/>
            </w:pPr>
            <w:r/>
            <w:r>
              <w:rPr>
                <w:rFonts w:ascii="Times New Roman" w:hAnsi="Times New Roman" w:eastAsia="宋体"/>
                <w:b w:val="0"/>
                <w:i w:val="0"/>
                <w:sz w:val="17"/>
              </w:rPr>
              <w:t>工具名</w:t>
            </w:r>
          </w:p>
        </w:tc>
        <w:tc>
          <w:tcPr>
            <w:tcW w:type="dxa" w:w="1860"/>
          </w:tcPr>
          <w:p>
            <w:pPr>
              <w:spacing w:after="20" w:line="276" w:lineRule="auto"/>
            </w:pPr>
            <w:r/>
            <w:r>
              <w:rPr>
                <w:rFonts w:ascii="Times New Roman" w:hAnsi="Times New Roman" w:eastAsia="宋体"/>
                <w:b w:val="0"/>
                <w:i w:val="0"/>
                <w:sz w:val="17"/>
              </w:rPr>
              <w:t>工具或清单</w:t>
            </w:r>
          </w:p>
        </w:tc>
        <w:tc>
          <w:tcPr>
            <w:tcW w:type="dxa" w:w="1860"/>
          </w:tcPr>
          <w:p>
            <w:pPr>
              <w:spacing w:after="20" w:line="276" w:lineRule="auto"/>
            </w:pPr>
            <w:r/>
            <w:r>
              <w:rPr>
                <w:rFonts w:ascii="Times New Roman" w:hAnsi="Times New Roman" w:eastAsia="宋体"/>
                <w:b w:val="0"/>
                <w:i w:val="0"/>
                <w:sz w:val="17"/>
              </w:rPr>
              <w:t>注册表查找</w:t>
            </w:r>
          </w:p>
        </w:tc>
      </w:tr>
      <w:tr>
        <w:tc>
          <w:tcPr>
            <w:tcW w:type="dxa" w:w="1860"/>
          </w:tcPr>
          <w:p>
            <w:pPr>
              <w:spacing w:after="20" w:line="276" w:lineRule="auto"/>
            </w:pPr>
            <w:r/>
            <w:r>
              <w:rPr>
                <w:rFonts w:ascii="Consolas" w:hAnsi="Consolas" w:eastAsia="Consolas"/>
                <w:b w:val="0"/>
                <w:i w:val="0"/>
                <w:color w:val="8B1E3F"/>
                <w:sz w:val="16"/>
              </w:rPr>
              <w:t>ToolRegistry</w:t>
            </w:r>
          </w:p>
        </w:tc>
        <w:tc>
          <w:tcPr>
            <w:tcW w:type="dxa" w:w="1860"/>
          </w:tcPr>
          <w:p>
            <w:pPr>
              <w:spacing w:after="20" w:line="276" w:lineRule="auto"/>
            </w:pPr>
            <w:r/>
            <w:r>
              <w:rPr>
                <w:rFonts w:ascii="Consolas" w:hAnsi="Consolas" w:eastAsia="Consolas"/>
                <w:b w:val="0"/>
                <w:i w:val="0"/>
                <w:color w:val="8B1E3F"/>
                <w:sz w:val="16"/>
              </w:rPr>
              <w:t>allow(role, tool_name)</w:t>
            </w:r>
          </w:p>
        </w:tc>
        <w:tc>
          <w:tcPr>
            <w:tcW w:type="dxa" w:w="1860"/>
          </w:tcPr>
          <w:p>
            <w:pPr>
              <w:spacing w:after="20" w:line="276" w:lineRule="auto"/>
            </w:pPr>
            <w:r/>
            <w:r>
              <w:rPr>
                <w:rFonts w:ascii="Times New Roman" w:hAnsi="Times New Roman" w:eastAsia="宋体"/>
                <w:b w:val="0"/>
                <w:i w:val="0"/>
                <w:sz w:val="17"/>
              </w:rPr>
              <w:t>角色、工具</w:t>
            </w:r>
          </w:p>
        </w:tc>
        <w:tc>
          <w:tcPr>
            <w:tcW w:type="dxa" w:w="1860"/>
          </w:tcPr>
          <w:p>
            <w:pPr>
              <w:spacing w:after="20" w:line="276" w:lineRule="auto"/>
            </w:pPr>
            <w:r/>
            <w:r>
              <w:rPr>
                <w:rFonts w:ascii="Times New Roman" w:hAnsi="Times New Roman" w:eastAsia="宋体"/>
                <w:b w:val="0"/>
                <w:i w:val="0"/>
                <w:sz w:val="17"/>
              </w:rPr>
              <w:t>布尔</w:t>
            </w:r>
          </w:p>
        </w:tc>
        <w:tc>
          <w:tcPr>
            <w:tcW w:type="dxa" w:w="1860"/>
          </w:tcPr>
          <w:p>
            <w:pPr>
              <w:spacing w:after="20" w:line="276" w:lineRule="auto"/>
            </w:pPr>
            <w:r/>
            <w:r>
              <w:rPr>
                <w:rFonts w:ascii="Times New Roman" w:hAnsi="Times New Roman" w:eastAsia="宋体"/>
                <w:b w:val="0"/>
                <w:i w:val="0"/>
                <w:sz w:val="17"/>
              </w:rPr>
              <w:t>权限矩阵判定，越权返回否</w:t>
            </w:r>
          </w:p>
        </w:tc>
      </w:tr>
      <w:tr>
        <w:tc>
          <w:tcPr>
            <w:tcW w:type="dxa" w:w="1860"/>
          </w:tcPr>
          <w:p>
            <w:pPr>
              <w:spacing w:after="20" w:line="276" w:lineRule="auto"/>
            </w:pPr>
            <w:r/>
            <w:r>
              <w:rPr>
                <w:rFonts w:ascii="Consolas" w:hAnsi="Consolas" w:eastAsia="Consolas"/>
                <w:b w:val="0"/>
                <w:i w:val="0"/>
                <w:color w:val="8B1E3F"/>
                <w:sz w:val="16"/>
              </w:rPr>
              <w:t>KnowledgeBase</w:t>
            </w:r>
          </w:p>
        </w:tc>
        <w:tc>
          <w:tcPr>
            <w:tcW w:type="dxa" w:w="1860"/>
          </w:tcPr>
          <w:p>
            <w:pPr>
              <w:spacing w:after="20" w:line="276" w:lineRule="auto"/>
            </w:pPr>
            <w:r/>
            <w:r>
              <w:rPr>
                <w:rFonts w:ascii="Consolas" w:hAnsi="Consolas" w:eastAsia="Consolas"/>
                <w:b w:val="0"/>
                <w:i w:val="0"/>
                <w:color w:val="8B1E3F"/>
                <w:sz w:val="16"/>
              </w:rPr>
              <w:t>search(query, as_of, top_k)</w:t>
            </w:r>
          </w:p>
        </w:tc>
        <w:tc>
          <w:tcPr>
            <w:tcW w:type="dxa" w:w="1860"/>
          </w:tcPr>
          <w:p>
            <w:pPr>
              <w:spacing w:after="20" w:line="276" w:lineRule="auto"/>
            </w:pPr>
            <w:r/>
            <w:r>
              <w:rPr>
                <w:rFonts w:ascii="Times New Roman" w:hAnsi="Times New Roman" w:eastAsia="宋体"/>
                <w:b w:val="0"/>
                <w:i w:val="0"/>
                <w:sz w:val="17"/>
              </w:rPr>
              <w:t>查询、时点、数量</w:t>
            </w:r>
          </w:p>
        </w:tc>
        <w:tc>
          <w:tcPr>
            <w:tcW w:type="dxa" w:w="1860"/>
          </w:tcPr>
          <w:p>
            <w:pPr>
              <w:spacing w:after="20" w:line="276" w:lineRule="auto"/>
            </w:pPr>
            <w:r/>
            <w:r>
              <w:rPr>
                <w:rFonts w:ascii="Consolas" w:hAnsi="Consolas" w:eastAsia="Consolas"/>
                <w:b w:val="0"/>
                <w:i w:val="0"/>
                <w:color w:val="8B1E3F"/>
                <w:sz w:val="16"/>
              </w:rPr>
              <w:t>Evidence</w:t>
            </w:r>
            <w:r>
              <w:rPr>
                <w:rFonts w:ascii="Times New Roman" w:hAnsi="Times New Roman" w:eastAsia="宋体"/>
                <w:b w:val="0"/>
                <w:i w:val="0"/>
                <w:sz w:val="17"/>
              </w:rPr>
              <w:t xml:space="preserve"> 列表</w:t>
            </w:r>
          </w:p>
        </w:tc>
        <w:tc>
          <w:tcPr>
            <w:tcW w:type="dxa" w:w="1860"/>
          </w:tcPr>
          <w:p>
            <w:pPr>
              <w:spacing w:after="20" w:line="276" w:lineRule="auto"/>
            </w:pPr>
            <w:r/>
            <w:r>
              <w:rPr>
                <w:rFonts w:ascii="Times New Roman" w:hAnsi="Times New Roman" w:eastAsia="宋体"/>
                <w:b w:val="0"/>
                <w:i w:val="0"/>
                <w:sz w:val="17"/>
              </w:rPr>
              <w:t xml:space="preserve">只返回已发布片段，必带 </w:t>
            </w:r>
            <w:r>
              <w:rPr>
                <w:rFonts w:ascii="Consolas" w:hAnsi="Consolas" w:eastAsia="Consolas"/>
                <w:b w:val="0"/>
                <w:i w:val="0"/>
                <w:color w:val="8B1E3F"/>
                <w:sz w:val="16"/>
              </w:rPr>
              <w:t>chunk_id</w:t>
            </w:r>
          </w:p>
        </w:tc>
      </w:tr>
      <w:tr>
        <w:tc>
          <w:tcPr>
            <w:tcW w:type="dxa" w:w="1860"/>
          </w:tcPr>
          <w:p>
            <w:pPr>
              <w:spacing w:after="20" w:line="276" w:lineRule="auto"/>
            </w:pPr>
            <w:r/>
            <w:r>
              <w:rPr>
                <w:rFonts w:ascii="Consolas" w:hAnsi="Consolas" w:eastAsia="Consolas"/>
                <w:b w:val="0"/>
                <w:i w:val="0"/>
                <w:color w:val="8B1E3F"/>
                <w:sz w:val="16"/>
              </w:rPr>
              <w:t>KnowledgeBase</w:t>
            </w:r>
          </w:p>
        </w:tc>
        <w:tc>
          <w:tcPr>
            <w:tcW w:type="dxa" w:w="1860"/>
          </w:tcPr>
          <w:p>
            <w:pPr>
              <w:spacing w:after="20" w:line="276" w:lineRule="auto"/>
            </w:pPr>
            <w:r/>
            <w:r>
              <w:rPr>
                <w:rFonts w:ascii="Consolas" w:hAnsi="Consolas" w:eastAsia="Consolas"/>
                <w:b w:val="0"/>
                <w:i w:val="0"/>
                <w:color w:val="8B1E3F"/>
                <w:sz w:val="16"/>
              </w:rPr>
              <w:t>count()</w:t>
            </w:r>
          </w:p>
        </w:tc>
        <w:tc>
          <w:tcPr>
            <w:tcW w:type="dxa" w:w="1860"/>
          </w:tcPr>
          <w:p>
            <w:pPr>
              <w:spacing w:after="20" w:line="276" w:lineRule="auto"/>
            </w:pPr>
            <w:r/>
            <w:r>
              <w:rPr>
                <w:rFonts w:ascii="Times New Roman" w:hAnsi="Times New Roman" w:eastAsia="宋体"/>
                <w:b w:val="0"/>
                <w:i w:val="0"/>
                <w:sz w:val="17"/>
              </w:rPr>
              <w:t>—</w:t>
            </w:r>
          </w:p>
        </w:tc>
        <w:tc>
          <w:tcPr>
            <w:tcW w:type="dxa" w:w="1860"/>
          </w:tcPr>
          <w:p>
            <w:pPr>
              <w:spacing w:after="20" w:line="276" w:lineRule="auto"/>
            </w:pPr>
            <w:r/>
            <w:r>
              <w:rPr>
                <w:rFonts w:ascii="Times New Roman" w:hAnsi="Times New Roman" w:eastAsia="宋体"/>
                <w:b w:val="0"/>
                <w:i w:val="0"/>
                <w:sz w:val="17"/>
              </w:rPr>
              <w:t>片段数</w:t>
            </w:r>
          </w:p>
        </w:tc>
        <w:tc>
          <w:tcPr>
            <w:tcW w:type="dxa" w:w="1860"/>
          </w:tcPr>
          <w:p>
            <w:pPr>
              <w:spacing w:after="20" w:line="276" w:lineRule="auto"/>
            </w:pPr>
            <w:r/>
            <w:r>
              <w:rPr>
                <w:rFonts w:ascii="Times New Roman" w:hAnsi="Times New Roman" w:eastAsia="宋体"/>
                <w:b w:val="0"/>
                <w:i w:val="0"/>
                <w:sz w:val="17"/>
              </w:rPr>
              <w:t>知识库规模</w:t>
            </w:r>
          </w:p>
        </w:tc>
      </w:tr>
      <w:tr>
        <w:tc>
          <w:tcPr>
            <w:tcW w:type="dxa" w:w="1860"/>
          </w:tcPr>
          <w:p>
            <w:pPr>
              <w:spacing w:after="20" w:line="276" w:lineRule="auto"/>
            </w:pPr>
            <w:r/>
            <w:r>
              <w:rPr>
                <w:rFonts w:ascii="Consolas" w:hAnsi="Consolas" w:eastAsia="Consolas"/>
                <w:b w:val="0"/>
                <w:i w:val="0"/>
                <w:color w:val="8B1E3F"/>
                <w:sz w:val="16"/>
              </w:rPr>
              <w:t>LLMClient</w:t>
            </w:r>
          </w:p>
        </w:tc>
        <w:tc>
          <w:tcPr>
            <w:tcW w:type="dxa" w:w="1860"/>
          </w:tcPr>
          <w:p>
            <w:pPr>
              <w:spacing w:after="20" w:line="276" w:lineRule="auto"/>
            </w:pPr>
            <w:r/>
            <w:r>
              <w:rPr>
                <w:rFonts w:ascii="Consolas" w:hAnsi="Consolas" w:eastAsia="Consolas"/>
                <w:b w:val="0"/>
                <w:i w:val="0"/>
                <w:color w:val="8B1E3F"/>
                <w:sz w:val="16"/>
              </w:rPr>
              <w:t>structured(system, user, schema, **kwargs)</w:t>
            </w:r>
          </w:p>
        </w:tc>
        <w:tc>
          <w:tcPr>
            <w:tcW w:type="dxa" w:w="1860"/>
          </w:tcPr>
          <w:p>
            <w:pPr>
              <w:spacing w:after="20" w:line="276" w:lineRule="auto"/>
            </w:pPr>
            <w:r/>
            <w:r>
              <w:rPr>
                <w:rFonts w:ascii="Times New Roman" w:hAnsi="Times New Roman" w:eastAsia="宋体"/>
                <w:b w:val="0"/>
                <w:i w:val="0"/>
                <w:sz w:val="17"/>
              </w:rPr>
              <w:t>提示、输出 schema</w:t>
            </w:r>
          </w:p>
        </w:tc>
        <w:tc>
          <w:tcPr>
            <w:tcW w:type="dxa" w:w="1860"/>
          </w:tcPr>
          <w:p>
            <w:pPr>
              <w:spacing w:after="20" w:line="276" w:lineRule="auto"/>
            </w:pPr>
            <w:r/>
            <w:r>
              <w:rPr>
                <w:rFonts w:ascii="Times New Roman" w:hAnsi="Times New Roman" w:eastAsia="宋体"/>
                <w:b w:val="0"/>
                <w:i w:val="0"/>
                <w:sz w:val="17"/>
              </w:rPr>
              <w:t>Pydantic 对象</w:t>
            </w:r>
          </w:p>
        </w:tc>
        <w:tc>
          <w:tcPr>
            <w:tcW w:type="dxa" w:w="1860"/>
          </w:tcPr>
          <w:p>
            <w:pPr>
              <w:spacing w:after="20" w:line="276" w:lineRule="auto"/>
            </w:pPr>
            <w:r/>
            <w:r>
              <w:rPr>
                <w:rFonts w:ascii="Times New Roman" w:hAnsi="Times New Roman" w:eastAsia="宋体"/>
                <w:b w:val="0"/>
                <w:i w:val="0"/>
                <w:sz w:val="17"/>
              </w:rPr>
              <w:t>强制结构化输出</w:t>
            </w:r>
          </w:p>
        </w:tc>
      </w:tr>
      <w:tr>
        <w:tc>
          <w:tcPr>
            <w:tcW w:type="dxa" w:w="1860"/>
          </w:tcPr>
          <w:p>
            <w:pPr>
              <w:spacing w:after="20" w:line="276" w:lineRule="auto"/>
            </w:pPr>
            <w:r/>
            <w:r>
              <w:rPr>
                <w:rFonts w:ascii="Consolas" w:hAnsi="Consolas" w:eastAsia="Consolas"/>
                <w:b w:val="0"/>
                <w:i w:val="0"/>
                <w:color w:val="8B1E3F"/>
                <w:sz w:val="16"/>
              </w:rPr>
              <w:t>LLMClient</w:t>
            </w:r>
          </w:p>
        </w:tc>
        <w:tc>
          <w:tcPr>
            <w:tcW w:type="dxa" w:w="1860"/>
          </w:tcPr>
          <w:p>
            <w:pPr>
              <w:spacing w:after="20" w:line="276" w:lineRule="auto"/>
            </w:pPr>
            <w:r/>
            <w:r>
              <w:rPr>
                <w:rFonts w:ascii="Consolas" w:hAnsi="Consolas" w:eastAsia="Consolas"/>
                <w:b w:val="0"/>
                <w:i w:val="0"/>
                <w:color w:val="8B1E3F"/>
                <w:sz w:val="16"/>
              </w:rPr>
              <w:t>text(system, user, **kwargs)</w:t>
            </w:r>
          </w:p>
        </w:tc>
        <w:tc>
          <w:tcPr>
            <w:tcW w:type="dxa" w:w="1860"/>
          </w:tcPr>
          <w:p>
            <w:pPr>
              <w:spacing w:after="20" w:line="276" w:lineRule="auto"/>
            </w:pPr>
            <w:r/>
            <w:r>
              <w:rPr>
                <w:rFonts w:ascii="Times New Roman" w:hAnsi="Times New Roman" w:eastAsia="宋体"/>
                <w:b w:val="0"/>
                <w:i w:val="0"/>
                <w:sz w:val="17"/>
              </w:rPr>
              <w:t>提示</w:t>
            </w:r>
          </w:p>
        </w:tc>
        <w:tc>
          <w:tcPr>
            <w:tcW w:type="dxa" w:w="1860"/>
          </w:tcPr>
          <w:p>
            <w:pPr>
              <w:spacing w:after="20" w:line="276" w:lineRule="auto"/>
            </w:pPr>
            <w:r/>
            <w:r>
              <w:rPr>
                <w:rFonts w:ascii="Times New Roman" w:hAnsi="Times New Roman" w:eastAsia="宋体"/>
                <w:b w:val="0"/>
                <w:i w:val="0"/>
                <w:sz w:val="17"/>
              </w:rPr>
              <w:t>文本</w:t>
            </w:r>
          </w:p>
        </w:tc>
        <w:tc>
          <w:tcPr>
            <w:tcW w:type="dxa" w:w="1860"/>
          </w:tcPr>
          <w:p>
            <w:pPr>
              <w:spacing w:after="20" w:line="276" w:lineRule="auto"/>
            </w:pPr>
            <w:r/>
            <w:r>
              <w:rPr>
                <w:rFonts w:ascii="Times New Roman" w:hAnsi="Times New Roman" w:eastAsia="宋体"/>
                <w:b w:val="0"/>
                <w:i w:val="0"/>
                <w:sz w:val="17"/>
              </w:rPr>
              <w:t>对话与汇总</w:t>
            </w:r>
          </w:p>
        </w:tc>
      </w:tr>
      <w:tr>
        <w:tc>
          <w:tcPr>
            <w:tcW w:type="dxa" w:w="1860"/>
          </w:tcPr>
          <w:p>
            <w:pPr>
              <w:spacing w:after="20" w:line="276" w:lineRule="auto"/>
            </w:pPr>
            <w:r/>
            <w:r>
              <w:rPr>
                <w:rFonts w:ascii="Consolas" w:hAnsi="Consolas" w:eastAsia="Consolas"/>
                <w:b w:val="0"/>
                <w:i w:val="0"/>
                <w:color w:val="8B1E3F"/>
                <w:sz w:val="16"/>
              </w:rPr>
              <w:t>Orchestrator</w:t>
            </w:r>
          </w:p>
        </w:tc>
        <w:tc>
          <w:tcPr>
            <w:tcW w:type="dxa" w:w="1860"/>
          </w:tcPr>
          <w:p>
            <w:pPr>
              <w:spacing w:after="20" w:line="276" w:lineRule="auto"/>
            </w:pPr>
            <w:r/>
            <w:r>
              <w:rPr>
                <w:rFonts w:ascii="Consolas" w:hAnsi="Consolas" w:eastAsia="Consolas"/>
                <w:b w:val="0"/>
                <w:i w:val="0"/>
                <w:color w:val="8B1E3F"/>
                <w:sz w:val="16"/>
              </w:rPr>
              <w:t>run(as_of, mode, scenario)</w:t>
            </w:r>
          </w:p>
        </w:tc>
        <w:tc>
          <w:tcPr>
            <w:tcW w:type="dxa" w:w="1860"/>
          </w:tcPr>
          <w:p>
            <w:pPr>
              <w:spacing w:after="20" w:line="276" w:lineRule="auto"/>
            </w:pPr>
            <w:r/>
            <w:r>
              <w:rPr>
                <w:rFonts w:ascii="Times New Roman" w:hAnsi="Times New Roman" w:eastAsia="宋体"/>
                <w:b w:val="0"/>
                <w:i w:val="0"/>
                <w:sz w:val="17"/>
              </w:rPr>
              <w:t>时点、模式、情景</w:t>
            </w:r>
          </w:p>
        </w:tc>
        <w:tc>
          <w:tcPr>
            <w:tcW w:type="dxa" w:w="1860"/>
          </w:tcPr>
          <w:p>
            <w:pPr>
              <w:spacing w:after="20" w:line="276" w:lineRule="auto"/>
            </w:pPr>
            <w:r/>
            <w:r>
              <w:rPr>
                <w:rFonts w:ascii="Consolas" w:hAnsi="Consolas" w:eastAsia="Consolas"/>
                <w:b w:val="0"/>
                <w:i w:val="0"/>
                <w:color w:val="8B1E3F"/>
                <w:sz w:val="16"/>
              </w:rPr>
              <w:t>DecisionCard</w:t>
            </w:r>
          </w:p>
        </w:tc>
        <w:tc>
          <w:tcPr>
            <w:tcW w:type="dxa" w:w="1860"/>
          </w:tcPr>
          <w:p>
            <w:pPr>
              <w:spacing w:after="20" w:line="276" w:lineRule="auto"/>
            </w:pPr>
            <w:r/>
            <w:r>
              <w:rPr>
                <w:rFonts w:ascii="Times New Roman" w:hAnsi="Times New Roman" w:eastAsia="宋体"/>
                <w:b w:val="0"/>
                <w:i w:val="0"/>
                <w:sz w:val="17"/>
              </w:rPr>
              <w:t>同步执行一次预警</w:t>
            </w:r>
          </w:p>
        </w:tc>
      </w:tr>
      <w:tr>
        <w:tc>
          <w:tcPr>
            <w:tcW w:type="dxa" w:w="1860"/>
          </w:tcPr>
          <w:p>
            <w:pPr>
              <w:spacing w:after="20" w:line="276" w:lineRule="auto"/>
            </w:pPr>
            <w:r/>
            <w:r>
              <w:rPr>
                <w:rFonts w:ascii="Consolas" w:hAnsi="Consolas" w:eastAsia="Consolas"/>
                <w:b w:val="0"/>
                <w:i w:val="0"/>
                <w:color w:val="8B1E3F"/>
                <w:sz w:val="16"/>
              </w:rPr>
              <w:t>Orchestrator</w:t>
            </w:r>
          </w:p>
        </w:tc>
        <w:tc>
          <w:tcPr>
            <w:tcW w:type="dxa" w:w="1860"/>
          </w:tcPr>
          <w:p>
            <w:pPr>
              <w:spacing w:after="20" w:line="276" w:lineRule="auto"/>
            </w:pPr>
            <w:r/>
            <w:r>
              <w:rPr>
                <w:rFonts w:ascii="Consolas" w:hAnsi="Consolas" w:eastAsia="Consolas"/>
                <w:b w:val="0"/>
                <w:i w:val="0"/>
                <w:color w:val="8B1E3F"/>
                <w:sz w:val="16"/>
              </w:rPr>
              <w:t>chat(request)</w:t>
            </w:r>
          </w:p>
        </w:tc>
        <w:tc>
          <w:tcPr>
            <w:tcW w:type="dxa" w:w="1860"/>
          </w:tcPr>
          <w:p>
            <w:pPr>
              <w:spacing w:after="20" w:line="276" w:lineRule="auto"/>
            </w:pPr>
            <w:r/>
            <w:r>
              <w:rPr>
                <w:rFonts w:ascii="Consolas" w:hAnsi="Consolas" w:eastAsia="Consolas"/>
                <w:b w:val="0"/>
                <w:i w:val="0"/>
                <w:color w:val="8B1E3F"/>
                <w:sz w:val="16"/>
              </w:rPr>
              <w:t>ChatRequest</w:t>
            </w:r>
          </w:p>
        </w:tc>
        <w:tc>
          <w:tcPr>
            <w:tcW w:type="dxa" w:w="1860"/>
          </w:tcPr>
          <w:p>
            <w:pPr>
              <w:spacing w:after="20" w:line="276" w:lineRule="auto"/>
            </w:pPr>
            <w:r/>
            <w:r>
              <w:rPr>
                <w:rFonts w:ascii="Consolas" w:hAnsi="Consolas" w:eastAsia="Consolas"/>
                <w:b w:val="0"/>
                <w:i w:val="0"/>
                <w:color w:val="8B1E3F"/>
                <w:sz w:val="16"/>
              </w:rPr>
              <w:t>ChatResponse</w:t>
            </w:r>
          </w:p>
        </w:tc>
        <w:tc>
          <w:tcPr>
            <w:tcW w:type="dxa" w:w="1860"/>
          </w:tcPr>
          <w:p>
            <w:pPr>
              <w:spacing w:after="20" w:line="276" w:lineRule="auto"/>
            </w:pPr>
            <w:r/>
            <w:r>
              <w:rPr>
                <w:rFonts w:ascii="Times New Roman" w:hAnsi="Times New Roman" w:eastAsia="宋体"/>
                <w:b w:val="0"/>
                <w:i w:val="0"/>
                <w:sz w:val="17"/>
              </w:rPr>
              <w:t>对话入口</w:t>
            </w:r>
          </w:p>
        </w:tc>
      </w:tr>
      <w:tr>
        <w:tc>
          <w:tcPr>
            <w:tcW w:type="dxa" w:w="1860"/>
          </w:tcPr>
          <w:p>
            <w:pPr>
              <w:spacing w:after="20" w:line="276" w:lineRule="auto"/>
            </w:pPr>
            <w:r/>
            <w:r>
              <w:rPr>
                <w:rFonts w:ascii="Consolas" w:hAnsi="Consolas" w:eastAsia="Consolas"/>
                <w:b w:val="0"/>
                <w:i w:val="0"/>
                <w:color w:val="8B1E3F"/>
                <w:sz w:val="16"/>
              </w:rPr>
              <w:t>RoleRegistry</w:t>
            </w:r>
          </w:p>
        </w:tc>
        <w:tc>
          <w:tcPr>
            <w:tcW w:type="dxa" w:w="1860"/>
          </w:tcPr>
          <w:p>
            <w:pPr>
              <w:spacing w:after="20" w:line="276" w:lineRule="auto"/>
            </w:pPr>
            <w:r/>
            <w:r>
              <w:rPr>
                <w:rFonts w:ascii="Consolas" w:hAnsi="Consolas" w:eastAsia="Consolas"/>
                <w:b w:val="0"/>
                <w:i w:val="0"/>
                <w:color w:val="8B1E3F"/>
                <w:sz w:val="16"/>
              </w:rPr>
              <w:t>get(role)</w:t>
            </w:r>
            <w:r>
              <w:rPr>
                <w:rFonts w:ascii="Times New Roman" w:hAnsi="Times New Roman" w:eastAsia="宋体"/>
                <w:b w:val="0"/>
                <w:i w:val="0"/>
                <w:sz w:val="17"/>
              </w:rPr>
              <w:t>、</w:t>
            </w:r>
            <w:r>
              <w:rPr>
                <w:rFonts w:ascii="Consolas" w:hAnsi="Consolas" w:eastAsia="Consolas"/>
                <w:b w:val="0"/>
                <w:i w:val="0"/>
                <w:color w:val="8B1E3F"/>
                <w:sz w:val="16"/>
              </w:rPr>
              <w:t>all()</w:t>
            </w:r>
          </w:p>
        </w:tc>
        <w:tc>
          <w:tcPr>
            <w:tcW w:type="dxa" w:w="1860"/>
          </w:tcPr>
          <w:p>
            <w:pPr>
              <w:spacing w:after="20" w:line="276" w:lineRule="auto"/>
            </w:pPr>
            <w:r/>
            <w:r>
              <w:rPr>
                <w:rFonts w:ascii="Times New Roman" w:hAnsi="Times New Roman" w:eastAsia="宋体"/>
                <w:b w:val="0"/>
                <w:i w:val="0"/>
                <w:sz w:val="17"/>
              </w:rPr>
              <w:t>角色或空</w:t>
            </w:r>
          </w:p>
        </w:tc>
        <w:tc>
          <w:tcPr>
            <w:tcW w:type="dxa" w:w="1860"/>
          </w:tcPr>
          <w:p>
            <w:pPr>
              <w:spacing w:after="20" w:line="276" w:lineRule="auto"/>
            </w:pPr>
            <w:r/>
            <w:r>
              <w:rPr>
                <w:rFonts w:ascii="Consolas" w:hAnsi="Consolas" w:eastAsia="Consolas"/>
                <w:b w:val="0"/>
                <w:i w:val="0"/>
                <w:color w:val="8B1E3F"/>
                <w:sz w:val="16"/>
              </w:rPr>
              <w:t>RoleSpec</w:t>
            </w:r>
            <w:r>
              <w:rPr>
                <w:rFonts w:ascii="Times New Roman" w:hAnsi="Times New Roman" w:eastAsia="宋体"/>
                <w:b w:val="0"/>
                <w:i w:val="0"/>
                <w:sz w:val="17"/>
              </w:rPr>
              <w:t xml:space="preserve"> / 列表</w:t>
            </w:r>
          </w:p>
        </w:tc>
        <w:tc>
          <w:tcPr>
            <w:tcW w:type="dxa" w:w="1860"/>
          </w:tcPr>
          <w:p>
            <w:pPr>
              <w:spacing w:after="20" w:line="276" w:lineRule="auto"/>
            </w:pPr>
            <w:r/>
            <w:r>
              <w:rPr>
                <w:rFonts w:ascii="Times New Roman" w:hAnsi="Times New Roman" w:eastAsia="宋体"/>
                <w:b w:val="0"/>
                <w:i w:val="0"/>
                <w:sz w:val="17"/>
              </w:rPr>
              <w:t xml:space="preserve">实现为 </w:t>
            </w:r>
            <w:r>
              <w:rPr>
                <w:rFonts w:ascii="Consolas" w:hAnsi="Consolas" w:eastAsia="Consolas"/>
                <w:b w:val="0"/>
                <w:i w:val="0"/>
                <w:color w:val="8B1E3F"/>
                <w:sz w:val="16"/>
              </w:rPr>
              <w:t>config.RoleRegistryImpl</w:t>
            </w:r>
            <w:r>
              <w:rPr>
                <w:rFonts w:ascii="Times New Roman" w:hAnsi="Times New Roman" w:eastAsia="宋体"/>
                <w:b w:val="0"/>
                <w:i w:val="0"/>
                <w:sz w:val="17"/>
              </w:rPr>
              <w:t xml:space="preserve">，由 </w:t>
            </w:r>
            <w:r>
              <w:rPr>
                <w:rFonts w:ascii="Consolas" w:hAnsi="Consolas" w:eastAsia="Consolas"/>
                <w:b w:val="0"/>
                <w:i w:val="0"/>
                <w:color w:val="8B1E3F"/>
                <w:sz w:val="16"/>
              </w:rPr>
              <w:t>load_role_registry()</w:t>
            </w:r>
            <w:r>
              <w:rPr>
                <w:rFonts w:ascii="Times New Roman" w:hAnsi="Times New Roman" w:eastAsia="宋体"/>
                <w:b w:val="0"/>
                <w:i w:val="0"/>
                <w:sz w:val="17"/>
              </w:rPr>
              <w:t xml:space="preserve"> 加载 </w:t>
            </w:r>
            <w:r>
              <w:rPr>
                <w:rFonts w:ascii="Consolas" w:hAnsi="Consolas" w:eastAsia="Consolas"/>
                <w:b w:val="0"/>
                <w:i w:val="0"/>
                <w:color w:val="8B1E3F"/>
                <w:sz w:val="16"/>
              </w:rPr>
              <w:t>configs/roles.yaml</w:t>
            </w:r>
          </w:p>
        </w:tc>
      </w:tr>
      <w:tr>
        <w:tc>
          <w:tcPr>
            <w:tcW w:type="dxa" w:w="1860"/>
          </w:tcPr>
          <w:p>
            <w:pPr>
              <w:spacing w:after="20" w:line="276" w:lineRule="auto"/>
            </w:pPr>
            <w:r/>
            <w:r>
              <w:rPr>
                <w:rFonts w:ascii="Consolas" w:hAnsi="Consolas" w:eastAsia="Consolas"/>
                <w:b w:val="0"/>
                <w:i w:val="0"/>
                <w:color w:val="8B1E3F"/>
                <w:sz w:val="16"/>
              </w:rPr>
              <w:t>Orchestrator</w:t>
            </w:r>
          </w:p>
        </w:tc>
        <w:tc>
          <w:tcPr>
            <w:tcW w:type="dxa" w:w="1860"/>
          </w:tcPr>
          <w:p>
            <w:pPr>
              <w:spacing w:after="20" w:line="276" w:lineRule="auto"/>
            </w:pPr>
            <w:r/>
            <w:r>
              <w:rPr>
                <w:rFonts w:ascii="Consolas" w:hAnsi="Consolas" w:eastAsia="Consolas"/>
                <w:b w:val="0"/>
                <w:i w:val="0"/>
                <w:color w:val="8B1E3F"/>
                <w:sz w:val="16"/>
              </w:rPr>
              <w:t>get_evidence(evidence_id)</w:t>
            </w:r>
            <w:r>
              <w:rPr>
                <w:rFonts w:ascii="Times New Roman" w:hAnsi="Times New Roman" w:eastAsia="宋体"/>
                <w:b w:val="0"/>
                <w:i w:val="0"/>
                <w:sz w:val="17"/>
              </w:rPr>
              <w:t>、</w:t>
            </w:r>
            <w:r>
              <w:rPr>
                <w:rFonts w:ascii="Consolas" w:hAnsi="Consolas" w:eastAsia="Consolas"/>
                <w:b w:val="0"/>
                <w:i w:val="0"/>
                <w:color w:val="8B1E3F"/>
                <w:sz w:val="16"/>
              </w:rPr>
              <w:t>get_trace(run_id)</w:t>
            </w:r>
          </w:p>
        </w:tc>
        <w:tc>
          <w:tcPr>
            <w:tcW w:type="dxa" w:w="1860"/>
          </w:tcPr>
          <w:p>
            <w:pPr>
              <w:spacing w:after="20" w:line="276" w:lineRule="auto"/>
            </w:pPr>
            <w:r/>
            <w:r>
              <w:rPr>
                <w:rFonts w:ascii="Times New Roman" w:hAnsi="Times New Roman" w:eastAsia="宋体"/>
                <w:b w:val="0"/>
                <w:i w:val="0"/>
                <w:sz w:val="17"/>
              </w:rPr>
              <w:t>证据 id / run_id</w:t>
            </w:r>
          </w:p>
        </w:tc>
        <w:tc>
          <w:tcPr>
            <w:tcW w:type="dxa" w:w="1860"/>
          </w:tcPr>
          <w:p>
            <w:pPr>
              <w:spacing w:after="20" w:line="276" w:lineRule="auto"/>
            </w:pPr>
            <w:r/>
            <w:r>
              <w:rPr>
                <w:rFonts w:ascii="Consolas" w:hAnsi="Consolas" w:eastAsia="Consolas"/>
                <w:b w:val="0"/>
                <w:i w:val="0"/>
                <w:color w:val="8B1E3F"/>
                <w:sz w:val="16"/>
              </w:rPr>
              <w:t>Evidence</w:t>
            </w:r>
            <w:r>
              <w:rPr>
                <w:rFonts w:ascii="Times New Roman" w:hAnsi="Times New Roman" w:eastAsia="宋体"/>
                <w:b w:val="0"/>
                <w:i w:val="0"/>
                <w:sz w:val="17"/>
              </w:rPr>
              <w:t xml:space="preserve"> / </w:t>
            </w:r>
            <w:r>
              <w:rPr>
                <w:rFonts w:ascii="Consolas" w:hAnsi="Consolas" w:eastAsia="Consolas"/>
                <w:b w:val="0"/>
                <w:i w:val="0"/>
                <w:color w:val="8B1E3F"/>
                <w:sz w:val="16"/>
              </w:rPr>
              <w:t>TraceEvent</w:t>
            </w:r>
            <w:r>
              <w:rPr>
                <w:rFonts w:ascii="Times New Roman" w:hAnsi="Times New Roman" w:eastAsia="宋体"/>
                <w:b w:val="0"/>
                <w:i w:val="0"/>
                <w:sz w:val="17"/>
              </w:rPr>
              <w:t xml:space="preserve"> 列表</w:t>
            </w:r>
          </w:p>
        </w:tc>
        <w:tc>
          <w:tcPr>
            <w:tcW w:type="dxa" w:w="1860"/>
          </w:tcPr>
          <w:p>
            <w:pPr>
              <w:spacing w:after="20" w:line="276" w:lineRule="auto"/>
            </w:pPr>
            <w:r/>
            <w:r>
              <w:rPr>
                <w:rFonts w:ascii="Times New Roman" w:hAnsi="Times New Roman" w:eastAsia="宋体"/>
                <w:b w:val="0"/>
                <w:i w:val="0"/>
                <w:sz w:val="17"/>
              </w:rPr>
              <w:t>只读复核接口，供 UI/API 审计复用</w:t>
            </w:r>
          </w:p>
        </w:tc>
      </w:tr>
    </w:tbl>
    <w:p>
      <w:pPr>
        <w:spacing w:after="40"/>
      </w:pPr>
    </w:p>
    <w:p>
      <w:pPr>
        <w:pStyle w:val="Heading3"/>
      </w:pPr>
      <w:r>
        <w:rPr>
          <w:rFonts w:ascii="Times New Roman" w:hAnsi="Times New Roman" w:eastAsia="宋体"/>
          <w:b w:val="0"/>
          <w:i w:val="0"/>
          <w:sz w:val="23"/>
        </w:rPr>
        <w:t>附录 A.2 HTTP API 端点</w:t>
      </w:r>
    </w:p>
    <w:p>
      <w:r>
        <w:rPr>
          <w:rFonts w:ascii="Times New Roman" w:hAnsi="Times New Roman" w:eastAsia="宋体"/>
          <w:b w:val="0"/>
          <w:i w:val="0"/>
          <w:sz w:val="21"/>
        </w:rPr>
        <w:t xml:space="preserve">决策支持层对外提供以下接口（FastAPI 实现见 </w:t>
      </w:r>
      <w:r>
        <w:rPr>
          <w:rFonts w:ascii="Consolas" w:hAnsi="Consolas" w:eastAsia="Consolas"/>
          <w:b w:val="0"/>
          <w:i w:val="0"/>
          <w:color w:val="8B1E3F"/>
          <w:sz w:val="20"/>
        </w:rPr>
        <w:t>src/cbr/api/main.py</w:t>
      </w:r>
      <w:r>
        <w:rPr>
          <w:rFonts w:ascii="Times New Roman" w:hAnsi="Times New Roman" w:eastAsia="宋体"/>
          <w:b w:val="0"/>
          <w:i w:val="0"/>
          <w:sz w:val="21"/>
        </w:rPr>
        <w:t xml:space="preserve"> 与 </w:t>
      </w:r>
      <w:r>
        <w:rPr>
          <w:rFonts w:ascii="Consolas" w:hAnsi="Consolas" w:eastAsia="Consolas"/>
          <w:b w:val="0"/>
          <w:i w:val="0"/>
          <w:color w:val="8B1E3F"/>
          <w:sz w:val="20"/>
        </w:rPr>
        <w:t>src/cbr/api/streaming.py</w:t>
      </w:r>
      <w:r>
        <w:rPr>
          <w:rFonts w:ascii="Times New Roman" w:hAnsi="Times New Roman" w:eastAsia="宋体"/>
          <w:b w:val="0"/>
          <w:i w:val="0"/>
          <w:sz w:val="21"/>
        </w:rPr>
        <w:t>）：</w:t>
      </w:r>
    </w:p>
    <w:p>
      <w:r>
        <w:rPr>
          <w:rFonts w:ascii="Times New Roman" w:hAnsi="Times New Roman" w:eastAsia="宋体"/>
          <w:b w:val="0"/>
          <w:i w:val="0"/>
          <w:sz w:val="21"/>
        </w:rPr>
        <w:t>表 A-2 HTTP API 端点</w:t>
      </w:r>
    </w:p>
    <w:tbl>
      <w:tblPr>
        <w:tblStyle w:val="TableGrid"/>
        <w:tblW w:type="auto" w:w="0"/>
        <w:jc w:val="center"/>
        <w:tblLayout w:type="autofit"/>
        <w:tblLook w:firstColumn="1" w:firstRow="1" w:lastColumn="0" w:lastRow="0" w:noHBand="0" w:noVBand="1" w:val="04A0"/>
      </w:tblPr>
      <w:tblGrid>
        <w:gridCol w:w="1860"/>
        <w:gridCol w:w="1860"/>
        <w:gridCol w:w="1860"/>
        <w:gridCol w:w="1860"/>
        <w:gridCol w:w="1860"/>
      </w:tblGrid>
      <w:tr>
        <w:tc>
          <w:tcPr>
            <w:tcW w:type="dxa" w:w="1860"/>
          </w:tcPr>
          <w:p>
            <w:pPr>
              <w:spacing w:after="20" w:line="276" w:lineRule="auto"/>
            </w:pPr>
            <w:r>
              <w:rPr>
                <w:b/>
              </w:rPr>
            </w:r>
            <w:r>
              <w:rPr>
                <w:rFonts w:ascii="Times New Roman" w:hAnsi="Times New Roman" w:eastAsia="宋体"/>
                <w:b/>
                <w:i w:val="0"/>
                <w:sz w:val="17"/>
              </w:rPr>
              <w:t>方法</w:t>
            </w:r>
          </w:p>
        </w:tc>
        <w:tc>
          <w:tcPr>
            <w:tcW w:type="dxa" w:w="1860"/>
          </w:tcPr>
          <w:p>
            <w:pPr>
              <w:spacing w:after="20" w:line="276" w:lineRule="auto"/>
            </w:pPr>
            <w:r>
              <w:rPr>
                <w:b/>
              </w:rPr>
            </w:r>
            <w:r>
              <w:rPr>
                <w:rFonts w:ascii="Times New Roman" w:hAnsi="Times New Roman" w:eastAsia="宋体"/>
                <w:b/>
                <w:i w:val="0"/>
                <w:sz w:val="17"/>
              </w:rPr>
              <w:t>端点</w:t>
            </w:r>
          </w:p>
        </w:tc>
        <w:tc>
          <w:tcPr>
            <w:tcW w:type="dxa" w:w="1860"/>
          </w:tcPr>
          <w:p>
            <w:pPr>
              <w:spacing w:after="20" w:line="276" w:lineRule="auto"/>
            </w:pPr>
            <w:r>
              <w:rPr>
                <w:b/>
              </w:rPr>
            </w:r>
            <w:r>
              <w:rPr>
                <w:rFonts w:ascii="Times New Roman" w:hAnsi="Times New Roman" w:eastAsia="宋体"/>
                <w:b/>
                <w:i w:val="0"/>
                <w:sz w:val="17"/>
              </w:rPr>
              <w:t>输入</w:t>
            </w:r>
          </w:p>
        </w:tc>
        <w:tc>
          <w:tcPr>
            <w:tcW w:type="dxa" w:w="1860"/>
          </w:tcPr>
          <w:p>
            <w:pPr>
              <w:spacing w:after="20" w:line="276" w:lineRule="auto"/>
            </w:pPr>
            <w:r>
              <w:rPr>
                <w:b/>
              </w:rPr>
            </w:r>
            <w:r>
              <w:rPr>
                <w:rFonts w:ascii="Times New Roman" w:hAnsi="Times New Roman" w:eastAsia="宋体"/>
                <w:b/>
                <w:i w:val="0"/>
                <w:sz w:val="17"/>
              </w:rPr>
              <w:t>输出</w:t>
            </w:r>
          </w:p>
        </w:tc>
        <w:tc>
          <w:tcPr>
            <w:tcW w:type="dxa" w:w="1860"/>
          </w:tcPr>
          <w:p>
            <w:pPr>
              <w:spacing w:after="20" w:line="276" w:lineRule="auto"/>
            </w:pPr>
            <w:r>
              <w:rPr>
                <w:b/>
              </w:rPr>
            </w:r>
            <w:r>
              <w:rPr>
                <w:rFonts w:ascii="Times New Roman" w:hAnsi="Times New Roman" w:eastAsia="宋体"/>
                <w:b/>
                <w:i w:val="0"/>
                <w:sz w:val="17"/>
              </w:rPr>
              <w:t>用途</w:t>
            </w:r>
          </w:p>
        </w:tc>
      </w:tr>
      <w:tr>
        <w:tc>
          <w:tcPr>
            <w:tcW w:type="dxa" w:w="1860"/>
          </w:tcPr>
          <w:p>
            <w:pPr>
              <w:spacing w:after="20" w:line="276" w:lineRule="auto"/>
            </w:pPr>
            <w:r/>
            <w:r>
              <w:rPr>
                <w:rFonts w:ascii="Times New Roman" w:hAnsi="Times New Roman" w:eastAsia="宋体"/>
                <w:b w:val="0"/>
                <w:i w:val="0"/>
                <w:sz w:val="17"/>
              </w:rPr>
              <w:t>GET</w:t>
            </w:r>
          </w:p>
        </w:tc>
        <w:tc>
          <w:tcPr>
            <w:tcW w:type="dxa" w:w="1860"/>
          </w:tcPr>
          <w:p>
            <w:pPr>
              <w:spacing w:after="20" w:line="276" w:lineRule="auto"/>
            </w:pPr>
            <w:r/>
            <w:r>
              <w:rPr>
                <w:rFonts w:ascii="Consolas" w:hAnsi="Consolas" w:eastAsia="Consolas"/>
                <w:b w:val="0"/>
                <w:i w:val="0"/>
                <w:color w:val="8B1E3F"/>
                <w:sz w:val="16"/>
              </w:rPr>
              <w:t>/api/decision</w:t>
            </w:r>
          </w:p>
        </w:tc>
        <w:tc>
          <w:tcPr>
            <w:tcW w:type="dxa" w:w="1860"/>
          </w:tcPr>
          <w:p>
            <w:pPr>
              <w:spacing w:after="20" w:line="276" w:lineRule="auto"/>
            </w:pPr>
            <w:r/>
            <w:r>
              <w:rPr>
                <w:rFonts w:ascii="Consolas" w:hAnsi="Consolas" w:eastAsia="Consolas"/>
                <w:b w:val="0"/>
                <w:i w:val="0"/>
                <w:color w:val="8B1E3F"/>
                <w:sz w:val="16"/>
              </w:rPr>
              <w:t>as_of</w:t>
            </w:r>
            <w:r>
              <w:rPr>
                <w:rFonts w:ascii="Times New Roman" w:hAnsi="Times New Roman" w:eastAsia="宋体"/>
                <w:b w:val="0"/>
                <w:i w:val="0"/>
                <w:sz w:val="17"/>
              </w:rPr>
              <w:t>、</w:t>
            </w:r>
            <w:r>
              <w:rPr>
                <w:rFonts w:ascii="Consolas" w:hAnsi="Consolas" w:eastAsia="Consolas"/>
                <w:b w:val="0"/>
                <w:i w:val="0"/>
                <w:color w:val="8B1E3F"/>
                <w:sz w:val="16"/>
              </w:rPr>
              <w:t>scenario</w:t>
            </w:r>
            <w:r>
              <w:rPr>
                <w:rFonts w:ascii="Times New Roman" w:hAnsi="Times New Roman" w:eastAsia="宋体"/>
                <w:b w:val="0"/>
                <w:i w:val="0"/>
                <w:sz w:val="17"/>
              </w:rPr>
              <w:t>、</w:t>
            </w:r>
            <w:r>
              <w:rPr>
                <w:rFonts w:ascii="Consolas" w:hAnsi="Consolas" w:eastAsia="Consolas"/>
                <w:b w:val="0"/>
                <w:i w:val="0"/>
                <w:color w:val="8B1E3F"/>
                <w:sz w:val="16"/>
              </w:rPr>
              <w:t>mode</w:t>
            </w:r>
          </w:p>
        </w:tc>
        <w:tc>
          <w:tcPr>
            <w:tcW w:type="dxa" w:w="1860"/>
          </w:tcPr>
          <w:p>
            <w:pPr>
              <w:spacing w:after="20" w:line="276" w:lineRule="auto"/>
            </w:pPr>
            <w:r/>
            <w:r>
              <w:rPr>
                <w:rFonts w:ascii="Consolas" w:hAnsi="Consolas" w:eastAsia="Consolas"/>
                <w:b w:val="0"/>
                <w:i w:val="0"/>
                <w:color w:val="8B1E3F"/>
                <w:sz w:val="16"/>
              </w:rPr>
              <w:t>DecisionCard</w:t>
            </w:r>
          </w:p>
        </w:tc>
        <w:tc>
          <w:tcPr>
            <w:tcW w:type="dxa" w:w="1860"/>
          </w:tcPr>
          <w:p>
            <w:pPr>
              <w:spacing w:after="20" w:line="276" w:lineRule="auto"/>
            </w:pPr>
            <w:r/>
            <w:r>
              <w:rPr>
                <w:rFonts w:ascii="Times New Roman" w:hAnsi="Times New Roman" w:eastAsia="宋体"/>
                <w:b w:val="0"/>
                <w:i w:val="0"/>
                <w:sz w:val="17"/>
              </w:rPr>
              <w:t>生成一次多智能体预警决策</w:t>
            </w:r>
          </w:p>
        </w:tc>
      </w:tr>
      <w:tr>
        <w:tc>
          <w:tcPr>
            <w:tcW w:type="dxa" w:w="1860"/>
          </w:tcPr>
          <w:p>
            <w:pPr>
              <w:spacing w:after="20" w:line="276" w:lineRule="auto"/>
            </w:pPr>
            <w:r/>
            <w:r>
              <w:rPr>
                <w:rFonts w:ascii="Times New Roman" w:hAnsi="Times New Roman" w:eastAsia="宋体"/>
                <w:b w:val="0"/>
                <w:i w:val="0"/>
                <w:sz w:val="17"/>
              </w:rPr>
              <w:t>GET</w:t>
            </w:r>
          </w:p>
        </w:tc>
        <w:tc>
          <w:tcPr>
            <w:tcW w:type="dxa" w:w="1860"/>
          </w:tcPr>
          <w:p>
            <w:pPr>
              <w:spacing w:after="20" w:line="276" w:lineRule="auto"/>
            </w:pPr>
            <w:r/>
            <w:r>
              <w:rPr>
                <w:rFonts w:ascii="Consolas" w:hAnsi="Consolas" w:eastAsia="Consolas"/>
                <w:b w:val="0"/>
                <w:i w:val="0"/>
                <w:color w:val="8B1E3F"/>
                <w:sz w:val="16"/>
              </w:rPr>
              <w:t>/api/decision/stream</w:t>
            </w:r>
          </w:p>
        </w:tc>
        <w:tc>
          <w:tcPr>
            <w:tcW w:type="dxa" w:w="1860"/>
          </w:tcPr>
          <w:p>
            <w:pPr>
              <w:spacing w:after="20" w:line="276" w:lineRule="auto"/>
            </w:pPr>
            <w:r/>
            <w:r>
              <w:rPr>
                <w:rFonts w:ascii="Times New Roman" w:hAnsi="Times New Roman" w:eastAsia="宋体"/>
                <w:b w:val="0"/>
                <w:i w:val="0"/>
                <w:sz w:val="17"/>
              </w:rPr>
              <w:t>同上</w:t>
            </w:r>
          </w:p>
        </w:tc>
        <w:tc>
          <w:tcPr>
            <w:tcW w:type="dxa" w:w="1860"/>
          </w:tcPr>
          <w:p>
            <w:pPr>
              <w:spacing w:after="20" w:line="276" w:lineRule="auto"/>
            </w:pPr>
            <w:r/>
            <w:r>
              <w:rPr>
                <w:rFonts w:ascii="Times New Roman" w:hAnsi="Times New Roman" w:eastAsia="宋体"/>
                <w:b w:val="0"/>
                <w:i w:val="0"/>
                <w:sz w:val="17"/>
              </w:rPr>
              <w:t>SSE：</w:t>
            </w:r>
            <w:r>
              <w:rPr>
                <w:rFonts w:ascii="Consolas" w:hAnsi="Consolas" w:eastAsia="Consolas"/>
                <w:b w:val="0"/>
                <w:i w:val="0"/>
                <w:color w:val="8B1E3F"/>
                <w:sz w:val="16"/>
              </w:rPr>
              <w:t>run/stage/trace/decision/error</w:t>
            </w:r>
          </w:p>
        </w:tc>
        <w:tc>
          <w:tcPr>
            <w:tcW w:type="dxa" w:w="1860"/>
          </w:tcPr>
          <w:p>
            <w:pPr>
              <w:spacing w:after="20" w:line="276" w:lineRule="auto"/>
            </w:pPr>
            <w:r/>
            <w:r>
              <w:rPr>
                <w:rFonts w:ascii="Times New Roman" w:hAnsi="Times New Roman" w:eastAsia="宋体"/>
                <w:b w:val="0"/>
                <w:i w:val="0"/>
                <w:sz w:val="17"/>
              </w:rPr>
              <w:t>流式生成决策（实时阶段与审计事件，供 AI-native 驾驶台）</w:t>
            </w:r>
          </w:p>
        </w:tc>
      </w:tr>
      <w:tr>
        <w:tc>
          <w:tcPr>
            <w:tcW w:type="dxa" w:w="1860"/>
          </w:tcPr>
          <w:p>
            <w:pPr>
              <w:spacing w:after="20" w:line="276" w:lineRule="auto"/>
            </w:pPr>
            <w:r/>
            <w:r>
              <w:rPr>
                <w:rFonts w:ascii="Times New Roman" w:hAnsi="Times New Roman" w:eastAsia="宋体"/>
                <w:b w:val="0"/>
                <w:i w:val="0"/>
                <w:sz w:val="17"/>
              </w:rPr>
              <w:t>POST</w:t>
            </w:r>
          </w:p>
        </w:tc>
        <w:tc>
          <w:tcPr>
            <w:tcW w:type="dxa" w:w="1860"/>
          </w:tcPr>
          <w:p>
            <w:pPr>
              <w:spacing w:after="20" w:line="276" w:lineRule="auto"/>
            </w:pPr>
            <w:r/>
            <w:r>
              <w:rPr>
                <w:rFonts w:ascii="Consolas" w:hAnsi="Consolas" w:eastAsia="Consolas"/>
                <w:b w:val="0"/>
                <w:i w:val="0"/>
                <w:color w:val="8B1E3F"/>
                <w:sz w:val="16"/>
              </w:rPr>
              <w:t>/api/chat</w:t>
            </w:r>
          </w:p>
        </w:tc>
        <w:tc>
          <w:tcPr>
            <w:tcW w:type="dxa" w:w="1860"/>
          </w:tcPr>
          <w:p>
            <w:pPr>
              <w:spacing w:after="20" w:line="276" w:lineRule="auto"/>
            </w:pPr>
            <w:r/>
            <w:r>
              <w:rPr>
                <w:rFonts w:ascii="Consolas" w:hAnsi="Consolas" w:eastAsia="Consolas"/>
                <w:b w:val="0"/>
                <w:i w:val="0"/>
                <w:color w:val="8B1E3F"/>
                <w:sz w:val="16"/>
              </w:rPr>
              <w:t>ChatRequest</w:t>
            </w:r>
          </w:p>
        </w:tc>
        <w:tc>
          <w:tcPr>
            <w:tcW w:type="dxa" w:w="1860"/>
          </w:tcPr>
          <w:p>
            <w:pPr>
              <w:spacing w:after="20" w:line="276" w:lineRule="auto"/>
            </w:pPr>
            <w:r/>
            <w:r>
              <w:rPr>
                <w:rFonts w:ascii="Consolas" w:hAnsi="Consolas" w:eastAsia="Consolas"/>
                <w:b w:val="0"/>
                <w:i w:val="0"/>
                <w:color w:val="8B1E3F"/>
                <w:sz w:val="16"/>
              </w:rPr>
              <w:t>ChatResponse</w:t>
            </w:r>
          </w:p>
        </w:tc>
        <w:tc>
          <w:tcPr>
            <w:tcW w:type="dxa" w:w="1860"/>
          </w:tcPr>
          <w:p>
            <w:pPr>
              <w:spacing w:after="20" w:line="276" w:lineRule="auto"/>
            </w:pPr>
            <w:r/>
            <w:r>
              <w:rPr>
                <w:rFonts w:ascii="Times New Roman" w:hAnsi="Times New Roman" w:eastAsia="宋体"/>
                <w:b w:val="0"/>
                <w:i w:val="0"/>
                <w:sz w:val="17"/>
              </w:rPr>
              <w:t>自然语言问答（可携带决策卡）</w:t>
            </w:r>
          </w:p>
        </w:tc>
      </w:tr>
      <w:tr>
        <w:tc>
          <w:tcPr>
            <w:tcW w:type="dxa" w:w="1860"/>
          </w:tcPr>
          <w:p>
            <w:pPr>
              <w:spacing w:after="20" w:line="276" w:lineRule="auto"/>
            </w:pPr>
            <w:r/>
            <w:r>
              <w:rPr>
                <w:rFonts w:ascii="Times New Roman" w:hAnsi="Times New Roman" w:eastAsia="宋体"/>
                <w:b w:val="0"/>
                <w:i w:val="0"/>
                <w:sz w:val="17"/>
              </w:rPr>
              <w:t>POST</w:t>
            </w:r>
          </w:p>
        </w:tc>
        <w:tc>
          <w:tcPr>
            <w:tcW w:type="dxa" w:w="1860"/>
          </w:tcPr>
          <w:p>
            <w:pPr>
              <w:spacing w:after="20" w:line="276" w:lineRule="auto"/>
            </w:pPr>
            <w:r/>
            <w:r>
              <w:rPr>
                <w:rFonts w:ascii="Consolas" w:hAnsi="Consolas" w:eastAsia="Consolas"/>
                <w:b w:val="0"/>
                <w:i w:val="0"/>
                <w:color w:val="8B1E3F"/>
                <w:sz w:val="16"/>
              </w:rPr>
              <w:t>/api/chat/stream</w:t>
            </w:r>
          </w:p>
        </w:tc>
        <w:tc>
          <w:tcPr>
            <w:tcW w:type="dxa" w:w="1860"/>
          </w:tcPr>
          <w:p>
            <w:pPr>
              <w:spacing w:after="20" w:line="276" w:lineRule="auto"/>
            </w:pPr>
            <w:r/>
            <w:r>
              <w:rPr>
                <w:rFonts w:ascii="Consolas" w:hAnsi="Consolas" w:eastAsia="Consolas"/>
                <w:b w:val="0"/>
                <w:i w:val="0"/>
                <w:color w:val="8B1E3F"/>
                <w:sz w:val="16"/>
              </w:rPr>
              <w:t>ChatRequest</w:t>
            </w:r>
          </w:p>
        </w:tc>
        <w:tc>
          <w:tcPr>
            <w:tcW w:type="dxa" w:w="1860"/>
          </w:tcPr>
          <w:p>
            <w:pPr>
              <w:spacing w:after="20" w:line="276" w:lineRule="auto"/>
            </w:pPr>
            <w:r/>
            <w:r>
              <w:rPr>
                <w:rFonts w:ascii="Times New Roman" w:hAnsi="Times New Roman" w:eastAsia="宋体"/>
                <w:b w:val="0"/>
                <w:i w:val="0"/>
                <w:sz w:val="17"/>
              </w:rPr>
              <w:t>SSE：</w:t>
            </w:r>
            <w:r>
              <w:rPr>
                <w:rFonts w:ascii="Consolas" w:hAnsi="Consolas" w:eastAsia="Consolas"/>
                <w:b w:val="0"/>
                <w:i w:val="0"/>
                <w:color w:val="8B1E3F"/>
                <w:sz w:val="16"/>
              </w:rPr>
              <w:t>run/stage/trace/chat/error</w:t>
            </w:r>
          </w:p>
        </w:tc>
        <w:tc>
          <w:tcPr>
            <w:tcW w:type="dxa" w:w="1860"/>
          </w:tcPr>
          <w:p>
            <w:pPr>
              <w:spacing w:after="20" w:line="276" w:lineRule="auto"/>
            </w:pPr>
            <w:r/>
            <w:r>
              <w:rPr>
                <w:rFonts w:ascii="Times New Roman" w:hAnsi="Times New Roman" w:eastAsia="宋体"/>
                <w:b w:val="0"/>
                <w:i w:val="0"/>
                <w:sz w:val="17"/>
              </w:rPr>
              <w:t>流式对话（阶段进度与引用追溯）</w:t>
            </w:r>
          </w:p>
        </w:tc>
      </w:tr>
      <w:tr>
        <w:tc>
          <w:tcPr>
            <w:tcW w:type="dxa" w:w="1860"/>
          </w:tcPr>
          <w:p>
            <w:pPr>
              <w:spacing w:after="20" w:line="276" w:lineRule="auto"/>
            </w:pPr>
            <w:r/>
            <w:r>
              <w:rPr>
                <w:rFonts w:ascii="Times New Roman" w:hAnsi="Times New Roman" w:eastAsia="宋体"/>
                <w:b w:val="0"/>
                <w:i w:val="0"/>
                <w:sz w:val="17"/>
              </w:rPr>
              <w:t>GET</w:t>
            </w:r>
          </w:p>
        </w:tc>
        <w:tc>
          <w:tcPr>
            <w:tcW w:type="dxa" w:w="1860"/>
          </w:tcPr>
          <w:p>
            <w:pPr>
              <w:spacing w:after="20" w:line="276" w:lineRule="auto"/>
            </w:pPr>
            <w:r/>
            <w:r>
              <w:rPr>
                <w:rFonts w:ascii="Consolas" w:hAnsi="Consolas" w:eastAsia="Consolas"/>
                <w:b w:val="0"/>
                <w:i w:val="0"/>
                <w:color w:val="8B1E3F"/>
                <w:sz w:val="16"/>
              </w:rPr>
              <w:t>/api/evidence/{evidence_id}</w:t>
            </w:r>
          </w:p>
        </w:tc>
        <w:tc>
          <w:tcPr>
            <w:tcW w:type="dxa" w:w="1860"/>
          </w:tcPr>
          <w:p>
            <w:pPr>
              <w:spacing w:after="20" w:line="276" w:lineRule="auto"/>
            </w:pPr>
            <w:r/>
            <w:r>
              <w:rPr>
                <w:rFonts w:ascii="Times New Roman" w:hAnsi="Times New Roman" w:eastAsia="宋体"/>
                <w:b w:val="0"/>
                <w:i w:val="0"/>
                <w:sz w:val="17"/>
              </w:rPr>
              <w:t>证据 id</w:t>
            </w:r>
          </w:p>
        </w:tc>
        <w:tc>
          <w:tcPr>
            <w:tcW w:type="dxa" w:w="1860"/>
          </w:tcPr>
          <w:p>
            <w:pPr>
              <w:spacing w:after="20" w:line="276" w:lineRule="auto"/>
            </w:pPr>
            <w:r/>
            <w:r>
              <w:rPr>
                <w:rFonts w:ascii="Consolas" w:hAnsi="Consolas" w:eastAsia="Consolas"/>
                <w:b w:val="0"/>
                <w:i w:val="0"/>
                <w:color w:val="8B1E3F"/>
                <w:sz w:val="16"/>
              </w:rPr>
              <w:t>Evidence</w:t>
            </w:r>
          </w:p>
        </w:tc>
        <w:tc>
          <w:tcPr>
            <w:tcW w:type="dxa" w:w="1860"/>
          </w:tcPr>
          <w:p>
            <w:pPr>
              <w:spacing w:after="20" w:line="276" w:lineRule="auto"/>
            </w:pPr>
            <w:r/>
            <w:r>
              <w:rPr>
                <w:rFonts w:ascii="Times New Roman" w:hAnsi="Times New Roman" w:eastAsia="宋体"/>
                <w:b w:val="0"/>
                <w:i w:val="0"/>
                <w:sz w:val="17"/>
              </w:rPr>
              <w:t>证据详情与来源回溯</w:t>
            </w:r>
          </w:p>
        </w:tc>
      </w:tr>
      <w:tr>
        <w:tc>
          <w:tcPr>
            <w:tcW w:type="dxa" w:w="1860"/>
          </w:tcPr>
          <w:p>
            <w:pPr>
              <w:spacing w:after="20" w:line="276" w:lineRule="auto"/>
            </w:pPr>
            <w:r/>
            <w:r>
              <w:rPr>
                <w:rFonts w:ascii="Times New Roman" w:hAnsi="Times New Roman" w:eastAsia="宋体"/>
                <w:b w:val="0"/>
                <w:i w:val="0"/>
                <w:sz w:val="17"/>
              </w:rPr>
              <w:t>GET</w:t>
            </w:r>
          </w:p>
        </w:tc>
        <w:tc>
          <w:tcPr>
            <w:tcW w:type="dxa" w:w="1860"/>
          </w:tcPr>
          <w:p>
            <w:pPr>
              <w:spacing w:after="20" w:line="276" w:lineRule="auto"/>
            </w:pPr>
            <w:r/>
            <w:r>
              <w:rPr>
                <w:rFonts w:ascii="Consolas" w:hAnsi="Consolas" w:eastAsia="Consolas"/>
                <w:b w:val="0"/>
                <w:i w:val="0"/>
                <w:color w:val="8B1E3F"/>
                <w:sz w:val="16"/>
              </w:rPr>
              <w:t>/api/trace/{run_id}</w:t>
            </w:r>
          </w:p>
        </w:tc>
        <w:tc>
          <w:tcPr>
            <w:tcW w:type="dxa" w:w="1860"/>
          </w:tcPr>
          <w:p>
            <w:pPr>
              <w:spacing w:after="20" w:line="276" w:lineRule="auto"/>
            </w:pPr>
            <w:r/>
            <w:r>
              <w:rPr>
                <w:rFonts w:ascii="Times New Roman" w:hAnsi="Times New Roman" w:eastAsia="宋体"/>
                <w:b w:val="0"/>
                <w:i w:val="0"/>
                <w:sz w:val="17"/>
              </w:rPr>
              <w:t>run_id</w:t>
            </w:r>
          </w:p>
        </w:tc>
        <w:tc>
          <w:tcPr>
            <w:tcW w:type="dxa" w:w="1860"/>
          </w:tcPr>
          <w:p>
            <w:pPr>
              <w:spacing w:after="20" w:line="276" w:lineRule="auto"/>
            </w:pPr>
            <w:r/>
            <w:r>
              <w:rPr>
                <w:rFonts w:ascii="Consolas" w:hAnsi="Consolas" w:eastAsia="Consolas"/>
                <w:b w:val="0"/>
                <w:i w:val="0"/>
                <w:color w:val="8B1E3F"/>
                <w:sz w:val="16"/>
              </w:rPr>
              <w:t>TraceEvent</w:t>
            </w:r>
            <w:r>
              <w:rPr>
                <w:rFonts w:ascii="Times New Roman" w:hAnsi="Times New Roman" w:eastAsia="宋体"/>
                <w:b w:val="0"/>
                <w:i w:val="0"/>
                <w:sz w:val="17"/>
              </w:rPr>
              <w:t xml:space="preserve"> 列表</w:t>
            </w:r>
          </w:p>
        </w:tc>
        <w:tc>
          <w:tcPr>
            <w:tcW w:type="dxa" w:w="1860"/>
          </w:tcPr>
          <w:p>
            <w:pPr>
              <w:spacing w:after="20" w:line="276" w:lineRule="auto"/>
            </w:pPr>
            <w:r/>
            <w:r>
              <w:rPr>
                <w:rFonts w:ascii="Times New Roman" w:hAnsi="Times New Roman" w:eastAsia="宋体"/>
                <w:b w:val="0"/>
                <w:i w:val="0"/>
                <w:sz w:val="17"/>
              </w:rPr>
              <w:t>审计轨迹回放</w:t>
            </w:r>
          </w:p>
        </w:tc>
      </w:tr>
      <w:tr>
        <w:tc>
          <w:tcPr>
            <w:tcW w:type="dxa" w:w="1860"/>
          </w:tcPr>
          <w:p>
            <w:pPr>
              <w:spacing w:after="20" w:line="276" w:lineRule="auto"/>
            </w:pPr>
            <w:r/>
            <w:r>
              <w:rPr>
                <w:rFonts w:ascii="Times New Roman" w:hAnsi="Times New Roman" w:eastAsia="宋体"/>
                <w:b w:val="0"/>
                <w:i w:val="0"/>
                <w:sz w:val="17"/>
              </w:rPr>
              <w:t>GET</w:t>
            </w:r>
          </w:p>
        </w:tc>
        <w:tc>
          <w:tcPr>
            <w:tcW w:type="dxa" w:w="1860"/>
          </w:tcPr>
          <w:p>
            <w:pPr>
              <w:spacing w:after="20" w:line="276" w:lineRule="auto"/>
            </w:pPr>
            <w:r/>
            <w:r>
              <w:rPr>
                <w:rFonts w:ascii="Consolas" w:hAnsi="Consolas" w:eastAsia="Consolas"/>
                <w:b w:val="0"/>
                <w:i w:val="0"/>
                <w:color w:val="8B1E3F"/>
                <w:sz w:val="16"/>
              </w:rPr>
              <w:t>/api/data-cards</w:t>
            </w:r>
          </w:p>
        </w:tc>
        <w:tc>
          <w:tcPr>
            <w:tcW w:type="dxa" w:w="1860"/>
          </w:tcPr>
          <w:p>
            <w:pPr>
              <w:spacing w:after="20" w:line="276" w:lineRule="auto"/>
            </w:pPr>
            <w:r/>
            <w:r>
              <w:rPr>
                <w:rFonts w:ascii="Times New Roman" w:hAnsi="Times New Roman" w:eastAsia="宋体"/>
                <w:b w:val="0"/>
                <w:i w:val="0"/>
                <w:sz w:val="17"/>
              </w:rPr>
              <w:t>—</w:t>
            </w:r>
          </w:p>
        </w:tc>
        <w:tc>
          <w:tcPr>
            <w:tcW w:type="dxa" w:w="1860"/>
          </w:tcPr>
          <w:p>
            <w:pPr>
              <w:spacing w:after="20" w:line="276" w:lineRule="auto"/>
            </w:pPr>
            <w:r/>
            <w:r>
              <w:rPr>
                <w:rFonts w:ascii="Consolas" w:hAnsi="Consolas" w:eastAsia="Consolas"/>
                <w:b w:val="0"/>
                <w:i w:val="0"/>
                <w:color w:val="8B1E3F"/>
                <w:sz w:val="16"/>
              </w:rPr>
              <w:t>DataCard</w:t>
            </w:r>
            <w:r>
              <w:rPr>
                <w:rFonts w:ascii="Times New Roman" w:hAnsi="Times New Roman" w:eastAsia="宋体"/>
                <w:b w:val="0"/>
                <w:i w:val="0"/>
                <w:sz w:val="17"/>
              </w:rPr>
              <w:t xml:space="preserve"> 列表</w:t>
            </w:r>
          </w:p>
        </w:tc>
        <w:tc>
          <w:tcPr>
            <w:tcW w:type="dxa" w:w="1860"/>
          </w:tcPr>
          <w:p>
            <w:pPr>
              <w:spacing w:after="20" w:line="276" w:lineRule="auto"/>
            </w:pPr>
            <w:r/>
            <w:r>
              <w:rPr>
                <w:rFonts w:ascii="Times New Roman" w:hAnsi="Times New Roman" w:eastAsia="宋体"/>
                <w:b w:val="0"/>
                <w:i w:val="0"/>
                <w:sz w:val="17"/>
              </w:rPr>
              <w:t>数据说明与时点评级</w:t>
            </w:r>
          </w:p>
        </w:tc>
      </w:tr>
      <w:tr>
        <w:tc>
          <w:tcPr>
            <w:tcW w:type="dxa" w:w="1860"/>
          </w:tcPr>
          <w:p>
            <w:pPr>
              <w:spacing w:after="20" w:line="276" w:lineRule="auto"/>
            </w:pPr>
            <w:r/>
            <w:r>
              <w:rPr>
                <w:rFonts w:ascii="Times New Roman" w:hAnsi="Times New Roman" w:eastAsia="宋体"/>
                <w:b w:val="0"/>
                <w:i w:val="0"/>
                <w:sz w:val="17"/>
              </w:rPr>
              <w:t>GET</w:t>
            </w:r>
          </w:p>
        </w:tc>
        <w:tc>
          <w:tcPr>
            <w:tcW w:type="dxa" w:w="1860"/>
          </w:tcPr>
          <w:p>
            <w:pPr>
              <w:spacing w:after="20" w:line="276" w:lineRule="auto"/>
            </w:pPr>
            <w:r/>
            <w:r>
              <w:rPr>
                <w:rFonts w:ascii="Consolas" w:hAnsi="Consolas" w:eastAsia="Consolas"/>
                <w:b w:val="0"/>
                <w:i w:val="0"/>
                <w:color w:val="8B1E3F"/>
                <w:sz w:val="16"/>
              </w:rPr>
              <w:t>/api/scenarios</w:t>
            </w:r>
          </w:p>
        </w:tc>
        <w:tc>
          <w:tcPr>
            <w:tcW w:type="dxa" w:w="1860"/>
          </w:tcPr>
          <w:p>
            <w:pPr>
              <w:spacing w:after="20" w:line="276" w:lineRule="auto"/>
            </w:pPr>
            <w:r/>
            <w:r>
              <w:rPr>
                <w:rFonts w:ascii="Times New Roman" w:hAnsi="Times New Roman" w:eastAsia="宋体"/>
                <w:b w:val="0"/>
                <w:i w:val="0"/>
                <w:sz w:val="17"/>
              </w:rPr>
              <w:t>—</w:t>
            </w:r>
          </w:p>
        </w:tc>
        <w:tc>
          <w:tcPr>
            <w:tcW w:type="dxa" w:w="1860"/>
          </w:tcPr>
          <w:p>
            <w:pPr>
              <w:spacing w:after="20" w:line="276" w:lineRule="auto"/>
            </w:pPr>
            <w:r/>
            <w:r>
              <w:rPr>
                <w:rFonts w:ascii="Consolas" w:hAnsi="Consolas" w:eastAsia="Consolas"/>
                <w:b w:val="0"/>
                <w:i w:val="0"/>
                <w:color w:val="8B1E3F"/>
                <w:sz w:val="16"/>
              </w:rPr>
              <w:t>Scenario</w:t>
            </w:r>
            <w:r>
              <w:rPr>
                <w:rFonts w:ascii="Times New Roman" w:hAnsi="Times New Roman" w:eastAsia="宋体"/>
                <w:b w:val="0"/>
                <w:i w:val="0"/>
                <w:sz w:val="17"/>
              </w:rPr>
              <w:t xml:space="preserve"> 列表</w:t>
            </w:r>
          </w:p>
        </w:tc>
        <w:tc>
          <w:tcPr>
            <w:tcW w:type="dxa" w:w="1860"/>
          </w:tcPr>
          <w:p>
            <w:pPr>
              <w:spacing w:after="20" w:line="276" w:lineRule="auto"/>
            </w:pPr>
            <w:r/>
            <w:r>
              <w:rPr>
                <w:rFonts w:ascii="Times New Roman" w:hAnsi="Times New Roman" w:eastAsia="宋体"/>
                <w:b w:val="0"/>
                <w:i w:val="0"/>
                <w:sz w:val="17"/>
              </w:rPr>
              <w:t>历史压力情景</w:t>
            </w:r>
          </w:p>
        </w:tc>
      </w:tr>
      <w:tr>
        <w:tc>
          <w:tcPr>
            <w:tcW w:type="dxa" w:w="1860"/>
          </w:tcPr>
          <w:p>
            <w:pPr>
              <w:spacing w:after="20" w:line="276" w:lineRule="auto"/>
            </w:pPr>
            <w:r/>
            <w:r>
              <w:rPr>
                <w:rFonts w:ascii="Times New Roman" w:hAnsi="Times New Roman" w:eastAsia="宋体"/>
                <w:b w:val="0"/>
                <w:i w:val="0"/>
                <w:sz w:val="17"/>
              </w:rPr>
              <w:t>GET</w:t>
            </w:r>
          </w:p>
        </w:tc>
        <w:tc>
          <w:tcPr>
            <w:tcW w:type="dxa" w:w="1860"/>
          </w:tcPr>
          <w:p>
            <w:pPr>
              <w:spacing w:after="20" w:line="276" w:lineRule="auto"/>
            </w:pPr>
            <w:r/>
            <w:r>
              <w:rPr>
                <w:rFonts w:ascii="Consolas" w:hAnsi="Consolas" w:eastAsia="Consolas"/>
                <w:b w:val="0"/>
                <w:i w:val="0"/>
                <w:color w:val="8B1E3F"/>
                <w:sz w:val="16"/>
              </w:rPr>
              <w:t>/api/health</w:t>
            </w:r>
          </w:p>
        </w:tc>
        <w:tc>
          <w:tcPr>
            <w:tcW w:type="dxa" w:w="1860"/>
          </w:tcPr>
          <w:p>
            <w:pPr>
              <w:spacing w:after="20" w:line="276" w:lineRule="auto"/>
            </w:pPr>
            <w:r/>
            <w:r>
              <w:rPr>
                <w:rFonts w:ascii="Times New Roman" w:hAnsi="Times New Roman" w:eastAsia="宋体"/>
                <w:b w:val="0"/>
                <w:i w:val="0"/>
                <w:sz w:val="17"/>
              </w:rPr>
              <w:t>—</w:t>
            </w:r>
          </w:p>
        </w:tc>
        <w:tc>
          <w:tcPr>
            <w:tcW w:type="dxa" w:w="1860"/>
          </w:tcPr>
          <w:p>
            <w:pPr>
              <w:spacing w:after="20" w:line="276" w:lineRule="auto"/>
            </w:pPr>
            <w:r/>
            <w:r>
              <w:rPr>
                <w:rFonts w:ascii="Times New Roman" w:hAnsi="Times New Roman" w:eastAsia="宋体"/>
                <w:b w:val="0"/>
                <w:i w:val="0"/>
                <w:sz w:val="17"/>
              </w:rPr>
              <w:t>健康状态</w:t>
            </w:r>
          </w:p>
        </w:tc>
        <w:tc>
          <w:tcPr>
            <w:tcW w:type="dxa" w:w="1860"/>
          </w:tcPr>
          <w:p>
            <w:pPr>
              <w:spacing w:after="20" w:line="276" w:lineRule="auto"/>
            </w:pPr>
            <w:r/>
            <w:r>
              <w:rPr>
                <w:rFonts w:ascii="Times New Roman" w:hAnsi="Times New Roman" w:eastAsia="宋体"/>
                <w:b w:val="0"/>
                <w:i w:val="0"/>
                <w:sz w:val="17"/>
              </w:rPr>
              <w:t>LLM/数据源/模块就绪检查</w:t>
            </w:r>
          </w:p>
        </w:tc>
      </w:tr>
    </w:tbl>
    <w:p>
      <w:pPr>
        <w:spacing w:after="40"/>
      </w:pPr>
    </w:p>
    <w:p>
      <w:pPr>
        <w:pStyle w:val="Heading2"/>
      </w:pPr>
      <w:r>
        <w:rPr>
          <w:rFonts w:ascii="Times New Roman" w:hAnsi="Times New Roman" w:eastAsia="宋体"/>
          <w:b w:val="0"/>
          <w:i w:val="0"/>
          <w:sz w:val="26"/>
        </w:rPr>
        <w:t>附录 B 配置示例</w:t>
      </w:r>
    </w:p>
    <w:p>
      <w:r>
        <w:rPr>
          <w:rFonts w:ascii="Times New Roman" w:hAnsi="Times New Roman" w:eastAsia="宋体"/>
          <w:b w:val="0"/>
          <w:i w:val="0"/>
          <w:sz w:val="21"/>
        </w:rPr>
        <w:t>应用主配置（节选，</w:t>
      </w:r>
      <w:r>
        <w:rPr>
          <w:rFonts w:ascii="Consolas" w:hAnsi="Consolas" w:eastAsia="Consolas"/>
          <w:b w:val="0"/>
          <w:i w:val="0"/>
          <w:color w:val="8B1E3F"/>
          <w:sz w:val="20"/>
        </w:rPr>
        <w:t>configs/app.yaml</w:t>
      </w:r>
      <w:r>
        <w:rPr>
          <w:rFonts w:ascii="Times New Roman" w:hAnsi="Times New Roman" w:eastAsia="宋体"/>
          <w:b w:val="0"/>
          <w:i w:val="0"/>
          <w:sz w:val="21"/>
        </w:rPr>
        <w:t>）：</w:t>
      </w:r>
    </w:p>
    <w:p>
      <w:pPr>
        <w:spacing w:after="40" w:line="264" w:lineRule="auto"/>
        <w:ind w:left="227"/>
        <w:shd w:fill="F2F2F2"/>
      </w:pPr>
      <w:r>
        <w:rPr>
          <w:rFonts w:ascii="Consolas" w:hAnsi="Consolas" w:eastAsia="Consolas"/>
          <w:b w:val="0"/>
          <w:i w:val="0"/>
          <w:color w:val="333333"/>
          <w:sz w:val="17"/>
        </w:rPr>
        <w:t>llm:</w:t>
        <w:br/>
        <w:t xml:space="preserve">  provider: deepseek</w:t>
        <w:br/>
        <w:t xml:space="preserve">  model: deepseek-chat</w:t>
        <w:br/>
        <w:t xml:space="preserve">  temperature: 0.0</w:t>
        <w:br/>
        <w:t xml:space="preserve">  max_tokens: 2000</w:t>
        <w:br/>
        <w:t xml:space="preserve">  mock: true                  # 无密钥时自动使用 mock 模式</w:t>
        <w:br/>
        <w:t>data:</w:t>
        <w:br/>
        <w:t xml:space="preserve">  label_version: stress_pca_q90</w:t>
        <w:br/>
        <w:t xml:space="preserve">  high_stress_quantile: 0.90</w:t>
        <w:br/>
        <w:t xml:space="preserve">  horizons: [5, 10, 20]</w:t>
        <w:br/>
        <w:t>signal:</w:t>
        <w:br/>
        <w:t xml:space="preserve">  model_version: fusion-xgb-v1</w:t>
        <w:br/>
        <w:t xml:space="preserve">  baseline: xgboost</w:t>
        <w:br/>
        <w:t xml:space="preserve">  text_enabled: true</w:t>
        <w:br/>
        <w:t xml:space="preserve">  roll_window: 500</w:t>
        <w:br/>
        <w:t xml:space="preserve">  retrain_every: 20</w:t>
        <w:br/>
        <w:t>orchestration:</w:t>
        <w:br/>
        <w:t xml:space="preserve">  rounds: 2</w:t>
        <w:br/>
        <w:t xml:space="preserve">  max_tool_calls_per_agent: 6</w:t>
        <w:br/>
        <w:t xml:space="preserve">  max_tokens_per_agent: 4000</w:t>
        <w:br/>
        <w:t xml:space="preserve">  numeric_tolerance_abs: 1.0e-6</w:t>
        <w:br/>
        <w:t xml:space="preserve">  numeric_tolerance_rel: 1.0e-3</w:t>
        <w:br/>
        <w:t xml:space="preserve">  modes: [single, independent, collaborative]</w:t>
        <w:br/>
        <w:t xml:space="preserve">  human_in_the_loop: true</w:t>
        <w:br/>
        <w:t xml:space="preserve">  trace_dir: artifacts/traces</w:t>
        <w:br/>
        <w:t xml:space="preserve">  # 协同成本折算（统一成本单位；J = L + μ·C）</w:t>
        <w:br/>
        <w:t xml:space="preserve">  cost_per_tool_call: 0.001</w:t>
        <w:br/>
        <w:t xml:space="preserve">  cost_per_1k_tokens: 0.001</w:t>
        <w:br/>
        <w:t xml:space="preserve">  cost_per_latency_ms: 0.00001</w:t>
        <w:br/>
        <w:t xml:space="preserve">  coordination_weight_mu: 0.1</w:t>
      </w:r>
    </w:p>
    <w:p>
      <w:r>
        <w:rPr>
          <w:rFonts w:ascii="Times New Roman" w:hAnsi="Times New Roman" w:eastAsia="宋体"/>
          <w:b w:val="0"/>
          <w:i w:val="0"/>
          <w:sz w:val="21"/>
        </w:rPr>
        <w:t>角色规范（节选，</w:t>
      </w:r>
      <w:r>
        <w:rPr>
          <w:rFonts w:ascii="Consolas" w:hAnsi="Consolas" w:eastAsia="Consolas"/>
          <w:b w:val="0"/>
          <w:i w:val="0"/>
          <w:color w:val="8B1E3F"/>
          <w:sz w:val="20"/>
        </w:rPr>
        <w:t>configs/roles.yaml</w:t>
      </w:r>
      <w:r>
        <w:rPr>
          <w:rFonts w:ascii="Times New Roman" w:hAnsi="Times New Roman" w:eastAsia="宋体"/>
          <w:b w:val="0"/>
          <w:i w:val="0"/>
          <w:sz w:val="21"/>
        </w:rPr>
        <w:t>）：</w:t>
      </w:r>
    </w:p>
    <w:p>
      <w:pPr>
        <w:spacing w:after="40" w:line="264" w:lineRule="auto"/>
        <w:ind w:left="227"/>
        <w:shd w:fill="F2F2F2"/>
      </w:pPr>
      <w:r>
        <w:rPr>
          <w:rFonts w:ascii="Consolas" w:hAnsi="Consolas" w:eastAsia="Consolas"/>
          <w:b w:val="0"/>
          <w:i w:val="0"/>
          <w:color w:val="333333"/>
          <w:sz w:val="17"/>
        </w:rPr>
        <w:t>regulator:</w:t>
        <w:br/>
        <w:t xml:space="preserve">  objective: &gt;-</w:t>
        <w:br/>
        <w:t xml:space="preserve">    监测跨境金融市场压力与跨市场外溢，在漏报成本远高于误报的约束下，</w:t>
        <w:br/>
        <w:t xml:space="preserve">    给出系统性风险预警等级、关键驱动与外溢渠道，以及可执行的监管关注建议。</w:t>
        <w:br/>
        <w:t xml:space="preserve">  tool_permissions: [risk_measure, systemic_risk, capital_flow, scenario, forecast, knowledge_search]</w:t>
        <w:br/>
        <w:t xml:space="preserve">  thresholds: {high_stress_prob: 0.50, critical_stress_prob: 0.70, dy_spillover: 0.50, capital_outflow_z: 1.50}</w:t>
        <w:br/>
        <w:t xml:space="preserve">  decision_loss_weights: {miss: 5.0, false_alarm: 1.0, delay: 2.0}</w:t>
      </w:r>
    </w:p>
    <w:p>
      <w:r>
        <w:rPr>
          <w:rFonts w:ascii="Times New Roman" w:hAnsi="Times New Roman" w:eastAsia="宋体"/>
          <w:b w:val="0"/>
          <w:i w:val="0"/>
          <w:sz w:val="21"/>
        </w:rPr>
        <w:t>工具与知识库配置（节选，</w:t>
      </w:r>
      <w:r>
        <w:rPr>
          <w:rFonts w:ascii="Consolas" w:hAnsi="Consolas" w:eastAsia="Consolas"/>
          <w:b w:val="0"/>
          <w:i w:val="0"/>
          <w:color w:val="8B1E3F"/>
          <w:sz w:val="20"/>
        </w:rPr>
        <w:t>configs/tools.yaml</w:t>
      </w:r>
      <w:r>
        <w:rPr>
          <w:rFonts w:ascii="Times New Roman" w:hAnsi="Times New Roman" w:eastAsia="宋体"/>
          <w:b w:val="0"/>
          <w:i w:val="0"/>
          <w:sz w:val="21"/>
        </w:rPr>
        <w:t>）：</w:t>
      </w:r>
    </w:p>
    <w:p>
      <w:pPr>
        <w:spacing w:after="40" w:line="264" w:lineRule="auto"/>
        <w:ind w:left="227"/>
        <w:shd w:fill="F2F2F2"/>
      </w:pPr>
      <w:r>
        <w:rPr>
          <w:rFonts w:ascii="Consolas" w:hAnsi="Consolas" w:eastAsia="Consolas"/>
          <w:b w:val="0"/>
          <w:i w:val="0"/>
          <w:color w:val="333333"/>
          <w:sz w:val="17"/>
        </w:rPr>
        <w:t>registry_version: tools-v1</w:t>
        <w:br/>
        <w:t>default_deny: true</w:t>
        <w:br/>
        <w:t>tools:</w:t>
        <w:br/>
        <w:t xml:space="preserve">  risk_measure: {version: "1.0.0"}</w:t>
        <w:br/>
        <w:t xml:space="preserve">  systemic_risk: {version: "1.0.0"}</w:t>
        <w:br/>
        <w:t xml:space="preserve">  capital_flow: {version: "1.0.0"}</w:t>
        <w:br/>
        <w:t xml:space="preserve">  funding_cost: {version: "1.0.0"}</w:t>
        <w:br/>
        <w:t xml:space="preserve">  scenario: {version: "1.0.0"}</w:t>
        <w:br/>
        <w:t xml:space="preserve">  forecast: {version: "1.0.0"}</w:t>
        <w:br/>
        <w:t xml:space="preserve">  knowledge_search: {version: "1.0.0"}</w:t>
        <w:br/>
        <w:t>knowledge:</w:t>
        <w:br/>
        <w:t xml:space="preserve">  index_version: kb-bm25-v1</w:t>
      </w:r>
    </w:p>
    <w:p>
      <w:pPr>
        <w:pStyle w:val="Heading2"/>
      </w:pPr>
      <w:r>
        <w:rPr>
          <w:rFonts w:ascii="Times New Roman" w:hAnsi="Times New Roman" w:eastAsia="宋体"/>
          <w:b w:val="0"/>
          <w:i w:val="0"/>
          <w:sz w:val="26"/>
        </w:rPr>
        <w:t>附录 C 术语表</w:t>
      </w:r>
    </w:p>
    <w:p>
      <w:r>
        <w:rPr>
          <w:rFonts w:ascii="Times New Roman" w:hAnsi="Times New Roman" w:eastAsia="宋体"/>
          <w:b w:val="0"/>
          <w:i w:val="0"/>
          <w:sz w:val="21"/>
        </w:rPr>
        <w:t>表 C-1 术语表</w:t>
      </w:r>
    </w:p>
    <w:tbl>
      <w:tblPr>
        <w:tblStyle w:val="TableGrid"/>
        <w:tblW w:type="auto" w:w="0"/>
        <w:jc w:val="center"/>
        <w:tblLayout w:type="autofit"/>
        <w:tblLook w:firstColumn="1" w:firstRow="1" w:lastColumn="0" w:lastRow="0" w:noHBand="0" w:noVBand="1" w:val="04A0"/>
      </w:tblPr>
      <w:tblGrid>
        <w:gridCol w:w="3099"/>
        <w:gridCol w:w="3099"/>
        <w:gridCol w:w="3099"/>
      </w:tblGrid>
      <w:tr>
        <w:tc>
          <w:tcPr>
            <w:tcW w:type="dxa" w:w="3099"/>
          </w:tcPr>
          <w:p>
            <w:pPr>
              <w:spacing w:after="20" w:line="276" w:lineRule="auto"/>
            </w:pPr>
            <w:r>
              <w:rPr>
                <w:b/>
              </w:rPr>
            </w:r>
            <w:r>
              <w:rPr>
                <w:rFonts w:ascii="Times New Roman" w:hAnsi="Times New Roman" w:eastAsia="宋体"/>
                <w:b/>
                <w:i w:val="0"/>
                <w:sz w:val="17"/>
              </w:rPr>
              <w:t>术语</w:t>
            </w:r>
          </w:p>
        </w:tc>
        <w:tc>
          <w:tcPr>
            <w:tcW w:type="dxa" w:w="3099"/>
          </w:tcPr>
          <w:p>
            <w:pPr>
              <w:spacing w:after="20" w:line="276" w:lineRule="auto"/>
            </w:pPr>
            <w:r>
              <w:rPr>
                <w:b/>
              </w:rPr>
            </w:r>
            <w:r>
              <w:rPr>
                <w:rFonts w:ascii="Times New Roman" w:hAnsi="Times New Roman" w:eastAsia="宋体"/>
                <w:b/>
                <w:i w:val="0"/>
                <w:sz w:val="17"/>
              </w:rPr>
              <w:t>英文/代码标识</w:t>
            </w:r>
          </w:p>
        </w:tc>
        <w:tc>
          <w:tcPr>
            <w:tcW w:type="dxa" w:w="3099"/>
          </w:tcPr>
          <w:p>
            <w:pPr>
              <w:spacing w:after="20" w:line="276" w:lineRule="auto"/>
            </w:pPr>
            <w:r>
              <w:rPr>
                <w:b/>
              </w:rPr>
            </w:r>
            <w:r>
              <w:rPr>
                <w:rFonts w:ascii="Times New Roman" w:hAnsi="Times New Roman" w:eastAsia="宋体"/>
                <w:b/>
                <w:i w:val="0"/>
                <w:sz w:val="17"/>
              </w:rPr>
              <w:t>含义</w:t>
            </w:r>
          </w:p>
        </w:tc>
      </w:tr>
      <w:tr>
        <w:tc>
          <w:tcPr>
            <w:tcW w:type="dxa" w:w="3099"/>
          </w:tcPr>
          <w:p>
            <w:pPr>
              <w:spacing w:after="20" w:line="276" w:lineRule="auto"/>
            </w:pPr>
            <w:r/>
            <w:r>
              <w:rPr>
                <w:rFonts w:ascii="Times New Roman" w:hAnsi="Times New Roman" w:eastAsia="宋体"/>
                <w:b w:val="0"/>
                <w:i w:val="0"/>
                <w:sz w:val="17"/>
              </w:rPr>
              <w:t>评估时点</w:t>
            </w:r>
          </w:p>
        </w:tc>
        <w:tc>
          <w:tcPr>
            <w:tcW w:type="dxa" w:w="3099"/>
          </w:tcPr>
          <w:p>
            <w:pPr>
              <w:spacing w:after="20" w:line="276" w:lineRule="auto"/>
            </w:pPr>
            <w:r/>
            <w:r>
              <w:rPr>
                <w:rFonts w:ascii="Consolas" w:hAnsi="Consolas" w:eastAsia="Consolas"/>
                <w:b w:val="0"/>
                <w:i w:val="0"/>
                <w:color w:val="8B1E3F"/>
                <w:sz w:val="16"/>
              </w:rPr>
              <w:t>as_of</w:t>
            </w:r>
          </w:p>
        </w:tc>
        <w:tc>
          <w:tcPr>
            <w:tcW w:type="dxa" w:w="3099"/>
          </w:tcPr>
          <w:p>
            <w:pPr>
              <w:spacing w:after="20" w:line="276" w:lineRule="auto"/>
            </w:pPr>
            <w:r/>
            <w:r>
              <w:rPr>
                <w:rFonts w:ascii="Times New Roman" w:hAnsi="Times New Roman" w:eastAsia="宋体"/>
                <w:b w:val="0"/>
                <w:i w:val="0"/>
                <w:sz w:val="17"/>
              </w:rPr>
              <w:t>生成预警时所处的时点，所有信息须在该时点已可得</w:t>
            </w:r>
          </w:p>
        </w:tc>
      </w:tr>
      <w:tr>
        <w:tc>
          <w:tcPr>
            <w:tcW w:type="dxa" w:w="3099"/>
          </w:tcPr>
          <w:p>
            <w:pPr>
              <w:spacing w:after="20" w:line="276" w:lineRule="auto"/>
            </w:pPr>
            <w:r/>
            <w:r>
              <w:rPr>
                <w:rFonts w:ascii="Times New Roman" w:hAnsi="Times New Roman" w:eastAsia="宋体"/>
                <w:b w:val="0"/>
                <w:i w:val="0"/>
                <w:sz w:val="17"/>
              </w:rPr>
              <w:t>点对点数据</w:t>
            </w:r>
          </w:p>
        </w:tc>
        <w:tc>
          <w:tcPr>
            <w:tcW w:type="dxa" w:w="3099"/>
          </w:tcPr>
          <w:p>
            <w:pPr>
              <w:spacing w:after="20" w:line="276" w:lineRule="auto"/>
            </w:pPr>
            <w:r/>
            <w:r>
              <w:rPr>
                <w:rFonts w:ascii="Times New Roman" w:hAnsi="Times New Roman" w:eastAsia="宋体"/>
                <w:b w:val="0"/>
                <w:i w:val="0"/>
                <w:sz w:val="17"/>
              </w:rPr>
              <w:t>Point-in-Time, PIT</w:t>
            </w:r>
          </w:p>
        </w:tc>
        <w:tc>
          <w:tcPr>
            <w:tcW w:type="dxa" w:w="3099"/>
          </w:tcPr>
          <w:p>
            <w:pPr>
              <w:spacing w:after="20" w:line="276" w:lineRule="auto"/>
            </w:pPr>
            <w:r/>
            <w:r>
              <w:rPr>
                <w:rFonts w:ascii="Times New Roman" w:hAnsi="Times New Roman" w:eastAsia="宋体"/>
                <w:b w:val="0"/>
                <w:i w:val="0"/>
                <w:sz w:val="17"/>
              </w:rPr>
              <w:t>按实际可获得时间存储与读取的数据组织方式</w:t>
            </w:r>
          </w:p>
        </w:tc>
      </w:tr>
      <w:tr>
        <w:tc>
          <w:tcPr>
            <w:tcW w:type="dxa" w:w="3099"/>
          </w:tcPr>
          <w:p>
            <w:pPr>
              <w:spacing w:after="20" w:line="276" w:lineRule="auto"/>
            </w:pPr>
            <w:r/>
            <w:r>
              <w:rPr>
                <w:rFonts w:ascii="Times New Roman" w:hAnsi="Times New Roman" w:eastAsia="宋体"/>
                <w:b w:val="0"/>
                <w:i w:val="0"/>
                <w:sz w:val="17"/>
              </w:rPr>
              <w:t>风险锚</w:t>
            </w:r>
          </w:p>
        </w:tc>
        <w:tc>
          <w:tcPr>
            <w:tcW w:type="dxa" w:w="3099"/>
          </w:tcPr>
          <w:p>
            <w:pPr>
              <w:spacing w:after="20" w:line="276" w:lineRule="auto"/>
            </w:pPr>
            <w:r/>
            <w:r>
              <w:rPr>
                <w:rFonts w:ascii="Times New Roman" w:hAnsi="Times New Roman" w:eastAsia="宋体"/>
                <w:b w:val="0"/>
                <w:i w:val="0"/>
                <w:sz w:val="17"/>
              </w:rPr>
              <w:t xml:space="preserve">risk anchor / </w:t>
            </w:r>
            <w:r>
              <w:rPr>
                <w:rFonts w:ascii="Consolas" w:hAnsi="Consolas" w:eastAsia="Consolas"/>
                <w:b w:val="0"/>
                <w:i w:val="0"/>
                <w:color w:val="8B1E3F"/>
                <w:sz w:val="16"/>
              </w:rPr>
              <w:t>base_signal_ref</w:t>
            </w:r>
          </w:p>
        </w:tc>
        <w:tc>
          <w:tcPr>
            <w:tcW w:type="dxa" w:w="3099"/>
          </w:tcPr>
          <w:p>
            <w:pPr>
              <w:spacing w:after="20" w:line="276" w:lineRule="auto"/>
            </w:pPr>
            <w:r/>
            <w:r>
              <w:rPr>
                <w:rFonts w:ascii="Times New Roman" w:hAnsi="Times New Roman" w:eastAsia="宋体"/>
                <w:b w:val="0"/>
                <w:i w:val="0"/>
                <w:sz w:val="17"/>
              </w:rPr>
              <w:t>三主体共享的融合风险信号，保证比较基准一致</w:t>
            </w:r>
          </w:p>
        </w:tc>
      </w:tr>
      <w:tr>
        <w:tc>
          <w:tcPr>
            <w:tcW w:type="dxa" w:w="3099"/>
          </w:tcPr>
          <w:p>
            <w:pPr>
              <w:spacing w:after="20" w:line="276" w:lineRule="auto"/>
            </w:pPr>
            <w:r/>
            <w:r>
              <w:rPr>
                <w:rFonts w:ascii="Times New Roman" w:hAnsi="Times New Roman" w:eastAsia="宋体"/>
                <w:b w:val="0"/>
                <w:i w:val="0"/>
                <w:sz w:val="17"/>
              </w:rPr>
              <w:t>风险信号</w:t>
            </w:r>
          </w:p>
        </w:tc>
        <w:tc>
          <w:tcPr>
            <w:tcW w:type="dxa" w:w="3099"/>
          </w:tcPr>
          <w:p>
            <w:pPr>
              <w:spacing w:after="20" w:line="276" w:lineRule="auto"/>
            </w:pPr>
            <w:r/>
            <w:r>
              <w:rPr>
                <w:rFonts w:ascii="Consolas" w:hAnsi="Consolas" w:eastAsia="Consolas"/>
                <w:b w:val="0"/>
                <w:i w:val="0"/>
                <w:color w:val="8B1E3F"/>
                <w:sz w:val="16"/>
              </w:rPr>
              <w:t>RiskSignal</w:t>
            </w:r>
          </w:p>
        </w:tc>
        <w:tc>
          <w:tcPr>
            <w:tcW w:type="dxa" w:w="3099"/>
          </w:tcPr>
          <w:p>
            <w:pPr>
              <w:spacing w:after="20" w:line="276" w:lineRule="auto"/>
            </w:pPr>
            <w:r/>
            <w:r>
              <w:rPr>
                <w:rFonts w:ascii="Times New Roman" w:hAnsi="Times New Roman" w:eastAsia="宋体"/>
                <w:b w:val="0"/>
                <w:i w:val="0"/>
                <w:sz w:val="17"/>
              </w:rPr>
              <w:t>5/10/20 日高压力概率、分位、驱动、模态贡献与证据引用</w:t>
            </w:r>
          </w:p>
        </w:tc>
      </w:tr>
      <w:tr>
        <w:tc>
          <w:tcPr>
            <w:tcW w:type="dxa" w:w="3099"/>
          </w:tcPr>
          <w:p>
            <w:pPr>
              <w:spacing w:after="20" w:line="276" w:lineRule="auto"/>
            </w:pPr>
            <w:r/>
            <w:r>
              <w:rPr>
                <w:rFonts w:ascii="Times New Roman" w:hAnsi="Times New Roman" w:eastAsia="宋体"/>
                <w:b w:val="0"/>
                <w:i w:val="0"/>
                <w:sz w:val="17"/>
              </w:rPr>
              <w:t>证据</w:t>
            </w:r>
          </w:p>
        </w:tc>
        <w:tc>
          <w:tcPr>
            <w:tcW w:type="dxa" w:w="3099"/>
          </w:tcPr>
          <w:p>
            <w:pPr>
              <w:spacing w:after="20" w:line="276" w:lineRule="auto"/>
            </w:pPr>
            <w:r/>
            <w:r>
              <w:rPr>
                <w:rFonts w:ascii="Consolas" w:hAnsi="Consolas" w:eastAsia="Consolas"/>
                <w:b w:val="0"/>
                <w:i w:val="0"/>
                <w:color w:val="8B1E3F"/>
                <w:sz w:val="16"/>
              </w:rPr>
              <w:t>Evidence</w:t>
            </w:r>
          </w:p>
        </w:tc>
        <w:tc>
          <w:tcPr>
            <w:tcW w:type="dxa" w:w="3099"/>
          </w:tcPr>
          <w:p>
            <w:pPr>
              <w:spacing w:after="20" w:line="276" w:lineRule="auto"/>
            </w:pPr>
            <w:r/>
            <w:r>
              <w:rPr>
                <w:rFonts w:ascii="Times New Roman" w:hAnsi="Times New Roman" w:eastAsia="宋体"/>
                <w:b w:val="0"/>
                <w:i w:val="0"/>
                <w:sz w:val="17"/>
              </w:rPr>
              <w:t>协同黑板上的原子证据对象，含来源、时点、工具版本与哈希</w:t>
            </w:r>
          </w:p>
        </w:tc>
      </w:tr>
      <w:tr>
        <w:tc>
          <w:tcPr>
            <w:tcW w:type="dxa" w:w="3099"/>
          </w:tcPr>
          <w:p>
            <w:pPr>
              <w:spacing w:after="20" w:line="276" w:lineRule="auto"/>
            </w:pPr>
            <w:r/>
            <w:r>
              <w:rPr>
                <w:rFonts w:ascii="Times New Roman" w:hAnsi="Times New Roman" w:eastAsia="宋体"/>
                <w:b w:val="0"/>
                <w:i w:val="0"/>
                <w:sz w:val="17"/>
              </w:rPr>
              <w:t>主张</w:t>
            </w:r>
          </w:p>
        </w:tc>
        <w:tc>
          <w:tcPr>
            <w:tcW w:type="dxa" w:w="3099"/>
          </w:tcPr>
          <w:p>
            <w:pPr>
              <w:spacing w:after="20" w:line="276" w:lineRule="auto"/>
            </w:pPr>
            <w:r/>
            <w:r>
              <w:rPr>
                <w:rFonts w:ascii="Consolas" w:hAnsi="Consolas" w:eastAsia="Consolas"/>
                <w:b w:val="0"/>
                <w:i w:val="0"/>
                <w:color w:val="8B1E3F"/>
                <w:sz w:val="16"/>
              </w:rPr>
              <w:t>Claim</w:t>
            </w:r>
          </w:p>
        </w:tc>
        <w:tc>
          <w:tcPr>
            <w:tcW w:type="dxa" w:w="3099"/>
          </w:tcPr>
          <w:p>
            <w:pPr>
              <w:spacing w:after="20" w:line="276" w:lineRule="auto"/>
            </w:pPr>
            <w:r/>
            <w:r>
              <w:rPr>
                <w:rFonts w:ascii="Times New Roman" w:hAnsi="Times New Roman" w:eastAsia="宋体"/>
                <w:b w:val="0"/>
                <w:i w:val="0"/>
                <w:sz w:val="17"/>
              </w:rPr>
              <w:t>智能体的结构化判断，须绑定证据，分数值/文本/方向三类</w:t>
            </w:r>
          </w:p>
        </w:tc>
      </w:tr>
      <w:tr>
        <w:tc>
          <w:tcPr>
            <w:tcW w:type="dxa" w:w="3099"/>
          </w:tcPr>
          <w:p>
            <w:pPr>
              <w:spacing w:after="20" w:line="276" w:lineRule="auto"/>
            </w:pPr>
            <w:r/>
            <w:r>
              <w:rPr>
                <w:rFonts w:ascii="Times New Roman" w:hAnsi="Times New Roman" w:eastAsia="宋体"/>
                <w:b w:val="0"/>
                <w:i w:val="0"/>
                <w:sz w:val="17"/>
              </w:rPr>
              <w:t>风险卡</w:t>
            </w:r>
          </w:p>
        </w:tc>
        <w:tc>
          <w:tcPr>
            <w:tcW w:type="dxa" w:w="3099"/>
          </w:tcPr>
          <w:p>
            <w:pPr>
              <w:spacing w:after="20" w:line="276" w:lineRule="auto"/>
            </w:pPr>
            <w:r/>
            <w:r>
              <w:rPr>
                <w:rFonts w:ascii="Consolas" w:hAnsi="Consolas" w:eastAsia="Consolas"/>
                <w:b w:val="0"/>
                <w:i w:val="0"/>
                <w:color w:val="8B1E3F"/>
                <w:sz w:val="16"/>
              </w:rPr>
              <w:t>RiskCard</w:t>
            </w:r>
          </w:p>
        </w:tc>
        <w:tc>
          <w:tcPr>
            <w:tcW w:type="dxa" w:w="3099"/>
          </w:tcPr>
          <w:p>
            <w:pPr>
              <w:spacing w:after="20" w:line="276" w:lineRule="auto"/>
            </w:pPr>
            <w:r/>
            <w:r>
              <w:rPr>
                <w:rFonts w:ascii="Times New Roman" w:hAnsi="Times New Roman" w:eastAsia="宋体"/>
                <w:b w:val="0"/>
                <w:i w:val="0"/>
                <w:sz w:val="17"/>
              </w:rPr>
              <w:t>单个智能体的结构化输出，含等级、指标、主张、建议与局限</w:t>
            </w:r>
          </w:p>
        </w:tc>
      </w:tr>
      <w:tr>
        <w:tc>
          <w:tcPr>
            <w:tcW w:type="dxa" w:w="3099"/>
          </w:tcPr>
          <w:p>
            <w:pPr>
              <w:spacing w:after="20" w:line="276" w:lineRule="auto"/>
            </w:pPr>
            <w:r/>
            <w:r>
              <w:rPr>
                <w:rFonts w:ascii="Times New Roman" w:hAnsi="Times New Roman" w:eastAsia="宋体"/>
                <w:b w:val="0"/>
                <w:i w:val="0"/>
                <w:sz w:val="17"/>
              </w:rPr>
              <w:t>角色规范</w:t>
            </w:r>
          </w:p>
        </w:tc>
        <w:tc>
          <w:tcPr>
            <w:tcW w:type="dxa" w:w="3099"/>
          </w:tcPr>
          <w:p>
            <w:pPr>
              <w:spacing w:after="20" w:line="276" w:lineRule="auto"/>
            </w:pPr>
            <w:r/>
            <w:r>
              <w:rPr>
                <w:rFonts w:ascii="Consolas" w:hAnsi="Consolas" w:eastAsia="Consolas"/>
                <w:b w:val="0"/>
                <w:i w:val="0"/>
                <w:color w:val="8B1E3F"/>
                <w:sz w:val="16"/>
              </w:rPr>
              <w:t>RoleSpec</w:t>
            </w:r>
          </w:p>
        </w:tc>
        <w:tc>
          <w:tcPr>
            <w:tcW w:type="dxa" w:w="3099"/>
          </w:tcPr>
          <w:p>
            <w:pPr>
              <w:spacing w:after="20" w:line="276" w:lineRule="auto"/>
            </w:pPr>
            <w:r/>
            <w:r>
              <w:rPr>
                <w:rFonts w:ascii="Times New Roman" w:hAnsi="Times New Roman" w:eastAsia="宋体"/>
                <w:b w:val="0"/>
                <w:i w:val="0"/>
                <w:sz w:val="17"/>
              </w:rPr>
              <w:t>主体的目标、信息权限、工具权限、阈值、损失权重与禁止行为</w:t>
            </w:r>
          </w:p>
        </w:tc>
      </w:tr>
      <w:tr>
        <w:tc>
          <w:tcPr>
            <w:tcW w:type="dxa" w:w="3099"/>
          </w:tcPr>
          <w:p>
            <w:pPr>
              <w:spacing w:after="20" w:line="276" w:lineRule="auto"/>
            </w:pPr>
            <w:r/>
            <w:r>
              <w:rPr>
                <w:rFonts w:ascii="Times New Roman" w:hAnsi="Times New Roman" w:eastAsia="宋体"/>
                <w:b w:val="0"/>
                <w:i w:val="0"/>
                <w:sz w:val="17"/>
              </w:rPr>
              <w:t>检索增强生成</w:t>
            </w:r>
          </w:p>
        </w:tc>
        <w:tc>
          <w:tcPr>
            <w:tcW w:type="dxa" w:w="3099"/>
          </w:tcPr>
          <w:p>
            <w:pPr>
              <w:spacing w:after="20" w:line="276" w:lineRule="auto"/>
            </w:pPr>
            <w:r/>
            <w:r>
              <w:rPr>
                <w:rFonts w:ascii="Times New Roman" w:hAnsi="Times New Roman" w:eastAsia="宋体"/>
                <w:b w:val="0"/>
                <w:i w:val="0"/>
                <w:sz w:val="17"/>
              </w:rPr>
              <w:t>RAG</w:t>
            </w:r>
          </w:p>
        </w:tc>
        <w:tc>
          <w:tcPr>
            <w:tcW w:type="dxa" w:w="3099"/>
          </w:tcPr>
          <w:p>
            <w:pPr>
              <w:spacing w:after="20" w:line="276" w:lineRule="auto"/>
            </w:pPr>
            <w:r/>
            <w:r>
              <w:rPr>
                <w:rFonts w:ascii="Times New Roman" w:hAnsi="Times New Roman" w:eastAsia="宋体"/>
                <w:b w:val="0"/>
                <w:i w:val="0"/>
                <w:sz w:val="17"/>
              </w:rPr>
              <w:t>先检索时点合规知识片段、再据此生成或引用的方式</w:t>
            </w:r>
          </w:p>
        </w:tc>
      </w:tr>
      <w:tr>
        <w:tc>
          <w:tcPr>
            <w:tcW w:type="dxa" w:w="3099"/>
          </w:tcPr>
          <w:p>
            <w:pPr>
              <w:spacing w:after="20" w:line="276" w:lineRule="auto"/>
            </w:pPr>
            <w:r/>
            <w:r>
              <w:rPr>
                <w:rFonts w:ascii="Times New Roman" w:hAnsi="Times New Roman" w:eastAsia="宋体"/>
                <w:b w:val="0"/>
                <w:i w:val="0"/>
                <w:sz w:val="17"/>
              </w:rPr>
              <w:t>时点回放</w:t>
            </w:r>
          </w:p>
        </w:tc>
        <w:tc>
          <w:tcPr>
            <w:tcW w:type="dxa" w:w="3099"/>
          </w:tcPr>
          <w:p>
            <w:pPr>
              <w:spacing w:after="20" w:line="276" w:lineRule="auto"/>
            </w:pPr>
            <w:r/>
            <w:r>
              <w:rPr>
                <w:rFonts w:ascii="Times New Roman" w:hAnsi="Times New Roman" w:eastAsia="宋体"/>
                <w:b w:val="0"/>
                <w:i w:val="0"/>
                <w:sz w:val="17"/>
              </w:rPr>
              <w:t>historical replay</w:t>
            </w:r>
          </w:p>
        </w:tc>
        <w:tc>
          <w:tcPr>
            <w:tcW w:type="dxa" w:w="3099"/>
          </w:tcPr>
          <w:p>
            <w:pPr>
              <w:spacing w:after="20" w:line="276" w:lineRule="auto"/>
            </w:pPr>
            <w:r/>
            <w:r>
              <w:rPr>
                <w:rFonts w:ascii="Times New Roman" w:hAnsi="Times New Roman" w:eastAsia="宋体"/>
                <w:b w:val="0"/>
                <w:i w:val="0"/>
                <w:sz w:val="17"/>
              </w:rPr>
              <w:t xml:space="preserve">以历史某日为 </w:t>
            </w:r>
            <w:r>
              <w:rPr>
                <w:rFonts w:ascii="Consolas" w:hAnsi="Consolas" w:eastAsia="Consolas"/>
                <w:b w:val="0"/>
                <w:i w:val="0"/>
                <w:color w:val="8B1E3F"/>
                <w:sz w:val="16"/>
              </w:rPr>
              <w:t>as_of</w:t>
            </w:r>
            <w:r>
              <w:rPr>
                <w:rFonts w:ascii="Times New Roman" w:hAnsi="Times New Roman" w:eastAsia="宋体"/>
                <w:b w:val="0"/>
                <w:i w:val="0"/>
                <w:sz w:val="17"/>
              </w:rPr>
              <w:t>，仅用当日可得信息重演决策过程</w:t>
            </w:r>
          </w:p>
        </w:tc>
      </w:tr>
      <w:tr>
        <w:tc>
          <w:tcPr>
            <w:tcW w:type="dxa" w:w="3099"/>
          </w:tcPr>
          <w:p>
            <w:pPr>
              <w:spacing w:after="20" w:line="276" w:lineRule="auto"/>
            </w:pPr>
            <w:r/>
            <w:r>
              <w:rPr>
                <w:rFonts w:ascii="Times New Roman" w:hAnsi="Times New Roman" w:eastAsia="宋体"/>
                <w:b w:val="0"/>
                <w:i w:val="0"/>
                <w:sz w:val="17"/>
              </w:rPr>
              <w:t>可消融</w:t>
            </w:r>
          </w:p>
        </w:tc>
        <w:tc>
          <w:tcPr>
            <w:tcW w:type="dxa" w:w="3099"/>
          </w:tcPr>
          <w:p>
            <w:pPr>
              <w:spacing w:after="20" w:line="276" w:lineRule="auto"/>
            </w:pPr>
            <w:r/>
            <w:r>
              <w:rPr>
                <w:rFonts w:ascii="Times New Roman" w:hAnsi="Times New Roman" w:eastAsia="宋体"/>
                <w:b w:val="0"/>
                <w:i w:val="0"/>
                <w:sz w:val="17"/>
              </w:rPr>
              <w:t>ablation-ready</w:t>
            </w:r>
          </w:p>
        </w:tc>
        <w:tc>
          <w:tcPr>
            <w:tcW w:type="dxa" w:w="3099"/>
          </w:tcPr>
          <w:p>
            <w:pPr>
              <w:spacing w:after="20" w:line="276" w:lineRule="auto"/>
            </w:pPr>
            <w:r/>
            <w:r>
              <w:rPr>
                <w:rFonts w:ascii="Times New Roman" w:hAnsi="Times New Roman" w:eastAsia="宋体"/>
                <w:b w:val="0"/>
                <w:i w:val="0"/>
                <w:sz w:val="17"/>
              </w:rPr>
              <w:t>方法模块可通过配置独立开关，用于识别其贡献</w:t>
            </w:r>
          </w:p>
        </w:tc>
      </w:tr>
      <w:tr>
        <w:tc>
          <w:tcPr>
            <w:tcW w:type="dxa" w:w="3099"/>
          </w:tcPr>
          <w:p>
            <w:pPr>
              <w:spacing w:after="20" w:line="276" w:lineRule="auto"/>
            </w:pPr>
            <w:r/>
            <w:r>
              <w:rPr>
                <w:rFonts w:ascii="Times New Roman" w:hAnsi="Times New Roman" w:eastAsia="宋体"/>
                <w:b w:val="0"/>
                <w:i w:val="0"/>
                <w:sz w:val="17"/>
              </w:rPr>
              <w:t>事实冲突</w:t>
            </w:r>
          </w:p>
        </w:tc>
        <w:tc>
          <w:tcPr>
            <w:tcW w:type="dxa" w:w="3099"/>
          </w:tcPr>
          <w:p>
            <w:pPr>
              <w:spacing w:after="20" w:line="276" w:lineRule="auto"/>
            </w:pPr>
            <w:r/>
            <w:r>
              <w:rPr>
                <w:rFonts w:ascii="Times New Roman" w:hAnsi="Times New Roman" w:eastAsia="宋体"/>
                <w:b w:val="0"/>
                <w:i w:val="0"/>
                <w:sz w:val="17"/>
              </w:rPr>
              <w:t>fact conflict</w:t>
            </w:r>
          </w:p>
        </w:tc>
        <w:tc>
          <w:tcPr>
            <w:tcW w:type="dxa" w:w="3099"/>
          </w:tcPr>
          <w:p>
            <w:pPr>
              <w:spacing w:after="20" w:line="276" w:lineRule="auto"/>
            </w:pPr>
            <w:r/>
            <w:r>
              <w:rPr>
                <w:rFonts w:ascii="Times New Roman" w:hAnsi="Times New Roman" w:eastAsia="宋体"/>
                <w:b w:val="0"/>
                <w:i w:val="0"/>
                <w:sz w:val="17"/>
              </w:rPr>
              <w:t>同口径下数值不一致</w:t>
            </w:r>
          </w:p>
        </w:tc>
      </w:tr>
      <w:tr>
        <w:tc>
          <w:tcPr>
            <w:tcW w:type="dxa" w:w="3099"/>
          </w:tcPr>
          <w:p>
            <w:pPr>
              <w:spacing w:after="20" w:line="276" w:lineRule="auto"/>
            </w:pPr>
            <w:r/>
            <w:r>
              <w:rPr>
                <w:rFonts w:ascii="Times New Roman" w:hAnsi="Times New Roman" w:eastAsia="宋体"/>
                <w:b w:val="0"/>
                <w:i w:val="0"/>
                <w:sz w:val="17"/>
              </w:rPr>
              <w:t>方向冲突</w:t>
            </w:r>
          </w:p>
        </w:tc>
        <w:tc>
          <w:tcPr>
            <w:tcW w:type="dxa" w:w="3099"/>
          </w:tcPr>
          <w:p>
            <w:pPr>
              <w:spacing w:after="20" w:line="276" w:lineRule="auto"/>
            </w:pPr>
            <w:r/>
            <w:r>
              <w:rPr>
                <w:rFonts w:ascii="Times New Roman" w:hAnsi="Times New Roman" w:eastAsia="宋体"/>
                <w:b w:val="0"/>
                <w:i w:val="0"/>
                <w:sz w:val="17"/>
              </w:rPr>
              <w:t>directional conflict</w:t>
            </w:r>
          </w:p>
        </w:tc>
        <w:tc>
          <w:tcPr>
            <w:tcW w:type="dxa" w:w="3099"/>
          </w:tcPr>
          <w:p>
            <w:pPr>
              <w:spacing w:after="20" w:line="276" w:lineRule="auto"/>
            </w:pPr>
            <w:r/>
            <w:r>
              <w:rPr>
                <w:rFonts w:ascii="Times New Roman" w:hAnsi="Times New Roman" w:eastAsia="宋体"/>
                <w:b w:val="0"/>
                <w:i w:val="0"/>
                <w:sz w:val="17"/>
              </w:rPr>
              <w:t>数值证据不矛盾但方向或等级判断相反</w:t>
            </w:r>
          </w:p>
        </w:tc>
      </w:tr>
      <w:tr>
        <w:tc>
          <w:tcPr>
            <w:tcW w:type="dxa" w:w="3099"/>
          </w:tcPr>
          <w:p>
            <w:pPr>
              <w:spacing w:after="20" w:line="276" w:lineRule="auto"/>
            </w:pPr>
            <w:r/>
            <w:r>
              <w:rPr>
                <w:rFonts w:ascii="Times New Roman" w:hAnsi="Times New Roman" w:eastAsia="宋体"/>
                <w:b w:val="0"/>
                <w:i w:val="0"/>
                <w:sz w:val="17"/>
              </w:rPr>
              <w:t>偏好差异</w:t>
            </w:r>
          </w:p>
        </w:tc>
        <w:tc>
          <w:tcPr>
            <w:tcW w:type="dxa" w:w="3099"/>
          </w:tcPr>
          <w:p>
            <w:pPr>
              <w:spacing w:after="20" w:line="276" w:lineRule="auto"/>
            </w:pPr>
            <w:r/>
            <w:r>
              <w:rPr>
                <w:rFonts w:ascii="Times New Roman" w:hAnsi="Times New Roman" w:eastAsia="宋体"/>
                <w:b w:val="0"/>
                <w:i w:val="0"/>
                <w:sz w:val="17"/>
              </w:rPr>
              <w:t>preference divergence</w:t>
            </w:r>
          </w:p>
        </w:tc>
        <w:tc>
          <w:tcPr>
            <w:tcW w:type="dxa" w:w="3099"/>
          </w:tcPr>
          <w:p>
            <w:pPr>
              <w:spacing w:after="20" w:line="276" w:lineRule="auto"/>
            </w:pPr>
            <w:r/>
            <w:r>
              <w:rPr>
                <w:rFonts w:ascii="Times New Roman" w:hAnsi="Times New Roman" w:eastAsia="宋体"/>
                <w:b w:val="0"/>
                <w:i w:val="0"/>
                <w:sz w:val="17"/>
              </w:rPr>
              <w:t>证据一致但因阈值或损失权重不同产生的合理差异</w:t>
            </w:r>
          </w:p>
        </w:tc>
      </w:tr>
      <w:tr>
        <w:tc>
          <w:tcPr>
            <w:tcW w:type="dxa" w:w="3099"/>
          </w:tcPr>
          <w:p>
            <w:pPr>
              <w:spacing w:after="20" w:line="276" w:lineRule="auto"/>
            </w:pPr>
            <w:r/>
            <w:r>
              <w:rPr>
                <w:rFonts w:ascii="Times New Roman" w:hAnsi="Times New Roman" w:eastAsia="宋体"/>
                <w:b w:val="0"/>
                <w:i w:val="0"/>
                <w:sz w:val="17"/>
              </w:rPr>
              <w:t>人工接管</w:t>
            </w:r>
          </w:p>
        </w:tc>
        <w:tc>
          <w:tcPr>
            <w:tcW w:type="dxa" w:w="3099"/>
          </w:tcPr>
          <w:p>
            <w:pPr>
              <w:spacing w:after="20" w:line="276" w:lineRule="auto"/>
            </w:pPr>
            <w:r/>
            <w:r>
              <w:rPr>
                <w:rFonts w:ascii="Times New Roman" w:hAnsi="Times New Roman" w:eastAsia="宋体"/>
                <w:b w:val="0"/>
                <w:i w:val="0"/>
                <w:sz w:val="17"/>
              </w:rPr>
              <w:t>HITL</w:t>
            </w:r>
          </w:p>
        </w:tc>
        <w:tc>
          <w:tcPr>
            <w:tcW w:type="dxa" w:w="3099"/>
          </w:tcPr>
          <w:p>
            <w:pPr>
              <w:spacing w:after="20" w:line="276" w:lineRule="auto"/>
            </w:pPr>
            <w:r/>
            <w:r>
              <w:rPr>
                <w:rFonts w:ascii="Times New Roman" w:hAnsi="Times New Roman" w:eastAsia="宋体"/>
                <w:b w:val="0"/>
                <w:i w:val="0"/>
                <w:sz w:val="17"/>
              </w:rPr>
              <w:t>高风险或未解决冲突时由人工批准、修改或驳回</w:t>
            </w:r>
          </w:p>
        </w:tc>
      </w:tr>
      <w:tr>
        <w:tc>
          <w:tcPr>
            <w:tcW w:type="dxa" w:w="3099"/>
          </w:tcPr>
          <w:p>
            <w:pPr>
              <w:spacing w:after="20" w:line="276" w:lineRule="auto"/>
            </w:pPr>
            <w:r/>
            <w:r>
              <w:rPr>
                <w:rFonts w:ascii="Times New Roman" w:hAnsi="Times New Roman" w:eastAsia="宋体"/>
                <w:b w:val="0"/>
                <w:i w:val="0"/>
                <w:sz w:val="17"/>
              </w:rPr>
              <w:t>协同成本</w:t>
            </w:r>
          </w:p>
        </w:tc>
        <w:tc>
          <w:tcPr>
            <w:tcW w:type="dxa" w:w="3099"/>
          </w:tcPr>
          <w:p>
            <w:pPr>
              <w:spacing w:after="20" w:line="276" w:lineRule="auto"/>
            </w:pPr>
            <w:r/>
            <w:r>
              <w:rPr>
                <w:rFonts w:ascii="Times New Roman" w:hAnsi="Times New Roman" w:eastAsia="宋体"/>
                <w:b w:val="0"/>
                <w:i w:val="0"/>
                <w:sz w:val="17"/>
              </w:rPr>
              <w:t>coordination cost</w:t>
            </w:r>
          </w:p>
        </w:tc>
        <w:tc>
          <w:tcPr>
            <w:tcW w:type="dxa" w:w="3099"/>
          </w:tcPr>
          <w:p>
            <w:pPr>
              <w:spacing w:after="20" w:line="276" w:lineRule="auto"/>
            </w:pPr>
            <w:r/>
            <w:r>
              <w:rPr>
                <w:rFonts w:ascii="Times New Roman" w:hAnsi="Times New Roman" w:eastAsia="宋体"/>
                <w:b w:val="0"/>
                <w:i w:val="0"/>
                <w:sz w:val="17"/>
              </w:rPr>
              <w:t>工具调用、token 与延迟的折算成本</w:t>
            </w:r>
          </w:p>
        </w:tc>
      </w:tr>
      <w:tr>
        <w:tc>
          <w:tcPr>
            <w:tcW w:type="dxa" w:w="3099"/>
          </w:tcPr>
          <w:p>
            <w:pPr>
              <w:spacing w:after="20" w:line="276" w:lineRule="auto"/>
            </w:pPr>
            <w:r/>
            <w:r>
              <w:rPr>
                <w:rFonts w:ascii="Times New Roman" w:hAnsi="Times New Roman" w:eastAsia="宋体"/>
                <w:b w:val="0"/>
                <w:i w:val="0"/>
                <w:sz w:val="17"/>
              </w:rPr>
              <w:t>模态贡献</w:t>
            </w:r>
          </w:p>
        </w:tc>
        <w:tc>
          <w:tcPr>
            <w:tcW w:type="dxa" w:w="3099"/>
          </w:tcPr>
          <w:p>
            <w:pPr>
              <w:spacing w:after="20" w:line="276" w:lineRule="auto"/>
            </w:pPr>
            <w:r/>
            <w:r>
              <w:rPr>
                <w:rFonts w:ascii="Consolas" w:hAnsi="Consolas" w:eastAsia="Consolas"/>
                <w:b w:val="0"/>
                <w:i w:val="0"/>
                <w:color w:val="8B1E3F"/>
                <w:sz w:val="16"/>
              </w:rPr>
              <w:t>modality_contrib</w:t>
            </w:r>
          </w:p>
        </w:tc>
        <w:tc>
          <w:tcPr>
            <w:tcW w:type="dxa" w:w="3099"/>
          </w:tcPr>
          <w:p>
            <w:pPr>
              <w:spacing w:after="20" w:line="276" w:lineRule="auto"/>
            </w:pPr>
            <w:r/>
            <w:r>
              <w:rPr>
                <w:rFonts w:ascii="Times New Roman" w:hAnsi="Times New Roman" w:eastAsia="宋体"/>
                <w:b w:val="0"/>
                <w:i w:val="0"/>
                <w:sz w:val="17"/>
              </w:rPr>
              <w:t>数值与文本模态对预测的相对归因占比</w:t>
            </w:r>
          </w:p>
        </w:tc>
      </w:tr>
      <w:tr>
        <w:tc>
          <w:tcPr>
            <w:tcW w:type="dxa" w:w="3099"/>
          </w:tcPr>
          <w:p>
            <w:pPr>
              <w:spacing w:after="20" w:line="276" w:lineRule="auto"/>
            </w:pPr>
            <w:r/>
            <w:r>
              <w:rPr>
                <w:rFonts w:ascii="Times New Roman" w:hAnsi="Times New Roman" w:eastAsia="宋体"/>
                <w:b w:val="0"/>
                <w:i w:val="0"/>
                <w:sz w:val="17"/>
              </w:rPr>
              <w:t>校准误差</w:t>
            </w:r>
          </w:p>
        </w:tc>
        <w:tc>
          <w:tcPr>
            <w:tcW w:type="dxa" w:w="3099"/>
          </w:tcPr>
          <w:p>
            <w:pPr>
              <w:spacing w:after="20" w:line="276" w:lineRule="auto"/>
            </w:pPr>
            <w:r/>
            <w:r>
              <w:rPr>
                <w:rFonts w:ascii="Times New Roman" w:hAnsi="Times New Roman" w:eastAsia="宋体"/>
                <w:b w:val="0"/>
                <w:i w:val="0"/>
                <w:sz w:val="17"/>
              </w:rPr>
              <w:t>ECE</w:t>
            </w:r>
          </w:p>
        </w:tc>
        <w:tc>
          <w:tcPr>
            <w:tcW w:type="dxa" w:w="3099"/>
          </w:tcPr>
          <w:p>
            <w:pPr>
              <w:spacing w:after="20" w:line="276" w:lineRule="auto"/>
            </w:pPr>
            <w:r/>
            <w:r>
              <w:rPr>
                <w:rFonts w:ascii="Times New Roman" w:hAnsi="Times New Roman" w:eastAsia="宋体"/>
                <w:b w:val="0"/>
                <w:i w:val="0"/>
                <w:sz w:val="17"/>
              </w:rPr>
              <w:t>预测概率与实际命中率的期望偏差</w:t>
            </w:r>
          </w:p>
        </w:tc>
      </w:tr>
      <w:tr>
        <w:tc>
          <w:tcPr>
            <w:tcW w:type="dxa" w:w="3099"/>
          </w:tcPr>
          <w:p>
            <w:pPr>
              <w:spacing w:after="20" w:line="276" w:lineRule="auto"/>
            </w:pPr>
            <w:r/>
            <w:r>
              <w:rPr>
                <w:rFonts w:ascii="Times New Roman" w:hAnsi="Times New Roman" w:eastAsia="宋体"/>
                <w:b w:val="0"/>
                <w:i w:val="0"/>
                <w:sz w:val="17"/>
              </w:rPr>
              <w:t>预警提前期</w:t>
            </w:r>
          </w:p>
        </w:tc>
        <w:tc>
          <w:tcPr>
            <w:tcW w:type="dxa" w:w="3099"/>
          </w:tcPr>
          <w:p>
            <w:pPr>
              <w:spacing w:after="20" w:line="276" w:lineRule="auto"/>
            </w:pPr>
            <w:r/>
            <w:r>
              <w:rPr>
                <w:rFonts w:ascii="Times New Roman" w:hAnsi="Times New Roman" w:eastAsia="宋体"/>
                <w:b w:val="0"/>
                <w:i w:val="0"/>
                <w:sz w:val="17"/>
              </w:rPr>
              <w:t>lead time</w:t>
            </w:r>
          </w:p>
        </w:tc>
        <w:tc>
          <w:tcPr>
            <w:tcW w:type="dxa" w:w="3099"/>
          </w:tcPr>
          <w:p>
            <w:pPr>
              <w:spacing w:after="20" w:line="276" w:lineRule="auto"/>
            </w:pPr>
            <w:r/>
            <w:r>
              <w:rPr>
                <w:rFonts w:ascii="Times New Roman" w:hAnsi="Times New Roman" w:eastAsia="宋体"/>
                <w:b w:val="0"/>
                <w:i w:val="0"/>
                <w:sz w:val="17"/>
              </w:rPr>
              <w:t>压力事件起始日与首次有效预警日之间的交易日数</w:t>
            </w:r>
          </w:p>
        </w:tc>
      </w:tr>
    </w:tbl>
    <w:p>
      <w:pPr>
        <w:spacing w:after="40"/>
      </w:pP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8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黑体"/>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黑体"/>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黑体"/>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