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C01BF">
      <w:pPr>
        <w:pStyle w:val="31"/>
        <w:jc w:val="center"/>
      </w:pPr>
      <w:r>
        <w:rPr>
          <w:rFonts w:ascii="Times New Roman" w:hAnsi="Times New Roman" w:eastAsia="仿宋"/>
          <w:b/>
        </w:rPr>
        <w:t>跨境金融风险的多智能体协同预警：多模态信息融合视角</w:t>
      </w:r>
    </w:p>
    <w:p w14:paraId="5CEB3B0A">
      <w:pPr>
        <w:pStyle w:val="164"/>
        <w:jc w:val="both"/>
      </w:pPr>
      <w:r>
        <w:rPr>
          <w:rFonts w:ascii="Times New Roman" w:hAnsi="Times New Roman" w:eastAsia="仿宋"/>
          <w:b w:val="0"/>
          <w:color w:val="5A6774"/>
          <w:sz w:val="20"/>
        </w:rPr>
        <w:t>方向2 · 预警应用论文研究框架</w:t>
      </w:r>
    </w:p>
    <w:p w14:paraId="6D1E7ABA">
      <w:pPr>
        <w:spacing w:after="160"/>
        <w:ind w:firstLine="0"/>
        <w:jc w:val="both"/>
      </w:pPr>
      <w:r>
        <w:rPr>
          <w:rFonts w:ascii="Times New Roman" w:hAnsi="Times New Roman" w:eastAsia="仿宋"/>
          <w:b/>
        </w:rPr>
        <w:t>摘要（研究设计稿）：</w:t>
      </w:r>
      <w:r>
        <w:rPr>
          <w:rFonts w:ascii="Times New Roman" w:hAnsi="Times New Roman" w:eastAsia="仿宋"/>
          <w:b w:val="0"/>
          <w:color w:val="000000" w:themeColor="text1"/>
          <w14:textFill>
            <w14:solidFill>
              <w14:schemeClr w14:val="tx1"/>
            </w14:solidFill>
          </w14:textFill>
        </w:rPr>
        <w:t>针对跨境金融风险信息异构、金融主体风险目标差异及大语言模型预警结果难以核验的问题，本文拟研究多模态信息融合视角下的跨境金融风险多智能体协同预警方法。以跨境金融市场压力高位状态为共同预警目标，整合金融市场时序与政策新闻等事前可得信息，构建金融知识检索和专业风险测度工具增强的监管、投资与融资智能体，并设计证据共享、分歧协调和可复核验证机制。通过严格时点约束的样本外预测、对照与消融实验，分别检验多模态信息增益、知识及工具增强效果与多主体协同的决策支持价值。研究拟识别不同模块的有效性及其适用边界，为跨境金融风险监测与差异化决策支持提供可复现的方法依据</w:t>
      </w:r>
      <w:r>
        <w:rPr>
          <w:rFonts w:hint="eastAsia"/>
          <w:b w:val="0"/>
          <w:color w:val="FF0000"/>
          <w:highlight w:val="yellow"/>
          <w:lang w:eastAsia="zh-CN"/>
        </w:rPr>
        <w:t>（</w:t>
      </w:r>
      <w:r>
        <w:rPr>
          <w:rFonts w:hint="eastAsia"/>
          <w:b w:val="0"/>
          <w:color w:val="FF0000"/>
          <w:highlight w:val="yellow"/>
          <w:lang w:val="en-US" w:eastAsia="zh-CN"/>
        </w:rPr>
        <w:t>据实际修改</w:t>
      </w:r>
      <w:r>
        <w:rPr>
          <w:rFonts w:hint="eastAsia"/>
          <w:b w:val="0"/>
          <w:color w:val="FF0000"/>
          <w:highlight w:val="yellow"/>
          <w:lang w:eastAsia="zh-CN"/>
        </w:rPr>
        <w:t>）</w:t>
      </w:r>
      <w:r>
        <w:rPr>
          <w:rFonts w:ascii="Times New Roman" w:hAnsi="Times New Roman" w:eastAsia="仿宋"/>
          <w:b w:val="0"/>
          <w:color w:val="0000FF"/>
        </w:rPr>
        <w:t>。</w:t>
      </w:r>
      <w:r>
        <w:rPr>
          <w:rFonts w:ascii="Times New Roman" w:hAnsi="Times New Roman" w:eastAsia="仿宋"/>
          <w:b w:val="0"/>
        </w:rPr>
        <w:t>待实验完成后补充样本区间、实测结果和统计检验，不预先宣称性能改善。</w:t>
      </w:r>
    </w:p>
    <w:p w14:paraId="67D6036E">
      <w:pPr>
        <w:spacing w:after="180"/>
        <w:ind w:firstLine="0"/>
        <w:jc w:val="both"/>
      </w:pPr>
      <w:r>
        <w:rPr>
          <w:rFonts w:ascii="Times New Roman" w:hAnsi="Times New Roman" w:eastAsia="仿宋"/>
          <w:b/>
        </w:rPr>
        <w:t>关键词：</w:t>
      </w:r>
      <w:r>
        <w:rPr>
          <w:rFonts w:ascii="Times New Roman" w:hAnsi="Times New Roman" w:eastAsia="仿宋"/>
          <w:b w:val="0"/>
        </w:rPr>
        <w:t>跨境金融风险；多模态信息融合；大语言模型；多智能体协同；金融知识增强；风险预警</w:t>
      </w:r>
    </w:p>
    <w:p w14:paraId="1B4682E7">
      <w:pPr>
        <w:pStyle w:val="165"/>
        <w:keepNext/>
        <w:jc w:val="both"/>
      </w:pPr>
      <w:r>
        <w:t>论文定位与发表前提（正文框架之前的研究设计说明）</w:t>
      </w:r>
    </w:p>
    <w:p w14:paraId="01EA5FE1">
      <w:pPr>
        <w:spacing w:after="80"/>
        <w:ind w:firstLine="0"/>
        <w:jc w:val="both"/>
      </w:pPr>
      <w:r>
        <w:rPr>
          <w:rFonts w:ascii="Times New Roman" w:hAnsi="Times New Roman" w:eastAsia="仿宋"/>
          <w:b/>
        </w:rPr>
        <w:t>研究定位：</w:t>
      </w:r>
      <w:r>
        <w:rPr>
          <w:rFonts w:ascii="Times New Roman" w:hAnsi="Times New Roman" w:eastAsia="仿宋"/>
          <w:b w:val="0"/>
        </w:rPr>
        <w:t>以跨境金融风险预警为情境的智能决策支持方法与应用研究；以可检验的金融知识和工具增强、多主体协作机制及其适用条件构成学术贡献，不以系统能生成三类报告作为创新证明。</w:t>
      </w:r>
    </w:p>
    <w:p w14:paraId="6A785822">
      <w:pPr>
        <w:spacing w:after="200"/>
        <w:ind w:firstLine="0"/>
        <w:jc w:val="both"/>
      </w:pPr>
      <w:r>
        <w:rPr>
          <w:rFonts w:ascii="Times New Roman" w:hAnsi="Times New Roman" w:eastAsia="仿宋"/>
          <w:b/>
        </w:rPr>
        <w:t>研究推进顺序：</w:t>
      </w:r>
      <w:r>
        <w:rPr>
          <w:rFonts w:ascii="Times New Roman" w:hAnsi="Times New Roman" w:eastAsia="仿宋"/>
          <w:b w:val="0"/>
        </w:rPr>
        <w:t>研发阶段可先完成单智能体原型与金融工具链，再扩展监管、投资、融资专业化智能体及协作验证；论文按照“研究问题—方法设计—可检验命题—对照实验—管理启示”组织。</w:t>
      </w:r>
    </w:p>
    <w:p w14:paraId="5EC3B239">
      <w:pPr>
        <w:spacing w:after="80"/>
        <w:ind w:firstLine="0"/>
        <w:jc w:val="both"/>
      </w:pPr>
      <w:r>
        <w:rPr>
          <w:rFonts w:ascii="Times New Roman" w:hAnsi="Times New Roman" w:eastAsia="仿宋"/>
          <w:b/>
        </w:rPr>
        <w:t>首要问题一｜预警什么风险？</w:t>
      </w:r>
      <w:r>
        <w:rPr>
          <w:rFonts w:ascii="Times New Roman" w:hAnsi="Times New Roman" w:eastAsia="仿宋"/>
          <w:b w:val="0"/>
        </w:rPr>
        <w:t>先明确共同预警目标，建议以跨境金融市场压力高位状态为主，规定预警对象、预测期限和真实评价标准；再界定监管、投资与融资主体的差异化任务，不能将汇率波动、企业违约和金融体系风险混用同一风险标签。</w:t>
      </w:r>
    </w:p>
    <w:p w14:paraId="58FA1257">
      <w:pPr>
        <w:spacing w:after="80"/>
        <w:ind w:firstLine="0"/>
        <w:jc w:val="both"/>
      </w:pPr>
      <w:r>
        <w:rPr>
          <w:rFonts w:ascii="Times New Roman" w:hAnsi="Times New Roman" w:eastAsia="仿宋"/>
          <w:b/>
        </w:rPr>
        <w:t>首要问题二｜为什么需要三个智能体？</w:t>
      </w:r>
      <w:r>
        <w:rPr>
          <w:rFonts w:ascii="Times New Roman" w:hAnsi="Times New Roman" w:eastAsia="仿宋"/>
          <w:b w:val="0"/>
        </w:rPr>
        <w:t>明确三类主体的目标函数或损失权重、可用信息、工具权限与输出任务，证明其信息需求、风险目标和决策约束存在实质差异，并检验三主体协作相对于单智能体及三个独立智能体的价值。</w:t>
      </w:r>
    </w:p>
    <w:p w14:paraId="34E1FCBC">
      <w:pPr>
        <w:spacing w:after="80"/>
        <w:ind w:firstLine="0"/>
        <w:jc w:val="both"/>
      </w:pPr>
      <w:r>
        <w:rPr>
          <w:rFonts w:ascii="Times New Roman" w:hAnsi="Times New Roman" w:eastAsia="仿宋"/>
          <w:b/>
        </w:rPr>
        <w:t>首要问题三｜协同带来什么增益，如何实现可信决策？</w:t>
      </w:r>
      <w:r>
        <w:rPr>
          <w:rFonts w:ascii="Times New Roman" w:hAnsi="Times New Roman" w:eastAsia="仿宋"/>
          <w:b w:val="0"/>
        </w:rPr>
        <w:t>研究专业化分工、风险证据共享和分歧协调能否产生额外收益；由可复核的专业模型计算风险数值，要求证据来源可追溯、推断与证据匹配、冲突可识别、越权行为可阻断，并保留人工接管。</w:t>
      </w:r>
    </w:p>
    <w:p w14:paraId="4CAFC507">
      <w:pPr>
        <w:spacing w:after="80"/>
        <w:ind w:firstLine="0"/>
        <w:jc w:val="both"/>
      </w:pPr>
      <w:r>
        <w:rPr>
          <w:rFonts w:ascii="Times New Roman" w:hAnsi="Times New Roman" w:eastAsia="仿宋"/>
          <w:b/>
        </w:rPr>
        <w:t>首要问题四｜如何证明可信与有用？</w:t>
      </w:r>
      <w:r>
        <w:rPr>
          <w:rFonts w:ascii="Times New Roman" w:hAnsi="Times New Roman" w:eastAsia="仿宋"/>
          <w:b w:val="0"/>
        </w:rPr>
        <w:t>除风险识别准确率外，还需评价数值错误、证据可靠性、预警提前期、主体决策损失及人工复核需求；统一信息集、计算预算与预测时点，开展样本外实验，并评估历史文本及模型预训练知识的潜在泄漏。</w:t>
      </w:r>
    </w:p>
    <w:p w14:paraId="6739D96C">
      <w:pPr>
        <w:pStyle w:val="3"/>
        <w:keepNext/>
        <w:jc w:val="both"/>
      </w:pPr>
      <w:r>
        <w:t>一、引言</w:t>
      </w:r>
    </w:p>
    <w:p w14:paraId="62996F6C">
      <w:pPr>
        <w:keepNext/>
        <w:spacing w:after="120"/>
        <w:ind w:firstLine="0"/>
        <w:jc w:val="both"/>
      </w:pPr>
      <w:r>
        <w:rPr>
          <w:rFonts w:ascii="Times New Roman" w:hAnsi="Times New Roman" w:eastAsia="仿宋"/>
          <w:b/>
        </w:rPr>
        <w:t>本</w:t>
      </w:r>
      <w:r>
        <w:rPr>
          <w:rFonts w:hint="eastAsia"/>
          <w:b/>
          <w:lang w:eastAsia="zh-CN"/>
        </w:rPr>
        <w:t>节</w:t>
      </w:r>
      <w:r>
        <w:rPr>
          <w:rFonts w:ascii="Times New Roman" w:hAnsi="Times New Roman" w:eastAsia="仿宋"/>
          <w:b/>
        </w:rPr>
        <w:t>拟解决：</w:t>
      </w:r>
      <w:r>
        <w:rPr>
          <w:rFonts w:ascii="Times New Roman" w:hAnsi="Times New Roman" w:eastAsia="仿宋"/>
          <w:b w:val="0"/>
        </w:rPr>
        <w:t>将跨境金融风险预警的信息异构、主体目标差异与结果核验困难，凝练为可由方法构建和严格实验回答的管理科学问题。</w:t>
      </w:r>
    </w:p>
    <w:p w14:paraId="021F5C4C">
      <w:pPr>
        <w:pStyle w:val="4"/>
        <w:keepNext/>
        <w:jc w:val="both"/>
      </w:pPr>
      <w:r>
        <w:t>1.1 研究背景与问题提出</w:t>
      </w:r>
    </w:p>
    <w:p w14:paraId="1F8B3D57">
      <w:pPr>
        <w:keepLines w:val="0"/>
        <w:spacing w:after="140"/>
        <w:ind w:firstLine="425"/>
        <w:jc w:val="both"/>
      </w:pPr>
      <w:r>
        <w:rPr>
          <w:rFonts w:ascii="Times New Roman" w:hAnsi="Times New Roman" w:eastAsia="仿宋"/>
          <w:b w:val="0"/>
        </w:rPr>
        <w:t>说明跨境资本流动、股债汇联动与全球金融冲击对风险监测提出的挑战，解释金融数据、政策文本等信息分散以及多主体风险管理需求差异为何限制传统单一预警方案。</w:t>
      </w:r>
    </w:p>
    <w:p w14:paraId="576CF640">
      <w:pPr>
        <w:pStyle w:val="4"/>
        <w:keepNext/>
        <w:jc w:val="both"/>
      </w:pPr>
      <w:r>
        <w:t>1.2 研究问题与研究思路</w:t>
      </w:r>
    </w:p>
    <w:p w14:paraId="7A0E9D61">
      <w:pPr>
        <w:keepLines w:val="0"/>
        <w:spacing w:after="140"/>
        <w:ind w:firstLine="425"/>
        <w:jc w:val="both"/>
      </w:pPr>
      <w:r>
        <w:rPr>
          <w:rFonts w:ascii="Times New Roman" w:hAnsi="Times New Roman" w:eastAsia="仿宋"/>
          <w:b w:val="0"/>
        </w:rPr>
        <w:t>围绕多模态信息增益、金融知识及工具增强、多智能体协同三个问题，明确共同风险场景和金融主体任务，介绍由数据融合到专业化分析、证据协调和决策支持的研究路径。</w:t>
      </w:r>
    </w:p>
    <w:p w14:paraId="3D8FEE7A">
      <w:pPr>
        <w:pStyle w:val="4"/>
        <w:keepNext/>
        <w:jc w:val="both"/>
      </w:pPr>
      <w:r>
        <w:t>1.3 研究意义与边际贡献</w:t>
      </w:r>
    </w:p>
    <w:p w14:paraId="103E9B3F">
      <w:pPr>
        <w:keepLines w:val="0"/>
        <w:spacing w:after="140"/>
        <w:ind w:firstLine="425"/>
        <w:jc w:val="both"/>
      </w:pPr>
      <w:r>
        <w:rPr>
          <w:rFonts w:ascii="Times New Roman" w:hAnsi="Times New Roman" w:eastAsia="仿宋"/>
          <w:b w:val="0"/>
        </w:rPr>
        <w:t>从跨境风险监测、智能决策支持和可信金融AI应用三方面说明研究意义；对照传统预测模型、金融交易智能体及金融合规智能体研究，明确拟新增的机制设计、对照证据和可迁移的管理知识。</w:t>
      </w:r>
    </w:p>
    <w:p w14:paraId="106E5B39">
      <w:pPr>
        <w:pStyle w:val="3"/>
        <w:widowControl/>
        <w:spacing w:before="200" w:after="60"/>
        <w:ind w:firstLine="0"/>
      </w:pPr>
      <w:r>
        <w:t>二、文献综述与研究命题提出</w:t>
      </w:r>
      <w:r>
        <w:rPr>
          <w:rFonts w:hint="eastAsia" w:ascii="Times New Roman" w:hAnsi="Times New Roman" w:eastAsia="仿宋" w:cs="Times New Roman"/>
          <w:b/>
          <w:color w:val="FF0000"/>
          <w:sz w:val="24"/>
          <w:szCs w:val="24"/>
          <w:highlight w:val="yellow"/>
          <w:lang w:eastAsia="zh-CN"/>
        </w:rPr>
        <w:t>（</w:t>
      </w:r>
      <w:r>
        <w:rPr>
          <w:rFonts w:hint="eastAsia" w:ascii="Times New Roman" w:hAnsi="Times New Roman" w:eastAsia="仿宋" w:cs="Times New Roman"/>
          <w:b/>
          <w:color w:val="FF0000"/>
          <w:sz w:val="24"/>
          <w:szCs w:val="24"/>
          <w:highlight w:val="yellow"/>
          <w:lang w:val="en-US" w:eastAsia="zh-CN"/>
        </w:rPr>
        <w:t>以下二级标题及有关内容结合实际修改，下同</w:t>
      </w:r>
      <w:r>
        <w:rPr>
          <w:rFonts w:hint="eastAsia" w:ascii="Times New Roman" w:hAnsi="Times New Roman" w:eastAsia="仿宋" w:cs="Times New Roman"/>
          <w:b/>
          <w:color w:val="FF0000"/>
          <w:sz w:val="24"/>
          <w:szCs w:val="24"/>
          <w:highlight w:val="yellow"/>
          <w:lang w:eastAsia="zh-CN"/>
        </w:rPr>
        <w:t>）</w:t>
      </w:r>
    </w:p>
    <w:p w14:paraId="60030896">
      <w:pPr>
        <w:keepNext/>
        <w:spacing w:after="120"/>
        <w:ind w:firstLine="0"/>
        <w:jc w:val="both"/>
      </w:pPr>
      <w:r>
        <w:rPr>
          <w:rFonts w:ascii="Times New Roman" w:hAnsi="Times New Roman" w:eastAsia="仿宋"/>
          <w:b/>
        </w:rPr>
        <w:t>本</w:t>
      </w:r>
      <w:r>
        <w:rPr>
          <w:rFonts w:hint="eastAsia"/>
          <w:b/>
          <w:lang w:eastAsia="zh-CN"/>
        </w:rPr>
        <w:t>节</w:t>
      </w:r>
      <w:r>
        <w:rPr>
          <w:rFonts w:ascii="Times New Roman" w:hAnsi="Times New Roman" w:eastAsia="仿宋"/>
          <w:b/>
        </w:rPr>
        <w:t>拟解决：</w:t>
      </w:r>
      <w:r>
        <w:rPr>
          <w:rFonts w:ascii="Times New Roman" w:hAnsi="Times New Roman" w:eastAsia="仿宋"/>
          <w:b w:val="0"/>
        </w:rPr>
        <w:t>梳理多模态风险预警、知识工具增强和多智能体协同的研究进展与不足，形成能够由算法实验及金融情景评价检验的P1—P3。</w:t>
      </w:r>
    </w:p>
    <w:p w14:paraId="094804F7">
      <w:pPr>
        <w:pStyle w:val="4"/>
        <w:keepNext/>
        <w:jc w:val="both"/>
      </w:pPr>
      <w:r>
        <w:t>2.1 多模态信息融合与跨境金融风险预警</w:t>
      </w:r>
    </w:p>
    <w:p w14:paraId="5ADA99A7">
      <w:pPr>
        <w:keepLines w:val="0"/>
        <w:spacing w:after="40"/>
        <w:ind w:firstLine="425"/>
        <w:jc w:val="both"/>
      </w:pPr>
      <w:r>
        <w:rPr>
          <w:rFonts w:ascii="Times New Roman" w:hAnsi="Times New Roman" w:eastAsia="仿宋"/>
          <w:b w:val="0"/>
        </w:rPr>
        <w:t>评述结构化金融指标与新闻、政策文本等非结构化信息在金融风险预测中的应用，分析信息时效性、跨市场语义对应和增量预测有效性的研究不足。</w:t>
      </w:r>
    </w:p>
    <w:p w14:paraId="14F32116">
      <w:pPr>
        <w:keepLines/>
        <w:spacing w:after="160"/>
        <w:ind w:firstLine="425"/>
        <w:jc w:val="both"/>
      </w:pPr>
      <w:r>
        <w:rPr>
          <w:rFonts w:ascii="Times New Roman" w:hAnsi="Times New Roman" w:eastAsia="仿宋"/>
          <w:b/>
        </w:rPr>
        <w:t>研究命题P1：</w:t>
      </w:r>
      <w:r>
        <w:rPr>
          <w:rFonts w:ascii="Times New Roman" w:hAnsi="Times New Roman" w:eastAsia="仿宋"/>
          <w:b w:val="0"/>
        </w:rPr>
        <w:t>在传统金融指标基础上，融合事前可得的多模态风险信息能够改善跨境金融风险的样本外预警表现。（对应4.1、6.1）</w:t>
      </w:r>
    </w:p>
    <w:p w14:paraId="7197B2AD">
      <w:pPr>
        <w:pStyle w:val="4"/>
        <w:keepNext/>
        <w:jc w:val="both"/>
      </w:pPr>
      <w:r>
        <w:t>2.2 金融知识与专业工具增强的风险预警</w:t>
      </w:r>
    </w:p>
    <w:p w14:paraId="77AA55BD">
      <w:pPr>
        <w:keepLines w:val="0"/>
        <w:spacing w:after="40"/>
        <w:ind w:firstLine="425"/>
        <w:jc w:val="both"/>
      </w:pPr>
      <w:r>
        <w:rPr>
          <w:rFonts w:ascii="Times New Roman" w:hAnsi="Times New Roman" w:eastAsia="仿宋"/>
          <w:b w:val="0"/>
        </w:rPr>
        <w:t>梳理检索增强生成、金融知识库和专业工具调用的研究，讨论大语言模型在风险数值计算、事实核查及解释依据方面的局限。</w:t>
      </w:r>
    </w:p>
    <w:p w14:paraId="215C8052">
      <w:pPr>
        <w:keepLines/>
        <w:spacing w:after="160"/>
        <w:ind w:firstLine="425"/>
        <w:jc w:val="both"/>
      </w:pPr>
      <w:r>
        <w:rPr>
          <w:rFonts w:ascii="Times New Roman" w:hAnsi="Times New Roman" w:eastAsia="仿宋"/>
          <w:b/>
        </w:rPr>
        <w:t>研究命题P2：</w:t>
      </w:r>
      <w:r>
        <w:rPr>
          <w:rFonts w:ascii="Times New Roman" w:hAnsi="Times New Roman" w:eastAsia="仿宋"/>
          <w:b w:val="0"/>
        </w:rPr>
        <w:t>金融知识检索与专业金融工具调用能够降低预警智能体的风险分析错误及无证据判断，提高结果的可复核性。（对应4.2、6.2）</w:t>
      </w:r>
    </w:p>
    <w:p w14:paraId="4F6E2A41">
      <w:pPr>
        <w:pStyle w:val="4"/>
        <w:keepNext/>
        <w:jc w:val="both"/>
      </w:pPr>
      <w:r>
        <w:t>2.3 多智能体协同预警与决策支持</w:t>
      </w:r>
    </w:p>
    <w:p w14:paraId="695E74F4">
      <w:pPr>
        <w:keepLines w:val="0"/>
        <w:spacing w:after="40"/>
        <w:ind w:firstLine="425"/>
        <w:jc w:val="both"/>
      </w:pPr>
      <w:r>
        <w:rPr>
          <w:rFonts w:ascii="Times New Roman" w:hAnsi="Times New Roman" w:eastAsia="仿宋"/>
          <w:b w:val="0"/>
        </w:rPr>
        <w:t>综述金融智能体的专业化分工、信息共享与冲突协调研究，说明角色数量增加并不自动形成协作收益，识别主体目标差异及协调成本的研究空间。</w:t>
      </w:r>
    </w:p>
    <w:p w14:paraId="68321D7D">
      <w:pPr>
        <w:keepLines/>
        <w:spacing w:after="160"/>
        <w:ind w:firstLine="425"/>
        <w:jc w:val="both"/>
      </w:pPr>
      <w:r>
        <w:rPr>
          <w:rFonts w:ascii="Times New Roman" w:hAnsi="Times New Roman" w:eastAsia="仿宋"/>
          <w:b/>
        </w:rPr>
        <w:t>研究命题P3：</w:t>
      </w:r>
      <w:r>
        <w:rPr>
          <w:rFonts w:ascii="Times New Roman" w:hAnsi="Times New Roman" w:eastAsia="仿宋"/>
          <w:b w:val="0"/>
        </w:rPr>
        <w:t>在数据与资源预算可比的条件下，基于专业化分工、证据共享和分歧协调的多智能体协作能够降低跨境金融风险预警与主体决策支持损失。（对应4.3—4.4、6.3）</w:t>
      </w:r>
    </w:p>
    <w:p w14:paraId="0BF0160C">
      <w:pPr>
        <w:pStyle w:val="3"/>
        <w:keepNext/>
        <w:jc w:val="both"/>
      </w:pPr>
      <w:r>
        <w:t>三、跨境金融风险预警任务与数据设计</w:t>
      </w:r>
    </w:p>
    <w:p w14:paraId="070E4A10">
      <w:pPr>
        <w:keepNext/>
        <w:spacing w:after="120"/>
        <w:ind w:firstLine="0"/>
        <w:jc w:val="both"/>
      </w:pPr>
      <w:r>
        <w:rPr>
          <w:rFonts w:ascii="Times New Roman" w:hAnsi="Times New Roman" w:eastAsia="仿宋"/>
          <w:b/>
        </w:rPr>
        <w:t>本</w:t>
      </w:r>
      <w:r>
        <w:rPr>
          <w:rFonts w:hint="eastAsia"/>
          <w:b/>
          <w:lang w:eastAsia="zh-CN"/>
        </w:rPr>
        <w:t>节</w:t>
      </w:r>
      <w:r>
        <w:rPr>
          <w:rFonts w:ascii="Times New Roman" w:hAnsi="Times New Roman" w:eastAsia="仿宋"/>
          <w:b/>
        </w:rPr>
        <w:t>拟解决：</w:t>
      </w:r>
      <w:r>
        <w:rPr>
          <w:rFonts w:ascii="Times New Roman" w:hAnsi="Times New Roman" w:eastAsia="仿宋"/>
          <w:b w:val="0"/>
        </w:rPr>
        <w:t>将跨境金融风险转化为时点明确、能够获得真实标签的共同预警任务，并确定三类金融主体的差异化信息需求与决策评价基础。</w:t>
      </w:r>
    </w:p>
    <w:p w14:paraId="61AC86BF">
      <w:pPr>
        <w:pStyle w:val="4"/>
        <w:keepNext/>
        <w:jc w:val="both"/>
      </w:pPr>
      <w:r>
        <w:t>3.1 风险对象、预警目标与时间尺度</w:t>
      </w:r>
    </w:p>
    <w:p w14:paraId="6883F31A">
      <w:pPr>
        <w:keepLines w:val="0"/>
        <w:spacing w:after="140"/>
        <w:ind w:firstLine="425"/>
        <w:jc w:val="both"/>
      </w:pPr>
      <w:r>
        <w:rPr>
          <w:rFonts w:ascii="Times New Roman" w:hAnsi="Times New Roman" w:eastAsia="仿宋"/>
          <w:b w:val="0"/>
        </w:rPr>
        <w:t>以跨境金融市场压力高位状态作为共同预警任务，规定风险指数或事件标签的构造、阈值和5、10、20个交易日等预测期限；将系统性金融风险、市场波动和企业融资事件分开定义，不直接使用同一标签。</w:t>
      </w:r>
    </w:p>
    <w:p w14:paraId="55021CDF">
      <w:pPr>
        <w:pStyle w:val="4"/>
        <w:keepNext/>
        <w:jc w:val="both"/>
      </w:pPr>
      <w:r>
        <w:t>3.2 多模态风险数据构建与时点对齐</w:t>
      </w:r>
    </w:p>
    <w:p w14:paraId="5D7C7887">
      <w:pPr>
        <w:keepLines w:val="0"/>
        <w:spacing w:after="140"/>
        <w:ind w:firstLine="425"/>
        <w:jc w:val="both"/>
      </w:pPr>
      <w:r>
        <w:rPr>
          <w:rFonts w:ascii="Times New Roman" w:hAnsi="Times New Roman" w:eastAsia="仿宋"/>
          <w:b w:val="0"/>
        </w:rPr>
        <w:t>以跨境资金流动、股债汇市场数据与政策新闻文本构建数值—文本多模态信息集，只有实际可获取音频、图像等数据时才纳入扩展模态；统一发布时间、交易日与观测窗口，检验文本、数值及政策信息的事前可得性。</w:t>
      </w:r>
    </w:p>
    <w:p w14:paraId="213DD4F2">
      <w:pPr>
        <w:pStyle w:val="4"/>
        <w:keepNext/>
        <w:jc w:val="both"/>
      </w:pPr>
      <w:r>
        <w:t>3.3 主体风险目标、信息权限与评价约束</w:t>
      </w:r>
    </w:p>
    <w:p w14:paraId="6990A349">
      <w:pPr>
        <w:keepLines w:val="0"/>
        <w:spacing w:after="140"/>
        <w:ind w:firstLine="425"/>
        <w:jc w:val="both"/>
      </w:pPr>
      <w:r>
        <w:rPr>
          <w:rFonts w:ascii="Times New Roman" w:hAnsi="Times New Roman" w:eastAsia="仿宋"/>
          <w:b w:val="0"/>
        </w:rPr>
        <w:t>监管主体关注市场压力与外溢，投资主体关注组合尾部损失，融资主体关注融资成本与现金流压力；分别明确可用信息、金融工具权限及决策损失口径，对缺乏真实敞口的数据使用明确标注的情景假设。</w:t>
      </w:r>
    </w:p>
    <w:p w14:paraId="4ECBD343">
      <w:pPr>
        <w:pStyle w:val="3"/>
        <w:keepNext/>
        <w:jc w:val="both"/>
      </w:pPr>
      <w:r>
        <w:t>四、多模态多智能体协同预警方法</w:t>
      </w:r>
    </w:p>
    <w:p w14:paraId="5286E829">
      <w:pPr>
        <w:keepNext/>
        <w:spacing w:after="120"/>
        <w:ind w:firstLine="0"/>
        <w:jc w:val="both"/>
      </w:pPr>
      <w:r>
        <w:rPr>
          <w:rFonts w:ascii="Times New Roman" w:hAnsi="Times New Roman" w:eastAsia="仿宋"/>
          <w:b/>
        </w:rPr>
        <w:t>本</w:t>
      </w:r>
      <w:r>
        <w:rPr>
          <w:rFonts w:hint="eastAsia"/>
          <w:b/>
          <w:lang w:eastAsia="zh-CN"/>
        </w:rPr>
        <w:t>节</w:t>
      </w:r>
      <w:r>
        <w:rPr>
          <w:rFonts w:ascii="Times New Roman" w:hAnsi="Times New Roman" w:eastAsia="仿宋"/>
          <w:b/>
        </w:rPr>
        <w:t>拟解决：</w:t>
      </w:r>
      <w:r>
        <w:rPr>
          <w:rFonts w:ascii="Times New Roman" w:hAnsi="Times New Roman" w:eastAsia="仿宋"/>
          <w:b w:val="0"/>
        </w:rPr>
        <w:t>提出可被独立消融和复现的数据融合、知识工具增强及三主体协同预警方法，解释各技术环节如何对应金融风险识别与决策支持需求。</w:t>
      </w:r>
    </w:p>
    <w:p w14:paraId="179E3A22">
      <w:pPr>
        <w:pStyle w:val="4"/>
        <w:keepNext/>
        <w:jc w:val="both"/>
      </w:pPr>
      <w:r>
        <w:t>4.1 多模态风险信息融合</w:t>
      </w:r>
    </w:p>
    <w:p w14:paraId="734E1FB4">
      <w:pPr>
        <w:keepLines w:val="0"/>
        <w:spacing w:after="140"/>
        <w:ind w:firstLine="425"/>
        <w:jc w:val="both"/>
      </w:pPr>
      <w:r>
        <w:rPr>
          <w:rFonts w:ascii="Times New Roman" w:hAnsi="Times New Roman" w:eastAsia="仿宋"/>
          <w:b w:val="0"/>
        </w:rPr>
        <w:t>构建数值时序与政策新闻的时间约束特征表示及融合机制，设置传统金融预测器与信息融合模型，形成可用于三类智能体的共同风险基础信号；重点服务P1的增量信息验证。</w:t>
      </w:r>
      <w:r>
        <w:rPr>
          <w:rFonts w:hint="eastAsia" w:ascii="Times New Roman" w:hAnsi="Times New Roman" w:eastAsia="仿宋"/>
          <w:b w:val="0"/>
        </w:rPr>
        <w:t>整合跨境金融市场数据、政策文本和风险事件等异构信息，研究不同模态风险信号的时间对齐与特征表示，形成统一的预警输入。</w:t>
      </w:r>
    </w:p>
    <w:p w14:paraId="5E3C724E">
      <w:pPr>
        <w:pStyle w:val="4"/>
        <w:keepNext/>
        <w:jc w:val="both"/>
      </w:pPr>
      <w:r>
        <w:t>4.2 金融知识增强与专业工具调用</w:t>
      </w:r>
    </w:p>
    <w:p w14:paraId="6586F61C">
      <w:pPr>
        <w:keepLines w:val="0"/>
        <w:spacing w:after="140"/>
        <w:ind w:firstLine="425"/>
        <w:jc w:val="both"/>
      </w:pPr>
      <w:r>
        <w:rPr>
          <w:rFonts w:ascii="Times New Roman" w:hAnsi="Times New Roman" w:eastAsia="仿宋"/>
          <w:b w:val="0"/>
        </w:rPr>
        <w:t>构建可溯源的</w:t>
      </w:r>
      <w:r>
        <w:rPr>
          <w:rFonts w:hint="eastAsia" w:ascii="Times New Roman" w:hAnsi="Times New Roman" w:eastAsia="仿宋"/>
          <w:b w:val="0"/>
        </w:rPr>
        <w:t>金融知识库及RAG检索机制</w:t>
      </w:r>
      <w:r>
        <w:rPr>
          <w:rFonts w:ascii="Times New Roman" w:hAnsi="Times New Roman" w:eastAsia="仿宋"/>
          <w:b w:val="0"/>
        </w:rPr>
        <w:t>，接入风险测度、风险连通性、情景分析与预警预测等专业工具，由工具负责可复核数值计算、智能体负责任务规划与解释；重点服务P2的可靠性验证。</w:t>
      </w:r>
    </w:p>
    <w:p w14:paraId="4CB5DA00">
      <w:pPr>
        <w:pStyle w:val="4"/>
        <w:keepNext/>
        <w:jc w:val="both"/>
      </w:pPr>
      <w:r>
        <w:t>4.3 监管、投资与融资预警智能体设计</w:t>
      </w:r>
    </w:p>
    <w:p w14:paraId="765845C9">
      <w:pPr>
        <w:keepLines w:val="0"/>
        <w:spacing w:after="140"/>
        <w:ind w:firstLine="425"/>
        <w:jc w:val="both"/>
      </w:pPr>
      <w:r>
        <w:rPr>
          <w:rFonts w:ascii="Times New Roman" w:hAnsi="Times New Roman" w:eastAsia="仿宋"/>
          <w:b w:val="0"/>
        </w:rPr>
        <w:t>将三类主体差异落实为风险目标、输入信息、工具权限、预警阈值及结构化输出，明确各智能体提供风险解释与建议的任务边界；为P3检验专业化分工的必要性提供方法基础。</w:t>
      </w:r>
    </w:p>
    <w:p w14:paraId="2FF6E663">
      <w:pPr>
        <w:pStyle w:val="4"/>
        <w:keepNext/>
        <w:jc w:val="both"/>
      </w:pPr>
      <w:r>
        <w:t>4.4 多智能体协同与决策支持机制</w:t>
      </w:r>
    </w:p>
    <w:p w14:paraId="7B423CB2">
      <w:pPr>
        <w:keepLines w:val="0"/>
        <w:spacing w:after="140"/>
        <w:ind w:firstLine="425"/>
        <w:jc w:val="both"/>
        <w:rPr>
          <w:rFonts w:hint="eastAsia" w:ascii="Times New Roman" w:hAnsi="Times New Roman" w:eastAsia="仿宋"/>
          <w:b w:val="0"/>
        </w:rPr>
      </w:pPr>
      <w:r>
        <w:rPr>
          <w:rFonts w:hint="eastAsia" w:ascii="Times New Roman" w:hAnsi="Times New Roman" w:eastAsia="仿宋"/>
          <w:b w:val="0"/>
        </w:rPr>
        <w:t>设计风险信息共享、证据交叉验证与冲突协调机制，将风险预测结果转化为主体差异化预警及可审查的决策支持信息。</w:t>
      </w:r>
    </w:p>
    <w:p w14:paraId="20C96F2E">
      <w:pPr>
        <w:keepLines w:val="0"/>
        <w:spacing w:after="140"/>
        <w:ind w:firstLine="425"/>
        <w:jc w:val="both"/>
      </w:pPr>
      <w:r>
        <w:rPr>
          <w:rFonts w:ascii="Times New Roman" w:hAnsi="Times New Roman" w:eastAsia="仿宋"/>
          <w:b w:val="0"/>
        </w:rPr>
        <w:t>建立共享证据、任务路由、分歧识别和协调规则，区分公共事实冲突与合理的主体偏好差异，并通过数值核验、引文溯源、越权阻断及人工接管约束输出；重点服务P3的协同增益检验，同时形成P2的证据核验闭环。</w:t>
      </w:r>
    </w:p>
    <w:p w14:paraId="6F38B349">
      <w:pPr>
        <w:pStyle w:val="3"/>
        <w:keepNext/>
        <w:jc w:val="both"/>
      </w:pPr>
      <w:r>
        <w:t>五、实验设计与评价体系</w:t>
      </w:r>
    </w:p>
    <w:p w14:paraId="0311D34A">
      <w:pPr>
        <w:keepNext/>
        <w:spacing w:after="120"/>
        <w:ind w:firstLine="0"/>
        <w:jc w:val="both"/>
      </w:pPr>
      <w:r>
        <w:rPr>
          <w:rFonts w:ascii="Times New Roman" w:hAnsi="Times New Roman" w:eastAsia="仿宋"/>
          <w:b/>
        </w:rPr>
        <w:t>本</w:t>
      </w:r>
      <w:r>
        <w:rPr>
          <w:rFonts w:hint="eastAsia"/>
          <w:b/>
          <w:lang w:eastAsia="zh-CN"/>
        </w:rPr>
        <w:t>节</w:t>
      </w:r>
      <w:r>
        <w:rPr>
          <w:rFonts w:ascii="Times New Roman" w:hAnsi="Times New Roman" w:eastAsia="仿宋"/>
          <w:b/>
        </w:rPr>
        <w:t>拟解决：</w:t>
      </w:r>
      <w:r>
        <w:rPr>
          <w:rFonts w:ascii="Times New Roman" w:hAnsi="Times New Roman" w:eastAsia="仿宋"/>
          <w:b w:val="0"/>
        </w:rPr>
        <w:t>建立严格控制风险标签、信息可得时点和实验资源的比较体系，区分信息融合、知识与工具增强、主体协同三类模块的独立贡献。</w:t>
      </w:r>
    </w:p>
    <w:p w14:paraId="3EBC449E">
      <w:pPr>
        <w:pStyle w:val="4"/>
        <w:keepNext/>
        <w:jc w:val="both"/>
      </w:pPr>
      <w:r>
        <w:t>5.1 实验样本、风险标签与历史时点回放</w:t>
      </w:r>
    </w:p>
    <w:p w14:paraId="0BD30E41">
      <w:pPr>
        <w:keepLines w:val="0"/>
        <w:spacing w:after="140"/>
        <w:ind w:firstLine="425"/>
        <w:jc w:val="both"/>
      </w:pPr>
      <w:r>
        <w:rPr>
          <w:rFonts w:ascii="Times New Roman" w:hAnsi="Times New Roman" w:eastAsia="仿宋"/>
          <w:b w:val="0"/>
        </w:rPr>
        <w:t>说明样本期、训练验证测试划分、高风险事件标注及预测期限，以滚动样本外实验评价预警；历史时点回放需控制事后发布文本与可能的模型预训练知识泄漏，并明确不能完全消除的历史回放局限。</w:t>
      </w:r>
    </w:p>
    <w:p w14:paraId="5BA2AFBF">
      <w:pPr>
        <w:pStyle w:val="4"/>
        <w:keepNext/>
        <w:jc w:val="both"/>
      </w:pPr>
      <w:r>
        <w:t>5.2 基准模型、对照方案与消融实验</w:t>
      </w:r>
    </w:p>
    <w:p w14:paraId="23FBAC51">
      <w:pPr>
        <w:keepLines w:val="0"/>
        <w:spacing w:after="140"/>
        <w:ind w:firstLine="425"/>
        <w:jc w:val="both"/>
      </w:pPr>
      <w:r>
        <w:rPr>
          <w:rFonts w:ascii="Times New Roman" w:hAnsi="Times New Roman" w:eastAsia="仿宋"/>
          <w:b w:val="0"/>
        </w:rPr>
        <w:t>分别设置金融预测基准、单智能体、三个独立智能体和完整协同系统，按模态信息、RAG、金融工具、专业化分工及协调机制逐项消融；确保底层模型、数据权限、预测器和计算资源尽可能可比。</w:t>
      </w:r>
    </w:p>
    <w:p w14:paraId="0C9E2AE5">
      <w:pPr>
        <w:pStyle w:val="4"/>
        <w:keepNext/>
        <w:jc w:val="both"/>
      </w:pPr>
      <w:r>
        <w:t>5.3 预警表现、结果可信性与决策价值评价</w:t>
      </w:r>
    </w:p>
    <w:p w14:paraId="648D231B">
      <w:pPr>
        <w:keepLines w:val="0"/>
        <w:spacing w:after="140"/>
        <w:ind w:firstLine="425"/>
        <w:jc w:val="both"/>
      </w:pPr>
      <w:r>
        <w:rPr>
          <w:rFonts w:ascii="Times New Roman" w:hAnsi="Times New Roman" w:eastAsia="仿宋"/>
          <w:b w:val="0"/>
        </w:rPr>
        <w:t>分别使用PR-AUC、召回率、校准误差及预警提前期评价P1，以数值一致性、证据准确率和无依据判断率评价P2，以任务完成率、主体决策损失和协作成本评价P3，并报告置信区间或适当统计检验。</w:t>
      </w:r>
    </w:p>
    <w:p w14:paraId="58DC4B84">
      <w:pPr>
        <w:pStyle w:val="3"/>
        <w:keepNext/>
        <w:jc w:val="both"/>
      </w:pPr>
      <w:r>
        <w:t>六、实验结果与分析</w:t>
      </w:r>
    </w:p>
    <w:p w14:paraId="791853C6">
      <w:pPr>
        <w:keepNext/>
        <w:spacing w:after="120"/>
        <w:ind w:firstLine="0"/>
        <w:jc w:val="both"/>
      </w:pPr>
      <w:r>
        <w:rPr>
          <w:rFonts w:ascii="Times New Roman" w:hAnsi="Times New Roman" w:eastAsia="仿宋"/>
          <w:b/>
        </w:rPr>
        <w:t>本</w:t>
      </w:r>
      <w:r>
        <w:rPr>
          <w:rFonts w:hint="eastAsia"/>
          <w:b/>
          <w:lang w:eastAsia="zh-CN"/>
        </w:rPr>
        <w:t>节</w:t>
      </w:r>
      <w:r>
        <w:rPr>
          <w:rFonts w:ascii="Times New Roman" w:hAnsi="Times New Roman" w:eastAsia="仿宋"/>
          <w:b/>
        </w:rPr>
        <w:t>拟解决：</w:t>
      </w:r>
      <w:r>
        <w:rPr>
          <w:rFonts w:ascii="Times New Roman" w:hAnsi="Times New Roman" w:eastAsia="仿宋"/>
          <w:b w:val="0"/>
        </w:rPr>
        <w:t>围绕P1—P3依次呈现可重复的实验结果，分析性能变化来自何种信息或协作模块，并评估风险预警收益与实施成本的权衡。</w:t>
      </w:r>
    </w:p>
    <w:p w14:paraId="4405048E">
      <w:pPr>
        <w:pStyle w:val="4"/>
        <w:keepNext/>
        <w:jc w:val="both"/>
      </w:pPr>
      <w:r>
        <w:t>6.1 多模态信息的增量预警效果</w:t>
      </w:r>
    </w:p>
    <w:p w14:paraId="37682DB8">
      <w:pPr>
        <w:keepLines w:val="0"/>
        <w:spacing w:after="140"/>
        <w:ind w:firstLine="425"/>
        <w:jc w:val="both"/>
      </w:pPr>
      <w:r>
        <w:rPr>
          <w:rFonts w:ascii="Times New Roman" w:hAnsi="Times New Roman" w:eastAsia="仿宋"/>
          <w:b w:val="0"/>
        </w:rPr>
        <w:t>比较传统结构化金融数据与加入政策新闻等模态后的样本外风险识别效果，验证P1及其在不同金融压力状态下的稳定性，明确新增信息是否确有增益。</w:t>
      </w:r>
    </w:p>
    <w:p w14:paraId="7C4A0B14">
      <w:pPr>
        <w:pStyle w:val="4"/>
        <w:keepNext/>
        <w:jc w:val="both"/>
      </w:pPr>
      <w:r>
        <w:t>6.2 金融知识与专业工具增强的有效性</w:t>
      </w:r>
    </w:p>
    <w:p w14:paraId="5B018A8D">
      <w:pPr>
        <w:keepLines w:val="0"/>
        <w:spacing w:after="140"/>
        <w:ind w:firstLine="425"/>
        <w:jc w:val="both"/>
      </w:pPr>
      <w:r>
        <w:rPr>
          <w:rFonts w:ascii="Times New Roman" w:hAnsi="Times New Roman" w:eastAsia="仿宋"/>
          <w:b w:val="0"/>
        </w:rPr>
        <w:t>比较基础大语言模型、知识增强、金融工具增强和完整增强方案的数值错误、证据一致性及可复核程度，验证P2并区分检索贡献与专业计算贡献。</w:t>
      </w:r>
    </w:p>
    <w:p w14:paraId="65F81067">
      <w:pPr>
        <w:pStyle w:val="4"/>
        <w:keepNext/>
        <w:jc w:val="both"/>
      </w:pPr>
      <w:r>
        <w:t>6.3 多智能体协同的预警与决策效果</w:t>
      </w:r>
    </w:p>
    <w:p w14:paraId="6362C633">
      <w:pPr>
        <w:keepLines w:val="0"/>
        <w:spacing w:after="140"/>
        <w:ind w:firstLine="425"/>
        <w:jc w:val="both"/>
      </w:pPr>
      <w:r>
        <w:rPr>
          <w:rFonts w:ascii="Times New Roman" w:hAnsi="Times New Roman" w:eastAsia="仿宋"/>
          <w:b w:val="0"/>
        </w:rPr>
        <w:t>在统一风险情景及可比资源约束下比较单智能体、三个独立智能体与协同系统的主体任务质量、综合决策损失及协作成本，检验P3并拆解专业分工、证据共享与分歧协调的作用。</w:t>
      </w:r>
    </w:p>
    <w:p w14:paraId="4FE28205">
      <w:pPr>
        <w:pStyle w:val="4"/>
        <w:keepNext/>
        <w:jc w:val="both"/>
      </w:pPr>
      <w:r>
        <w:t>6.4 典型风险情景与稳健性分析</w:t>
      </w:r>
    </w:p>
    <w:p w14:paraId="13B9747A">
      <w:pPr>
        <w:keepLines w:val="0"/>
        <w:spacing w:after="140"/>
        <w:ind w:firstLine="425"/>
        <w:jc w:val="both"/>
      </w:pPr>
      <w:r>
        <w:rPr>
          <w:rFonts w:ascii="Times New Roman" w:hAnsi="Times New Roman" w:eastAsia="仿宋"/>
          <w:b w:val="0"/>
        </w:rPr>
        <w:t>对可核实的历史跨境金融压力事件开展事前信息回放，复盘预警产生、专业工具使用与主体协调过程，并通过预测期、阈值、模型版本和成本权重替换检验结果稳健性。</w:t>
      </w:r>
    </w:p>
    <w:p w14:paraId="7B5F9820">
      <w:pPr>
        <w:pStyle w:val="3"/>
        <w:keepNext/>
        <w:jc w:val="both"/>
      </w:pPr>
      <w:r>
        <w:t>七、研究结论</w:t>
      </w:r>
    </w:p>
    <w:p w14:paraId="3009F18A">
      <w:pPr>
        <w:keepNext/>
        <w:spacing w:after="120"/>
        <w:ind w:firstLine="0"/>
        <w:jc w:val="both"/>
      </w:pPr>
      <w:r>
        <w:rPr>
          <w:rFonts w:ascii="Times New Roman" w:hAnsi="Times New Roman" w:eastAsia="仿宋"/>
          <w:b/>
        </w:rPr>
        <w:t>本</w:t>
      </w:r>
      <w:r>
        <w:rPr>
          <w:rFonts w:hint="eastAsia"/>
          <w:b/>
          <w:lang w:eastAsia="zh-CN"/>
        </w:rPr>
        <w:t>节</w:t>
      </w:r>
      <w:r>
        <w:rPr>
          <w:rFonts w:ascii="Times New Roman" w:hAnsi="Times New Roman" w:eastAsia="仿宋"/>
          <w:b/>
        </w:rPr>
        <w:t>拟解决：</w:t>
      </w:r>
      <w:r>
        <w:rPr>
          <w:rFonts w:ascii="Times New Roman" w:hAnsi="Times New Roman" w:eastAsia="仿宋"/>
          <w:b w:val="0"/>
        </w:rPr>
        <w:t>依据实验结果回答多模态信息是否有效、知识工具能否提升可靠性及主体协同是否具有实际价值，并说明研究的管理含义与边界。</w:t>
      </w:r>
    </w:p>
    <w:p w14:paraId="3CFD17E8">
      <w:pPr>
        <w:pStyle w:val="4"/>
        <w:keepNext/>
        <w:jc w:val="both"/>
      </w:pPr>
      <w:r>
        <w:t>7.1 主要研究结论</w:t>
      </w:r>
    </w:p>
    <w:p w14:paraId="063365C0">
      <w:pPr>
        <w:keepLines w:val="0"/>
        <w:spacing w:after="140"/>
        <w:ind w:firstLine="425"/>
        <w:jc w:val="both"/>
      </w:pPr>
      <w:r>
        <w:rPr>
          <w:rFonts w:ascii="Times New Roman" w:hAnsi="Times New Roman" w:eastAsia="仿宋"/>
          <w:b w:val="0"/>
        </w:rPr>
        <w:t>对应P1—P3总结有效性、适用条件及协作与计算成本之间的权衡，区分实际验证结果与尚待观察的预期收益。</w:t>
      </w:r>
    </w:p>
    <w:p w14:paraId="637A2BEA">
      <w:pPr>
        <w:pStyle w:val="4"/>
        <w:keepNext/>
        <w:jc w:val="both"/>
      </w:pPr>
      <w:r>
        <w:t>7.2 管理启示与研究局限</w:t>
      </w:r>
    </w:p>
    <w:p w14:paraId="01287563">
      <w:pPr>
        <w:keepLines w:val="0"/>
        <w:spacing w:after="140"/>
        <w:ind w:firstLine="425"/>
        <w:jc w:val="both"/>
      </w:pPr>
      <w:r>
        <w:rPr>
          <w:rFonts w:ascii="Times New Roman" w:hAnsi="Times New Roman" w:eastAsia="仿宋"/>
          <w:b w:val="0"/>
        </w:rPr>
        <w:t>从金融主体任务分配、风险证据共享、工具权限、审计留痕及人工复核提出启示，并说明历史回放、数据覆盖、模型演进与真实决策行为难以观测的限制。</w:t>
      </w:r>
    </w:p>
    <w:p w14:paraId="30935F9F">
      <w:pPr>
        <w:pStyle w:val="165"/>
        <w:keepNext/>
        <w:jc w:val="both"/>
      </w:pPr>
      <w:r>
        <w:t>研究命题与</w:t>
      </w:r>
      <w:bookmarkStart w:id="0" w:name="_GoBack"/>
      <w:r>
        <w:t>章</w:t>
      </w:r>
      <w:bookmarkEnd w:id="0"/>
      <w:r>
        <w:t>节衔接（写作校对表，非论文章节）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02EF4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Pr>
          <w:p w14:paraId="5D450D92">
            <w:pPr>
              <w:spacing w:after="0"/>
              <w:jc w:val="both"/>
            </w:pPr>
            <w:r>
              <w:rPr>
                <w:rFonts w:ascii="Times New Roman" w:hAnsi="Times New Roman" w:eastAsia="仿宋"/>
                <w:b/>
                <w:sz w:val="18"/>
              </w:rPr>
              <w:t>研究命题</w:t>
            </w:r>
          </w:p>
        </w:tc>
        <w:tc>
          <w:tcPr>
            <w:tcW w:w="1304" w:type="dxa"/>
          </w:tcPr>
          <w:p w14:paraId="46439E7E">
            <w:pPr>
              <w:spacing w:after="0"/>
              <w:jc w:val="both"/>
            </w:pPr>
            <w:r>
              <w:rPr>
                <w:rFonts w:ascii="Times New Roman" w:hAnsi="Times New Roman" w:eastAsia="仿宋"/>
                <w:b/>
                <w:sz w:val="18"/>
              </w:rPr>
              <w:t>理论依据</w:t>
            </w:r>
          </w:p>
        </w:tc>
        <w:tc>
          <w:tcPr>
            <w:tcW w:w="1644" w:type="dxa"/>
          </w:tcPr>
          <w:p w14:paraId="7B07CAC5">
            <w:pPr>
              <w:spacing w:after="0"/>
              <w:jc w:val="both"/>
            </w:pPr>
            <w:r>
              <w:rPr>
                <w:rFonts w:ascii="Times New Roman" w:hAnsi="Times New Roman" w:eastAsia="仿宋"/>
                <w:b/>
                <w:sz w:val="18"/>
              </w:rPr>
              <w:t>方法设计</w:t>
            </w:r>
          </w:p>
        </w:tc>
        <w:tc>
          <w:tcPr>
            <w:tcW w:w="1304" w:type="dxa"/>
          </w:tcPr>
          <w:p w14:paraId="597D0A35">
            <w:pPr>
              <w:spacing w:after="0"/>
              <w:jc w:val="both"/>
            </w:pPr>
            <w:r>
              <w:rPr>
                <w:rFonts w:ascii="Times New Roman" w:hAnsi="Times New Roman" w:eastAsia="仿宋"/>
                <w:b/>
                <w:sz w:val="18"/>
              </w:rPr>
              <w:t>核心检验</w:t>
            </w:r>
          </w:p>
        </w:tc>
        <w:tc>
          <w:tcPr>
            <w:tcW w:w="3061" w:type="dxa"/>
          </w:tcPr>
          <w:p w14:paraId="561441B3">
            <w:pPr>
              <w:spacing w:after="0"/>
              <w:jc w:val="both"/>
            </w:pPr>
            <w:r>
              <w:rPr>
                <w:rFonts w:ascii="Times New Roman" w:hAnsi="Times New Roman" w:eastAsia="仿宋"/>
                <w:b/>
                <w:sz w:val="18"/>
              </w:rPr>
              <w:t>重点指标</w:t>
            </w:r>
          </w:p>
        </w:tc>
      </w:tr>
      <w:tr w14:paraId="29990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7BBB81D">
            <w:pPr>
              <w:spacing w:after="0" w:line="276" w:lineRule="auto"/>
              <w:jc w:val="both"/>
            </w:pPr>
            <w:r>
              <w:rPr>
                <w:rFonts w:ascii="Times New Roman" w:hAnsi="Times New Roman" w:eastAsia="仿宋"/>
                <w:sz w:val="19"/>
              </w:rPr>
              <w:t>P1 多模态信息增益</w:t>
            </w:r>
          </w:p>
        </w:tc>
        <w:tc>
          <w:tcPr>
            <w:tcW w:w="1814" w:type="dxa"/>
            <w:vAlign w:val="center"/>
          </w:tcPr>
          <w:p w14:paraId="4D953865">
            <w:pPr>
              <w:spacing w:after="0" w:line="276" w:lineRule="auto"/>
              <w:jc w:val="both"/>
            </w:pPr>
            <w:r>
              <w:rPr>
                <w:rFonts w:ascii="Times New Roman" w:hAnsi="Times New Roman" w:eastAsia="仿宋"/>
                <w:sz w:val="19"/>
              </w:rPr>
              <w:t>第二</w:t>
            </w:r>
            <w:r>
              <w:rPr>
                <w:rFonts w:hint="eastAsia"/>
                <w:sz w:val="19"/>
                <w:lang w:eastAsia="zh-CN"/>
              </w:rPr>
              <w:t>节</w:t>
            </w:r>
            <w:r>
              <w:rPr>
                <w:rFonts w:ascii="Times New Roman" w:hAnsi="Times New Roman" w:eastAsia="仿宋"/>
                <w:sz w:val="19"/>
              </w:rPr>
              <w:t>2.1</w:t>
            </w:r>
          </w:p>
        </w:tc>
        <w:tc>
          <w:tcPr>
            <w:tcW w:w="1814" w:type="dxa"/>
            <w:vAlign w:val="center"/>
          </w:tcPr>
          <w:p w14:paraId="04712764">
            <w:pPr>
              <w:spacing w:after="0" w:line="276" w:lineRule="auto"/>
              <w:jc w:val="both"/>
            </w:pPr>
            <w:r>
              <w:rPr>
                <w:rFonts w:ascii="Times New Roman" w:hAnsi="Times New Roman" w:eastAsia="仿宋"/>
                <w:sz w:val="19"/>
              </w:rPr>
              <w:t>第四</w:t>
            </w:r>
            <w:r>
              <w:rPr>
                <w:rFonts w:hint="eastAsia"/>
                <w:sz w:val="19"/>
                <w:lang w:eastAsia="zh-CN"/>
              </w:rPr>
              <w:t>节</w:t>
            </w:r>
            <w:r>
              <w:rPr>
                <w:rFonts w:ascii="Times New Roman" w:hAnsi="Times New Roman" w:eastAsia="仿宋"/>
                <w:sz w:val="19"/>
              </w:rPr>
              <w:t>4.1</w:t>
            </w:r>
          </w:p>
        </w:tc>
        <w:tc>
          <w:tcPr>
            <w:tcW w:w="1814" w:type="dxa"/>
            <w:vAlign w:val="center"/>
          </w:tcPr>
          <w:p w14:paraId="77BE7B86">
            <w:pPr>
              <w:spacing w:after="0" w:line="276" w:lineRule="auto"/>
              <w:jc w:val="both"/>
            </w:pPr>
            <w:r>
              <w:rPr>
                <w:rFonts w:ascii="Times New Roman" w:hAnsi="Times New Roman" w:eastAsia="仿宋"/>
                <w:sz w:val="19"/>
              </w:rPr>
              <w:t>第六</w:t>
            </w:r>
            <w:r>
              <w:rPr>
                <w:rFonts w:hint="eastAsia"/>
                <w:sz w:val="19"/>
                <w:lang w:eastAsia="zh-CN"/>
              </w:rPr>
              <w:t>节</w:t>
            </w:r>
            <w:r>
              <w:rPr>
                <w:rFonts w:ascii="Times New Roman" w:hAnsi="Times New Roman" w:eastAsia="仿宋"/>
                <w:sz w:val="19"/>
              </w:rPr>
              <w:t>6.1</w:t>
            </w:r>
          </w:p>
        </w:tc>
        <w:tc>
          <w:tcPr>
            <w:tcW w:w="1814" w:type="dxa"/>
            <w:vAlign w:val="center"/>
          </w:tcPr>
          <w:p w14:paraId="56E7E041">
            <w:pPr>
              <w:spacing w:after="0" w:line="276" w:lineRule="auto"/>
              <w:jc w:val="both"/>
            </w:pPr>
            <w:r>
              <w:rPr>
                <w:rFonts w:ascii="Times New Roman" w:hAnsi="Times New Roman" w:eastAsia="仿宋"/>
                <w:sz w:val="19"/>
              </w:rPr>
              <w:t>样本外风险识别、校准与提前期</w:t>
            </w:r>
          </w:p>
        </w:tc>
      </w:tr>
      <w:tr w14:paraId="4BB81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BD8EA2A">
            <w:pPr>
              <w:spacing w:after="0" w:line="276" w:lineRule="auto"/>
              <w:jc w:val="both"/>
            </w:pPr>
            <w:r>
              <w:rPr>
                <w:rFonts w:ascii="Times New Roman" w:hAnsi="Times New Roman" w:eastAsia="仿宋"/>
                <w:sz w:val="19"/>
              </w:rPr>
              <w:t>P2 知识与工具增强</w:t>
            </w:r>
          </w:p>
        </w:tc>
        <w:tc>
          <w:tcPr>
            <w:tcW w:w="1814" w:type="dxa"/>
            <w:vAlign w:val="center"/>
          </w:tcPr>
          <w:p w14:paraId="5D396BFC">
            <w:pPr>
              <w:spacing w:after="0" w:line="276" w:lineRule="auto"/>
              <w:jc w:val="both"/>
            </w:pPr>
            <w:r>
              <w:rPr>
                <w:rFonts w:ascii="Times New Roman" w:hAnsi="Times New Roman" w:eastAsia="仿宋"/>
                <w:sz w:val="19"/>
              </w:rPr>
              <w:t>第二</w:t>
            </w:r>
            <w:r>
              <w:rPr>
                <w:rFonts w:hint="eastAsia"/>
                <w:sz w:val="19"/>
                <w:lang w:eastAsia="zh-CN"/>
              </w:rPr>
              <w:t>节</w:t>
            </w:r>
            <w:r>
              <w:rPr>
                <w:rFonts w:ascii="Times New Roman" w:hAnsi="Times New Roman" w:eastAsia="仿宋"/>
                <w:sz w:val="19"/>
              </w:rPr>
              <w:t>2.2</w:t>
            </w:r>
          </w:p>
        </w:tc>
        <w:tc>
          <w:tcPr>
            <w:tcW w:w="1814" w:type="dxa"/>
            <w:vAlign w:val="center"/>
          </w:tcPr>
          <w:p w14:paraId="64160745">
            <w:pPr>
              <w:spacing w:after="0" w:line="276" w:lineRule="auto"/>
              <w:jc w:val="both"/>
            </w:pPr>
            <w:r>
              <w:rPr>
                <w:rFonts w:ascii="Times New Roman" w:hAnsi="Times New Roman" w:eastAsia="仿宋"/>
                <w:sz w:val="19"/>
              </w:rPr>
              <w:t>第四</w:t>
            </w:r>
            <w:r>
              <w:rPr>
                <w:rFonts w:hint="eastAsia"/>
                <w:sz w:val="19"/>
                <w:lang w:eastAsia="zh-CN"/>
              </w:rPr>
              <w:t>节</w:t>
            </w:r>
            <w:r>
              <w:rPr>
                <w:rFonts w:ascii="Times New Roman" w:hAnsi="Times New Roman" w:eastAsia="仿宋"/>
                <w:sz w:val="19"/>
              </w:rPr>
              <w:t>4.2</w:t>
            </w:r>
          </w:p>
        </w:tc>
        <w:tc>
          <w:tcPr>
            <w:tcW w:w="1814" w:type="dxa"/>
            <w:vAlign w:val="center"/>
          </w:tcPr>
          <w:p w14:paraId="28F381F6">
            <w:pPr>
              <w:spacing w:after="0" w:line="276" w:lineRule="auto"/>
              <w:jc w:val="both"/>
            </w:pPr>
            <w:r>
              <w:rPr>
                <w:rFonts w:ascii="Times New Roman" w:hAnsi="Times New Roman" w:eastAsia="仿宋"/>
                <w:sz w:val="19"/>
              </w:rPr>
              <w:t>第六</w:t>
            </w:r>
            <w:r>
              <w:rPr>
                <w:rFonts w:hint="eastAsia"/>
                <w:sz w:val="19"/>
                <w:lang w:eastAsia="zh-CN"/>
              </w:rPr>
              <w:t>节</w:t>
            </w:r>
            <w:r>
              <w:rPr>
                <w:rFonts w:ascii="Times New Roman" w:hAnsi="Times New Roman" w:eastAsia="仿宋"/>
                <w:sz w:val="19"/>
              </w:rPr>
              <w:t>6.2</w:t>
            </w:r>
          </w:p>
        </w:tc>
        <w:tc>
          <w:tcPr>
            <w:tcW w:w="1814" w:type="dxa"/>
            <w:vAlign w:val="center"/>
          </w:tcPr>
          <w:p w14:paraId="51EF41D2">
            <w:pPr>
              <w:spacing w:after="0" w:line="276" w:lineRule="auto"/>
              <w:jc w:val="both"/>
            </w:pPr>
            <w:r>
              <w:rPr>
                <w:rFonts w:ascii="Times New Roman" w:hAnsi="Times New Roman" w:eastAsia="仿宋"/>
                <w:sz w:val="19"/>
              </w:rPr>
              <w:t>数值错误、证据准确性与可复核性</w:t>
            </w:r>
          </w:p>
        </w:tc>
      </w:tr>
      <w:tr w14:paraId="5503C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9F9F4E5">
            <w:pPr>
              <w:spacing w:after="0" w:line="276" w:lineRule="auto"/>
              <w:jc w:val="both"/>
            </w:pPr>
            <w:r>
              <w:rPr>
                <w:rFonts w:ascii="Times New Roman" w:hAnsi="Times New Roman" w:eastAsia="仿宋"/>
                <w:sz w:val="19"/>
              </w:rPr>
              <w:t>P3 多智能体协同</w:t>
            </w:r>
          </w:p>
        </w:tc>
        <w:tc>
          <w:tcPr>
            <w:tcW w:w="1814" w:type="dxa"/>
            <w:vAlign w:val="center"/>
          </w:tcPr>
          <w:p w14:paraId="5A468636">
            <w:pPr>
              <w:spacing w:after="0" w:line="276" w:lineRule="auto"/>
              <w:jc w:val="both"/>
            </w:pPr>
            <w:r>
              <w:rPr>
                <w:rFonts w:ascii="Times New Roman" w:hAnsi="Times New Roman" w:eastAsia="仿宋"/>
                <w:sz w:val="19"/>
              </w:rPr>
              <w:t>第二</w:t>
            </w:r>
            <w:r>
              <w:rPr>
                <w:rFonts w:hint="eastAsia"/>
                <w:sz w:val="19"/>
                <w:lang w:eastAsia="zh-CN"/>
              </w:rPr>
              <w:t>节</w:t>
            </w:r>
            <w:r>
              <w:rPr>
                <w:rFonts w:ascii="Times New Roman" w:hAnsi="Times New Roman" w:eastAsia="仿宋"/>
                <w:sz w:val="19"/>
              </w:rPr>
              <w:t>2.3</w:t>
            </w:r>
          </w:p>
        </w:tc>
        <w:tc>
          <w:tcPr>
            <w:tcW w:w="1814" w:type="dxa"/>
            <w:vAlign w:val="center"/>
          </w:tcPr>
          <w:p w14:paraId="6FA27F53">
            <w:pPr>
              <w:spacing w:after="0" w:line="276" w:lineRule="auto"/>
              <w:jc w:val="both"/>
            </w:pPr>
            <w:r>
              <w:rPr>
                <w:rFonts w:ascii="Times New Roman" w:hAnsi="Times New Roman" w:eastAsia="仿宋"/>
                <w:sz w:val="19"/>
              </w:rPr>
              <w:t>第四</w:t>
            </w:r>
            <w:r>
              <w:rPr>
                <w:rFonts w:hint="eastAsia"/>
                <w:sz w:val="19"/>
                <w:lang w:eastAsia="zh-CN"/>
              </w:rPr>
              <w:t>节</w:t>
            </w:r>
            <w:r>
              <w:rPr>
                <w:rFonts w:ascii="Times New Roman" w:hAnsi="Times New Roman" w:eastAsia="仿宋"/>
                <w:sz w:val="19"/>
              </w:rPr>
              <w:t>4.3—4.4</w:t>
            </w:r>
          </w:p>
        </w:tc>
        <w:tc>
          <w:tcPr>
            <w:tcW w:w="1814" w:type="dxa"/>
            <w:vAlign w:val="center"/>
          </w:tcPr>
          <w:p w14:paraId="1D930FA9">
            <w:pPr>
              <w:spacing w:after="0" w:line="276" w:lineRule="auto"/>
              <w:jc w:val="both"/>
            </w:pPr>
            <w:r>
              <w:rPr>
                <w:rFonts w:ascii="Times New Roman" w:hAnsi="Times New Roman" w:eastAsia="仿宋"/>
                <w:sz w:val="19"/>
              </w:rPr>
              <w:t>第六</w:t>
            </w:r>
            <w:r>
              <w:rPr>
                <w:rFonts w:hint="eastAsia"/>
                <w:sz w:val="19"/>
                <w:lang w:eastAsia="zh-CN"/>
              </w:rPr>
              <w:t>节</w:t>
            </w:r>
            <w:r>
              <w:rPr>
                <w:rFonts w:ascii="Times New Roman" w:hAnsi="Times New Roman" w:eastAsia="仿宋"/>
                <w:sz w:val="19"/>
              </w:rPr>
              <w:t>6.3</w:t>
            </w:r>
          </w:p>
        </w:tc>
        <w:tc>
          <w:tcPr>
            <w:tcW w:w="1814" w:type="dxa"/>
            <w:vAlign w:val="center"/>
          </w:tcPr>
          <w:p w14:paraId="5F64B43E">
            <w:pPr>
              <w:spacing w:after="0" w:line="276" w:lineRule="auto"/>
              <w:jc w:val="both"/>
            </w:pPr>
            <w:r>
              <w:rPr>
                <w:rFonts w:ascii="Times New Roman" w:hAnsi="Times New Roman" w:eastAsia="仿宋"/>
                <w:sz w:val="19"/>
              </w:rPr>
              <w:t>主体任务质量、决策损失与协作成本</w:t>
            </w:r>
          </w:p>
        </w:tc>
      </w:tr>
    </w:tbl>
    <w:p w14:paraId="3CC59020">
      <w:pPr>
        <w:pStyle w:val="165"/>
        <w:keepNext/>
        <w:jc w:val="both"/>
        <w:rPr>
          <w:rFonts w:hint="eastAsia"/>
        </w:rPr>
      </w:pPr>
      <w:r>
        <w:rPr>
          <w:rFonts w:hint="eastAsia"/>
        </w:rPr>
        <w:t>原始框架的内容迁移建议（非论文章节）</w:t>
      </w:r>
    </w:p>
    <w:p w14:paraId="763EFDC7">
      <w:pPr>
        <w:pStyle w:val="165"/>
        <w:keepNext/>
        <w:ind w:firstLine="480" w:firstLineChars="200"/>
        <w:jc w:val="both"/>
        <w:rPr>
          <w:rFonts w:hint="eastAsia"/>
          <w:b w:val="0"/>
          <w:bCs/>
        </w:rPr>
      </w:pPr>
      <w:r>
        <w:rPr>
          <w:rFonts w:hint="eastAsia"/>
          <w:b w:val="0"/>
          <w:bCs/>
        </w:rPr>
        <w:t>原稿第4.10.1—4.10.2节关于风险预测目标、基准模型与递进式特征组的设计可予以保留，分别融入第三</w:t>
      </w:r>
      <w:r>
        <w:rPr>
          <w:rFonts w:hint="eastAsia"/>
          <w:b w:val="0"/>
          <w:bCs/>
          <w:lang w:eastAsia="zh-CN"/>
        </w:rPr>
        <w:t>节</w:t>
      </w:r>
      <w:r>
        <w:rPr>
          <w:rFonts w:hint="eastAsia"/>
          <w:b w:val="0"/>
          <w:bCs/>
        </w:rPr>
        <w:t>的风险任务与数据设计、第四</w:t>
      </w:r>
      <w:r>
        <w:rPr>
          <w:rFonts w:hint="eastAsia"/>
          <w:b w:val="0"/>
          <w:bCs/>
          <w:lang w:eastAsia="zh-CN"/>
        </w:rPr>
        <w:t>节</w:t>
      </w:r>
      <w:r>
        <w:rPr>
          <w:rFonts w:hint="eastAsia"/>
          <w:b w:val="0"/>
          <w:bCs/>
        </w:rPr>
        <w:t>的多模态预警模型及第五</w:t>
      </w:r>
      <w:r>
        <w:rPr>
          <w:rFonts w:hint="eastAsia"/>
          <w:b w:val="0"/>
          <w:bCs/>
          <w:lang w:eastAsia="zh-CN"/>
        </w:rPr>
        <w:t>节</w:t>
      </w:r>
      <w:r>
        <w:rPr>
          <w:rFonts w:hint="eastAsia"/>
          <w:b w:val="0"/>
          <w:bCs/>
        </w:rPr>
        <w:t>的对照实验设置，但需依据本文共同预警目标重新核定风险指标与高风险标签。</w:t>
      </w:r>
    </w:p>
    <w:p w14:paraId="402B5BFC">
      <w:pPr>
        <w:pStyle w:val="165"/>
        <w:keepNext/>
        <w:ind w:firstLine="480" w:firstLineChars="200"/>
        <w:jc w:val="both"/>
        <w:rPr>
          <w:rFonts w:hint="eastAsia"/>
          <w:b w:val="0"/>
          <w:bCs/>
        </w:rPr>
      </w:pPr>
      <w:r>
        <w:rPr>
          <w:rFonts w:hint="eastAsia"/>
          <w:b w:val="0"/>
          <w:bCs/>
        </w:rPr>
        <w:t>原</w:t>
      </w:r>
      <w:r>
        <w:rPr>
          <w:rFonts w:hint="eastAsia"/>
          <w:b w:val="0"/>
          <w:bCs/>
        </w:rPr>
        <w:t>稿</w:t>
      </w:r>
      <w:r>
        <w:rPr>
          <w:rFonts w:hint="eastAsia"/>
          <w:b w:val="0"/>
          <w:bCs/>
        </w:rPr>
        <w:t>第4.10.3节的数值语义化设计可作为辅助表征或消融实验，不将数值转换形成的语义标签直接视为新增信息。原第4.10.4节关于RAG、风险测度与预测工具调用的内容迁入第四</w:t>
      </w:r>
      <w:r>
        <w:rPr>
          <w:rFonts w:hint="eastAsia"/>
          <w:b w:val="0"/>
          <w:bCs/>
          <w:lang w:eastAsia="zh-CN"/>
        </w:rPr>
        <w:t>节</w:t>
      </w:r>
      <w:r>
        <w:rPr>
          <w:rFonts w:hint="eastAsia"/>
          <w:b w:val="0"/>
          <w:bCs/>
        </w:rPr>
        <w:t>4.2，并进一步设计监管、投资与融资智能体的专业化任务、证据共享及协同协调机制，形成第四</w:t>
      </w:r>
      <w:r>
        <w:rPr>
          <w:rFonts w:hint="eastAsia"/>
          <w:b w:val="0"/>
          <w:bCs/>
          <w:lang w:eastAsia="zh-CN"/>
        </w:rPr>
        <w:t>节</w:t>
      </w:r>
      <w:r>
        <w:rPr>
          <w:rFonts w:hint="eastAsia"/>
          <w:b w:val="0"/>
          <w:bCs/>
        </w:rPr>
        <w:t>4.3—4.4的主要新增内容。</w:t>
      </w:r>
    </w:p>
    <w:p w14:paraId="6C72FB41">
      <w:pPr>
        <w:pStyle w:val="165"/>
        <w:keepNext/>
        <w:ind w:firstLine="480" w:firstLineChars="200"/>
        <w:jc w:val="both"/>
      </w:pPr>
      <w:r>
        <w:rPr>
          <w:rFonts w:hint="eastAsia"/>
          <w:b w:val="0"/>
          <w:bCs/>
        </w:rPr>
        <w:t>原</w:t>
      </w:r>
      <w:r>
        <w:rPr>
          <w:rFonts w:hint="eastAsia"/>
          <w:b w:val="0"/>
          <w:bCs/>
        </w:rPr>
        <w:t>稿</w:t>
      </w:r>
      <w:r>
        <w:rPr>
          <w:rFonts w:hint="eastAsia"/>
          <w:b w:val="0"/>
          <w:bCs/>
        </w:rPr>
        <w:t>第5.6—5.8节的实验设计可分别用于第六</w:t>
      </w:r>
      <w:r>
        <w:rPr>
          <w:rFonts w:hint="eastAsia"/>
          <w:b w:val="0"/>
          <w:bCs/>
          <w:lang w:eastAsia="zh-CN"/>
        </w:rPr>
        <w:t>节</w:t>
      </w:r>
      <w:r>
        <w:rPr>
          <w:rFonts w:hint="eastAsia"/>
          <w:b w:val="0"/>
          <w:bCs/>
        </w:rPr>
        <w:t>多模态信息增益和金融知识与工具增强的效果验证；第六</w:t>
      </w:r>
      <w:r>
        <w:rPr>
          <w:rFonts w:hint="eastAsia"/>
          <w:b w:val="0"/>
          <w:bCs/>
          <w:lang w:eastAsia="zh-CN"/>
        </w:rPr>
        <w:t>节</w:t>
      </w:r>
      <w:r>
        <w:rPr>
          <w:rFonts w:hint="eastAsia"/>
          <w:b w:val="0"/>
          <w:bCs/>
        </w:rPr>
        <w:t>6.3则需新增单智能体、独立多智能体与协同多智能体的对照实验，检验专业化分工与协同机制的增量价值，并结合典型金融风险情景评价预警效果、结果可靠性与主体决策损失。</w:t>
      </w:r>
    </w:p>
    <w:p w14:paraId="0FD83B37">
      <w:pPr>
        <w:pStyle w:val="165"/>
        <w:keepNext/>
        <w:jc w:val="both"/>
      </w:pPr>
    </w:p>
    <w:p w14:paraId="455390BB">
      <w:pPr>
        <w:pStyle w:val="165"/>
        <w:keepNext/>
        <w:jc w:val="both"/>
      </w:pPr>
      <w:r>
        <w:t>写作边界与可核验参考文献（非论文章节）</w:t>
      </w:r>
    </w:p>
    <w:p w14:paraId="1795A431">
      <w:pPr>
        <w:keepLines w:val="0"/>
        <w:spacing w:after="120"/>
        <w:ind w:firstLine="0"/>
        <w:jc w:val="both"/>
      </w:pPr>
      <w:r>
        <w:rPr>
          <w:rFonts w:ascii="Times New Roman" w:hAnsi="Times New Roman" w:eastAsia="仿宋"/>
          <w:b w:val="0"/>
        </w:rPr>
        <w:t>第一，数值、文本属于不同数据模态，但不同网站的新闻文本不因此成为多模态；若实际只有数值和文本，应明确写作“数值—文本多模态融合”。第二，预警结果、智能体解释可靠性和主体决策价值是不同评价层次，不能仅凭准确率提高同时宣称三者改善。第三，研发可以从智能体原型开始，正式论文须先界定任务和实验设计，再解释方法及实测结果。</w:t>
      </w:r>
    </w:p>
    <w:p w14:paraId="704EAB13">
      <w:pPr>
        <w:pStyle w:val="166"/>
        <w:jc w:val="both"/>
      </w:pPr>
      <w:r>
        <w:rPr>
          <w:rFonts w:ascii="Times New Roman" w:hAnsi="Times New Roman" w:eastAsia="仿宋"/>
          <w:b w:val="0"/>
          <w:sz w:val="20"/>
        </w:rPr>
        <w:t>［1］《管理科学学报》编辑部．“数据科学赋能经济管理”主题公开征稿启事．2026-01-31．https://jmsc.tju.edu.cn/jmsc/news/view/20260131191900001</w:t>
      </w:r>
    </w:p>
    <w:p w14:paraId="3C6E7805">
      <w:pPr>
        <w:pStyle w:val="166"/>
        <w:jc w:val="both"/>
      </w:pPr>
      <w:r>
        <w:rPr>
          <w:rFonts w:ascii="Times New Roman" w:hAnsi="Times New Roman" w:eastAsia="仿宋"/>
          <w:b w:val="0"/>
          <w:sz w:val="20"/>
        </w:rPr>
        <w:t>［2］Hevner A R, March S T, Park J, Ram S. Design Science in Information Systems Research. MIS Quarterly, 2004, 28(1): 75–105. DOI: 10.2307/25148625.</w:t>
      </w:r>
    </w:p>
    <w:p w14:paraId="0A19AE73">
      <w:pPr>
        <w:pStyle w:val="166"/>
        <w:jc w:val="both"/>
      </w:pPr>
      <w:r>
        <w:rPr>
          <w:rFonts w:ascii="Times New Roman" w:hAnsi="Times New Roman" w:eastAsia="仿宋"/>
          <w:b w:val="0"/>
          <w:sz w:val="20"/>
        </w:rPr>
        <w:t>［3］Zhang W, et al. A Multimodal Foundation Agent for Financial Trading: Tool-Augmented, Diversified, and Generalist. Proceedings of KDD, 2024. DOI: 10.1145/3637528.3671801.</w:t>
      </w:r>
    </w:p>
    <w:p w14:paraId="1C1DFD60">
      <w:pPr>
        <w:pStyle w:val="166"/>
        <w:jc w:val="both"/>
      </w:pPr>
      <w:r>
        <w:rPr>
          <w:rFonts w:ascii="Times New Roman" w:hAnsi="Times New Roman" w:eastAsia="仿宋"/>
          <w:b w:val="0"/>
          <w:sz w:val="20"/>
        </w:rPr>
        <w:t>［4］Sheikh R, Miah S J. TRIAG: Tri-reinforced infused generative agents for financial risk compliance. Intelligent Systems with Applications, 2026, 30: 200653. DOI: 10.1016/j.iswa.2026.200653.</w:t>
      </w:r>
    </w:p>
    <w:sectPr>
      <w:footerReference r:id="rId5" w:type="default"/>
      <w:pgSz w:w="11906" w:h="16838"/>
      <w:pgMar w:top="1417" w:right="1417" w:bottom="1417" w:left="1417" w:header="709" w:footer="73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4AACF">
    <w:pPr>
      <w:pStyle w:val="24"/>
      <w:spacing w:before="0"/>
      <w:jc w:val="center"/>
      <w:rPr>
        <w:rFonts w:ascii="Times New Roman" w:hAnsi="Times New Roman" w:eastAsia="仿宋"/>
        <w:b w:val="0"/>
        <w:color w:val="6E767D"/>
        <w:sz w:val="18"/>
      </w:rPr>
    </w:pPr>
  </w:p>
  <w:p w14:paraId="43960243">
    <w:pPr>
      <w:pStyle w:val="24"/>
      <w:spacing w:before="0"/>
      <w:jc w:val="center"/>
    </w:pPr>
    <w:r>
      <w:rPr>
        <w:rFonts w:ascii="Times New Roman" w:hAnsi="Times New Roman" w:eastAsia="仿宋"/>
        <w:b w:val="0"/>
        <w:color w:val="6E767D"/>
        <w:sz w:val="18"/>
      </w:rPr>
      <w:t xml:space="preserv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D5345C"/>
    <w:rsid w:val="0BCD4D32"/>
    <w:rsid w:val="11D81D3B"/>
    <w:rsid w:val="181016A5"/>
    <w:rsid w:val="235002CB"/>
    <w:rsid w:val="28463A4A"/>
    <w:rsid w:val="331F3816"/>
    <w:rsid w:val="3C5F2ED5"/>
    <w:rsid w:val="3EDB4A95"/>
    <w:rsid w:val="45EF0E26"/>
    <w:rsid w:val="59E20F76"/>
    <w:rsid w:val="60DB04CD"/>
    <w:rsid w:val="630737FB"/>
    <w:rsid w:val="7E357016"/>
    <w:rsid w:val="7F9147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60" w:line="288" w:lineRule="auto"/>
    </w:pPr>
    <w:rPr>
      <w:rFonts w:ascii="Times New Roman" w:hAnsi="Times New Roman" w:eastAsia="仿宋" w:cs="Times New Roman"/>
      <w:sz w:val="24"/>
      <w:szCs w:val="22"/>
      <w:lang w:val="en-US" w:eastAsia="en-US" w:bidi="ar-SA"/>
    </w:rPr>
  </w:style>
  <w:style w:type="paragraph" w:styleId="3">
    <w:name w:val="heading 1"/>
    <w:basedOn w:val="1"/>
    <w:next w:val="1"/>
    <w:link w:val="138"/>
    <w:qFormat/>
    <w:uiPriority w:val="9"/>
    <w:pPr>
      <w:keepNext/>
      <w:keepLines/>
      <w:spacing w:before="220" w:after="100" w:line="288" w:lineRule="auto"/>
      <w:outlineLvl w:val="0"/>
    </w:pPr>
    <w:rPr>
      <w:rFonts w:ascii="Times New Roman" w:hAnsi="Times New Roman" w:eastAsia="仿宋" w:cs="Times New Roman"/>
      <w:b/>
      <w:bCs/>
      <w:color w:val="000000"/>
      <w:sz w:val="28"/>
      <w:szCs w:val="28"/>
    </w:rPr>
  </w:style>
  <w:style w:type="paragraph" w:styleId="4">
    <w:name w:val="heading 2"/>
    <w:basedOn w:val="1"/>
    <w:next w:val="1"/>
    <w:link w:val="139"/>
    <w:unhideWhenUsed/>
    <w:qFormat/>
    <w:uiPriority w:val="9"/>
    <w:pPr>
      <w:keepNext/>
      <w:keepLines/>
      <w:spacing w:before="160" w:after="60" w:line="288" w:lineRule="auto"/>
      <w:outlineLvl w:val="1"/>
    </w:pPr>
    <w:rPr>
      <w:rFonts w:ascii="Times New Roman" w:hAnsi="Times New Roman" w:eastAsia="仿宋" w:cs="Times New Roman"/>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140" w:line="288" w:lineRule="auto"/>
      <w:contextualSpacing/>
    </w:pPr>
    <w:rPr>
      <w:rFonts w:ascii="Times New Roman" w:hAnsi="Times New Roman" w:eastAsia="仿宋" w:cs="Times New Roman"/>
      <w:b/>
      <w:color w:val="000000"/>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ubtitleShort"/>
    <w:uiPriority w:val="0"/>
    <w:pPr>
      <w:spacing w:after="260" w:line="276" w:lineRule="auto"/>
    </w:pPr>
    <w:rPr>
      <w:rFonts w:ascii="Times New Roman" w:hAnsi="Times New Roman" w:eastAsia="仿宋" w:cs="Times New Roman"/>
      <w:color w:val="5F6974"/>
      <w:sz w:val="20"/>
      <w:szCs w:val="22"/>
      <w:lang w:val="en-US" w:eastAsia="en-US" w:bidi="ar-SA"/>
    </w:rPr>
  </w:style>
  <w:style w:type="paragraph" w:customStyle="1" w:styleId="165">
    <w:name w:val="NoteHeading"/>
    <w:uiPriority w:val="0"/>
    <w:pPr>
      <w:spacing w:before="160" w:after="100" w:line="276" w:lineRule="auto"/>
    </w:pPr>
    <w:rPr>
      <w:rFonts w:ascii="Times New Roman" w:hAnsi="Times New Roman" w:eastAsia="仿宋" w:cs="Times New Roman"/>
      <w:b/>
      <w:sz w:val="24"/>
      <w:szCs w:val="22"/>
      <w:lang w:val="en-US" w:eastAsia="en-US" w:bidi="ar-SA"/>
    </w:rPr>
  </w:style>
  <w:style w:type="paragraph" w:customStyle="1" w:styleId="166">
    <w:name w:val="RefNote"/>
    <w:uiPriority w:val="0"/>
    <w:pPr>
      <w:spacing w:after="60" w:line="276" w:lineRule="auto"/>
    </w:pPr>
    <w:rPr>
      <w:rFonts w:ascii="Times New Roman" w:hAnsi="Times New Roman" w:eastAsia="仿宋" w:cs="Times New Roman"/>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4135</Words>
  <Characters>4691</Characters>
  <Lines>0</Lines>
  <Paragraphs>0</Paragraphs>
  <TotalTime>2</TotalTime>
  <ScaleCrop>false</ScaleCrop>
  <LinksUpToDate>false</LinksUpToDate>
  <CharactersWithSpaces>4782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葛福婷</dc:creator>
  <dc:description>generated by python-docx</dc:description>
  <cp:keywords>跨境金融风险；多模态信息融合；多智能体协同；风险预警</cp:keywords>
  <cp:lastModifiedBy>葛福婷</cp:lastModifiedBy>
  <dcterms:modified xsi:type="dcterms:W3CDTF">2026-10-18T06:32:33Z</dcterms:modified>
  <dc:subject>方向2预警应用论文研究框架V1</dc:subject>
  <dc:title>跨境金融风险的多智能体协同预警：多模态信息融合视角</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eyJoZGlkIjoiYTBkYmY1NzJjY2FkMTc0MmE2ZTU1ZmQ3ZGM0YjhlYjciLCJ1c2VySWQiOiIxNjA5OTc4Mjg5In0=</vt:lpwstr>
  </property>
  <property fmtid="{D5CDD505-2E9C-101B-9397-08002B2CF9AE}" pid="3" name="KSOProductBuildVer">
    <vt:lpwstr>2052-12.1.0.23542</vt:lpwstr>
  </property>
  <property fmtid="{D5CDD505-2E9C-101B-9397-08002B2CF9AE}" pid="4" name="ICV">
    <vt:lpwstr>29337769DBF34ED3B3E79261D84DDB09_12</vt:lpwstr>
  </property>
</Properties>
</file>