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1E6401">
      <w:pPr>
        <w:keepNext w:val="0"/>
        <w:keepLines w:val="0"/>
        <w:pageBreakBefore w:val="0"/>
        <w:widowControl w:val="0"/>
        <w:kinsoku/>
        <w:wordWrap/>
        <w:overflowPunct/>
        <w:topLinePunct w:val="0"/>
        <w:autoSpaceDE/>
        <w:autoSpaceDN/>
        <w:bidi w:val="0"/>
        <w:adjustRightInd w:val="0"/>
        <w:snapToGrid w:val="0"/>
        <w:spacing w:before="200" w:after="0" w:line="360" w:lineRule="auto"/>
        <w:jc w:val="center"/>
        <w:textAlignment w:val="auto"/>
        <w:rPr>
          <w:rFonts w:hint="eastAsia" w:ascii="仿宋" w:hAnsi="仿宋" w:eastAsia="仿宋" w:cs="仿宋"/>
          <w:b/>
          <w:bCs w:val="0"/>
          <w:color w:val="0D0D0D"/>
          <w:kern w:val="2"/>
          <w:sz w:val="44"/>
          <w:szCs w:val="44"/>
          <w:lang w:eastAsia="zh-CN"/>
        </w:rPr>
      </w:pPr>
      <w:r>
        <w:rPr>
          <w:rFonts w:hint="eastAsia" w:ascii="仿宋" w:hAnsi="仿宋" w:eastAsia="仿宋" w:cs="仿宋"/>
          <w:b/>
          <w:bCs w:val="0"/>
          <w:color w:val="0D0D0D"/>
          <w:kern w:val="2"/>
          <w:sz w:val="44"/>
          <w:szCs w:val="44"/>
          <w:lang w:eastAsia="zh-CN"/>
        </w:rPr>
        <w:t>第二十五届全国大学生机器人大赛</w:t>
      </w:r>
    </w:p>
    <w:p w14:paraId="0D9C3D9B">
      <w:pPr>
        <w:keepNext w:val="0"/>
        <w:keepLines w:val="0"/>
        <w:pageBreakBefore w:val="0"/>
        <w:widowControl w:val="0"/>
        <w:kinsoku/>
        <w:wordWrap/>
        <w:overflowPunct/>
        <w:topLinePunct w:val="0"/>
        <w:autoSpaceDE/>
        <w:autoSpaceDN/>
        <w:bidi w:val="0"/>
        <w:adjustRightInd w:val="0"/>
        <w:snapToGrid w:val="0"/>
        <w:spacing w:before="200" w:after="0" w:line="360" w:lineRule="auto"/>
        <w:jc w:val="center"/>
        <w:textAlignment w:val="auto"/>
        <w:rPr>
          <w:rFonts w:hint="eastAsia" w:ascii="仿宋" w:hAnsi="仿宋" w:eastAsia="仿宋" w:cs="仿宋"/>
          <w:b/>
          <w:bCs w:val="0"/>
          <w:color w:val="0D0D0D"/>
          <w:kern w:val="2"/>
          <w:sz w:val="44"/>
          <w:szCs w:val="44"/>
          <w:lang w:eastAsia="zh-CN"/>
        </w:rPr>
      </w:pPr>
      <w:r>
        <w:rPr>
          <w:rFonts w:hint="eastAsia" w:ascii="仿宋" w:hAnsi="仿宋" w:eastAsia="仿宋" w:cs="仿宋"/>
          <w:b/>
          <w:bCs w:val="0"/>
          <w:color w:val="0D0D0D"/>
          <w:kern w:val="2"/>
          <w:sz w:val="44"/>
          <w:szCs w:val="44"/>
          <w:lang w:eastAsia="zh-CN"/>
        </w:rPr>
        <w:t xml:space="preserve">ROBOTAC AIROBOTIC赛项 </w:t>
      </w:r>
    </w:p>
    <w:p w14:paraId="52EF3B8D">
      <w:pPr>
        <w:keepNext w:val="0"/>
        <w:keepLines w:val="0"/>
        <w:pageBreakBefore w:val="0"/>
        <w:widowControl w:val="0"/>
        <w:kinsoku/>
        <w:wordWrap/>
        <w:overflowPunct/>
        <w:topLinePunct w:val="0"/>
        <w:autoSpaceDE/>
        <w:autoSpaceDN/>
        <w:bidi w:val="0"/>
        <w:adjustRightInd w:val="0"/>
        <w:snapToGrid w:val="0"/>
        <w:spacing w:before="200" w:after="0" w:line="360" w:lineRule="auto"/>
        <w:jc w:val="center"/>
        <w:textAlignment w:val="auto"/>
        <w:rPr>
          <w:rFonts w:hint="eastAsia" w:ascii="仿宋" w:hAnsi="仿宋" w:eastAsia="仿宋" w:cs="仿宋"/>
          <w:b/>
          <w:bCs w:val="0"/>
          <w:color w:val="0D0D0D"/>
          <w:kern w:val="2"/>
          <w:sz w:val="44"/>
          <w:szCs w:val="44"/>
          <w:lang w:eastAsia="zh-CN"/>
        </w:rPr>
      </w:pPr>
      <w:r>
        <w:rPr>
          <w:rFonts w:hint="eastAsia" w:ascii="仿宋" w:hAnsi="仿宋" w:eastAsia="仿宋" w:cs="仿宋"/>
          <w:b/>
          <w:bCs w:val="0"/>
          <w:color w:val="0D0D0D"/>
          <w:kern w:val="2"/>
          <w:sz w:val="44"/>
          <w:szCs w:val="44"/>
          <w:lang w:eastAsia="zh-CN"/>
        </w:rPr>
        <w:t>预选赛评审细则</w:t>
      </w:r>
    </w:p>
    <w:p w14:paraId="4335F7AD">
      <w:pPr>
        <w:pStyle w:val="2"/>
        <w:keepNext/>
        <w:keepLines/>
        <w:pageBreakBefore w:val="0"/>
        <w:widowControl/>
        <w:numPr>
          <w:ilvl w:val="0"/>
          <w:numId w:val="1"/>
        </w:numPr>
        <w:kinsoku/>
        <w:wordWrap/>
        <w:overflowPunct/>
        <w:topLinePunct w:val="0"/>
        <w:autoSpaceDE/>
        <w:autoSpaceDN/>
        <w:bidi w:val="0"/>
        <w:adjustRightInd w:val="0"/>
        <w:snapToGrid w:val="0"/>
        <w:spacing w:before="200" w:after="0" w:line="360" w:lineRule="auto"/>
        <w:ind w:left="0" w:leftChars="0" w:firstLine="0" w:firstLineChars="0"/>
        <w:textAlignment w:val="auto"/>
        <w:rPr>
          <w:rFonts w:hint="eastAsia" w:ascii="仿宋" w:hAnsi="仿宋" w:eastAsia="仿宋" w:cs="仿宋"/>
          <w:kern w:val="2"/>
          <w:sz w:val="30"/>
          <w:szCs w:val="24"/>
          <w:lang w:eastAsia="zh-CN"/>
        </w:rPr>
      </w:pPr>
      <w:r>
        <w:rPr>
          <w:rFonts w:hint="eastAsia" w:ascii="仿宋" w:hAnsi="仿宋" w:eastAsia="仿宋" w:cs="仿宋"/>
          <w:kern w:val="2"/>
          <w:sz w:val="30"/>
          <w:szCs w:val="24"/>
          <w:lang w:eastAsia="zh-CN"/>
        </w:rPr>
        <w:t>评审概述</w:t>
      </w:r>
    </w:p>
    <w:p w14:paraId="086B6DE9">
      <w:pPr>
        <w:keepNext w:val="0"/>
        <w:keepLines w:val="0"/>
        <w:pageBreakBefore w:val="0"/>
        <w:widowControl/>
        <w:numPr>
          <w:ilvl w:val="0"/>
          <w:numId w:val="2"/>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bCs/>
          <w:szCs w:val="24"/>
        </w:rPr>
      </w:pPr>
      <w:r>
        <w:rPr>
          <w:rFonts w:hint="eastAsia" w:ascii="仿宋" w:hAnsi="仿宋" w:eastAsia="仿宋" w:cs="仿宋"/>
          <w:b/>
          <w:bCs/>
          <w:szCs w:val="24"/>
        </w:rPr>
        <w:t>评审目的</w:t>
      </w:r>
    </w:p>
    <w:p w14:paraId="1C6430C1">
      <w:pPr>
        <w:keepNext w:val="0"/>
        <w:keepLines w:val="0"/>
        <w:pageBreakBefore w:val="0"/>
        <w:widowControl/>
        <w:tabs>
          <w:tab w:val="left" w:pos="0"/>
        </w:tabs>
        <w:kinsoku/>
        <w:wordWrap/>
        <w:overflowPunct/>
        <w:topLinePunct w:val="0"/>
        <w:autoSpaceDE/>
        <w:autoSpaceDN/>
        <w:bidi w:val="0"/>
        <w:adjustRightInd w:val="0"/>
        <w:snapToGrid w:val="0"/>
        <w:spacing w:after="0" w:line="360" w:lineRule="auto"/>
        <w:ind w:left="0" w:firstLine="480" w:firstLineChars="200"/>
        <w:textAlignment w:val="auto"/>
        <w:rPr>
          <w:rFonts w:hint="eastAsia" w:ascii="仿宋" w:hAnsi="仿宋" w:eastAsia="仿宋" w:cs="仿宋"/>
          <w:szCs w:val="24"/>
          <w:lang w:eastAsia="zh-CN"/>
        </w:rPr>
      </w:pPr>
      <w:r>
        <w:rPr>
          <w:rFonts w:hint="eastAsia" w:ascii="仿宋" w:hAnsi="仿宋" w:eastAsia="仿宋" w:cs="仿宋"/>
          <w:szCs w:val="24"/>
          <w:lang w:eastAsia="zh-CN"/>
        </w:rPr>
        <w:t>公平、公正、科学评价参赛队伍在仿真开发、长程任务编排、空地协同落地等方面的综合能力，选拔技术扎实、工程落地能力强的优秀队伍。</w:t>
      </w:r>
    </w:p>
    <w:p w14:paraId="4AAF1CED">
      <w:pPr>
        <w:keepNext w:val="0"/>
        <w:keepLines w:val="0"/>
        <w:pageBreakBefore w:val="0"/>
        <w:widowControl/>
        <w:numPr>
          <w:ilvl w:val="0"/>
          <w:numId w:val="2"/>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bCs/>
          <w:szCs w:val="24"/>
          <w:lang w:eastAsia="zh-CN"/>
        </w:rPr>
      </w:pPr>
      <w:r>
        <w:rPr>
          <w:rFonts w:hint="eastAsia" w:ascii="仿宋" w:hAnsi="仿宋" w:eastAsia="仿宋" w:cs="仿宋"/>
          <w:b/>
          <w:bCs/>
          <w:szCs w:val="24"/>
          <w:lang w:eastAsia="zh-CN"/>
        </w:rPr>
        <w:t>评审原则</w:t>
      </w:r>
    </w:p>
    <w:p w14:paraId="3AF58E82">
      <w:pPr>
        <w:keepNext w:val="0"/>
        <w:keepLines w:val="0"/>
        <w:pageBreakBefore w:val="0"/>
        <w:widowControl/>
        <w:tabs>
          <w:tab w:val="left" w:pos="0"/>
        </w:tabs>
        <w:kinsoku/>
        <w:wordWrap/>
        <w:overflowPunct/>
        <w:topLinePunct w:val="0"/>
        <w:autoSpaceDE/>
        <w:autoSpaceDN/>
        <w:bidi w:val="0"/>
        <w:adjustRightInd w:val="0"/>
        <w:snapToGrid w:val="0"/>
        <w:spacing w:after="0" w:line="360" w:lineRule="auto"/>
        <w:ind w:left="0" w:firstLine="480" w:firstLineChars="200"/>
        <w:textAlignment w:val="auto"/>
        <w:rPr>
          <w:rFonts w:hint="eastAsia" w:ascii="仿宋" w:hAnsi="仿宋" w:eastAsia="仿宋" w:cs="仿宋"/>
          <w:szCs w:val="24"/>
          <w:lang w:eastAsia="zh-CN"/>
        </w:rPr>
      </w:pPr>
      <w:r>
        <w:rPr>
          <w:rFonts w:hint="eastAsia" w:ascii="仿宋" w:hAnsi="仿宋" w:eastAsia="仿宋" w:cs="仿宋"/>
          <w:szCs w:val="24"/>
          <w:lang w:eastAsia="zh-CN"/>
        </w:rPr>
        <w:t>坚持公开透明、统一标准、客观量化、容错计分；基础任务保底、进阶任务择优、违规项严格扣分。</w:t>
      </w:r>
    </w:p>
    <w:p w14:paraId="7968E5F8">
      <w:pPr>
        <w:keepNext w:val="0"/>
        <w:keepLines w:val="0"/>
        <w:pageBreakBefore w:val="0"/>
        <w:widowControl/>
        <w:numPr>
          <w:ilvl w:val="0"/>
          <w:numId w:val="2"/>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bCs/>
          <w:szCs w:val="24"/>
        </w:rPr>
      </w:pPr>
      <w:r>
        <w:rPr>
          <w:rFonts w:hint="eastAsia" w:ascii="仿宋" w:hAnsi="仿宋" w:eastAsia="仿宋" w:cs="仿宋"/>
          <w:b/>
          <w:bCs/>
          <w:szCs w:val="24"/>
        </w:rPr>
        <w:t>适用范围</w:t>
      </w:r>
    </w:p>
    <w:p w14:paraId="484B45A4">
      <w:pPr>
        <w:keepNext w:val="0"/>
        <w:keepLines w:val="0"/>
        <w:pageBreakBefore w:val="0"/>
        <w:widowControl/>
        <w:tabs>
          <w:tab w:val="left" w:pos="0"/>
        </w:tabs>
        <w:kinsoku/>
        <w:wordWrap/>
        <w:overflowPunct/>
        <w:topLinePunct w:val="0"/>
        <w:autoSpaceDE/>
        <w:autoSpaceDN/>
        <w:bidi w:val="0"/>
        <w:adjustRightInd w:val="0"/>
        <w:snapToGrid w:val="0"/>
        <w:spacing w:after="0" w:line="360" w:lineRule="auto"/>
        <w:ind w:left="0" w:firstLine="480" w:firstLineChars="200"/>
        <w:textAlignment w:val="auto"/>
        <w:rPr>
          <w:rFonts w:hint="eastAsia" w:ascii="仿宋" w:hAnsi="仿宋" w:eastAsia="仿宋" w:cs="仿宋"/>
          <w:szCs w:val="24"/>
          <w:lang w:eastAsia="zh-CN"/>
        </w:rPr>
      </w:pPr>
      <w:r>
        <w:rPr>
          <w:rFonts w:hint="eastAsia" w:ascii="仿宋" w:hAnsi="仿宋" w:eastAsia="仿宋" w:cs="仿宋"/>
          <w:szCs w:val="24"/>
          <w:lang w:eastAsia="zh-CN"/>
        </w:rPr>
        <w:t>适用于本赛项线上预选赛，覆盖所有参赛队伍。</w:t>
      </w:r>
    </w:p>
    <w:p w14:paraId="0ABB89CF">
      <w:pPr>
        <w:keepNext w:val="0"/>
        <w:keepLines w:val="0"/>
        <w:pageBreakBefore w:val="0"/>
        <w:widowControl/>
        <w:numPr>
          <w:ilvl w:val="0"/>
          <w:numId w:val="2"/>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bCs/>
          <w:szCs w:val="24"/>
        </w:rPr>
      </w:pPr>
      <w:r>
        <w:rPr>
          <w:rFonts w:hint="eastAsia" w:ascii="仿宋" w:hAnsi="仿宋" w:eastAsia="仿宋" w:cs="仿宋"/>
          <w:b/>
          <w:bCs/>
          <w:szCs w:val="24"/>
        </w:rPr>
        <w:t>评审组织</w:t>
      </w:r>
    </w:p>
    <w:p w14:paraId="57A28CE2">
      <w:pPr>
        <w:keepNext w:val="0"/>
        <w:keepLines w:val="0"/>
        <w:pageBreakBefore w:val="0"/>
        <w:widowControl/>
        <w:tabs>
          <w:tab w:val="left" w:pos="0"/>
        </w:tabs>
        <w:kinsoku/>
        <w:wordWrap/>
        <w:overflowPunct/>
        <w:topLinePunct w:val="0"/>
        <w:autoSpaceDE/>
        <w:autoSpaceDN/>
        <w:bidi w:val="0"/>
        <w:adjustRightInd w:val="0"/>
        <w:snapToGrid w:val="0"/>
        <w:spacing w:after="0" w:line="360" w:lineRule="auto"/>
        <w:ind w:left="0" w:firstLine="480" w:firstLineChars="200"/>
        <w:textAlignment w:val="auto"/>
        <w:rPr>
          <w:rFonts w:hint="eastAsia" w:ascii="仿宋" w:hAnsi="仿宋" w:eastAsia="仿宋" w:cs="仿宋"/>
          <w:lang w:eastAsia="zh-CN"/>
        </w:rPr>
      </w:pPr>
      <w:r>
        <w:rPr>
          <w:rFonts w:hint="eastAsia" w:ascii="仿宋" w:hAnsi="仿宋" w:eastAsia="仿宋" w:cs="仿宋"/>
          <w:szCs w:val="24"/>
          <w:lang w:eastAsia="zh-CN"/>
        </w:rPr>
        <w:t>由赛事</w:t>
      </w:r>
      <w:bookmarkStart w:id="0" w:name="OLE_LINK1"/>
      <w:r>
        <w:rPr>
          <w:rFonts w:hint="eastAsia" w:ascii="仿宋" w:hAnsi="仿宋" w:eastAsia="仿宋" w:cs="仿宋"/>
          <w:szCs w:val="24"/>
          <w:lang w:eastAsia="zh-CN"/>
        </w:rPr>
        <w:t>裁判委员会、评审委员会、仲裁委员会</w:t>
      </w:r>
      <w:bookmarkEnd w:id="0"/>
      <w:r>
        <w:rPr>
          <w:rFonts w:hint="eastAsia" w:ascii="仿宋" w:hAnsi="仿宋" w:eastAsia="仿宋" w:cs="仿宋"/>
          <w:szCs w:val="24"/>
          <w:lang w:eastAsia="zh-CN"/>
        </w:rPr>
        <w:t>独立开展评审与争议裁定，执行委员会负责组织保障。</w:t>
      </w:r>
    </w:p>
    <w:p w14:paraId="4BA3717B">
      <w:pPr>
        <w:pStyle w:val="2"/>
        <w:keepNext/>
        <w:keepLines/>
        <w:pageBreakBefore w:val="0"/>
        <w:widowControl/>
        <w:numPr>
          <w:ilvl w:val="0"/>
          <w:numId w:val="1"/>
        </w:numPr>
        <w:kinsoku/>
        <w:wordWrap/>
        <w:overflowPunct/>
        <w:topLinePunct w:val="0"/>
        <w:autoSpaceDE/>
        <w:autoSpaceDN/>
        <w:bidi w:val="0"/>
        <w:adjustRightInd w:val="0"/>
        <w:snapToGrid w:val="0"/>
        <w:spacing w:before="200" w:after="0" w:line="360" w:lineRule="auto"/>
        <w:ind w:left="0" w:leftChars="0" w:firstLine="0" w:firstLineChars="0"/>
        <w:textAlignment w:val="auto"/>
        <w:rPr>
          <w:rFonts w:hint="eastAsia" w:ascii="仿宋" w:hAnsi="仿宋" w:eastAsia="仿宋" w:cs="仿宋"/>
          <w:kern w:val="2"/>
          <w:sz w:val="30"/>
          <w:szCs w:val="24"/>
          <w:lang w:eastAsia="zh-CN"/>
        </w:rPr>
      </w:pPr>
      <w:r>
        <w:rPr>
          <w:rFonts w:hint="eastAsia" w:ascii="仿宋" w:hAnsi="仿宋" w:eastAsia="仿宋" w:cs="仿宋"/>
          <w:kern w:val="2"/>
          <w:sz w:val="30"/>
          <w:szCs w:val="24"/>
          <w:lang w:eastAsia="zh-CN"/>
        </w:rPr>
        <w:t>资格审查</w:t>
      </w:r>
    </w:p>
    <w:p w14:paraId="480D0567">
      <w:pPr>
        <w:keepNext w:val="0"/>
        <w:keepLines w:val="0"/>
        <w:pageBreakBefore w:val="0"/>
        <w:widowControl/>
        <w:numPr>
          <w:ilvl w:val="0"/>
          <w:numId w:val="3"/>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参赛对象为全国高校在校大学生，组委会对报名队伍提交的基础信息（学校名称、学籍信息、队员身份等）进行审查，确认其参赛资格。</w:t>
      </w:r>
    </w:p>
    <w:p w14:paraId="6CFE89FE">
      <w:pPr>
        <w:keepNext w:val="0"/>
        <w:keepLines w:val="0"/>
        <w:pageBreakBefore w:val="0"/>
        <w:widowControl/>
        <w:numPr>
          <w:ilvl w:val="0"/>
          <w:numId w:val="3"/>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赛事全程不收取任何报名费用</w:t>
      </w:r>
    </w:p>
    <w:p w14:paraId="494908D3">
      <w:pPr>
        <w:keepNext w:val="0"/>
        <w:keepLines w:val="0"/>
        <w:pageBreakBefore w:val="0"/>
        <w:widowControl/>
        <w:numPr>
          <w:ilvl w:val="0"/>
          <w:numId w:val="3"/>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参赛队伍需按规定完成报名、作品提交全流程，逾期视为自动放弃资格。</w:t>
      </w:r>
    </w:p>
    <w:p w14:paraId="0F8E9A20">
      <w:pPr>
        <w:pStyle w:val="2"/>
        <w:keepNext/>
        <w:keepLines/>
        <w:pageBreakBefore w:val="0"/>
        <w:widowControl/>
        <w:numPr>
          <w:ilvl w:val="0"/>
          <w:numId w:val="1"/>
        </w:numPr>
        <w:kinsoku/>
        <w:wordWrap/>
        <w:overflowPunct/>
        <w:topLinePunct w:val="0"/>
        <w:autoSpaceDE/>
        <w:autoSpaceDN/>
        <w:bidi w:val="0"/>
        <w:adjustRightInd w:val="0"/>
        <w:snapToGrid w:val="0"/>
        <w:spacing w:before="200" w:after="0" w:line="360" w:lineRule="auto"/>
        <w:ind w:left="0" w:leftChars="0" w:firstLine="0" w:firstLineChars="0"/>
        <w:textAlignment w:val="auto"/>
        <w:rPr>
          <w:rFonts w:hint="eastAsia" w:ascii="仿宋" w:hAnsi="仿宋" w:eastAsia="仿宋" w:cs="仿宋"/>
          <w:kern w:val="2"/>
          <w:sz w:val="30"/>
          <w:szCs w:val="24"/>
          <w:lang w:eastAsia="zh-CN"/>
        </w:rPr>
      </w:pPr>
      <w:r>
        <w:rPr>
          <w:rFonts w:hint="eastAsia" w:ascii="仿宋" w:hAnsi="仿宋" w:eastAsia="仿宋" w:cs="仿宋"/>
          <w:kern w:val="2"/>
          <w:sz w:val="30"/>
          <w:szCs w:val="24"/>
          <w:lang w:eastAsia="zh-CN"/>
        </w:rPr>
        <w:t>线上预选赛评审标准</w:t>
      </w:r>
    </w:p>
    <w:p w14:paraId="6CBB6E40">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仿宋" w:hAnsi="仿宋" w:eastAsia="仿宋" w:cs="仿宋"/>
          <w:lang w:eastAsia="zh-CN"/>
        </w:rPr>
      </w:pPr>
      <w:r>
        <w:rPr>
          <w:rFonts w:hint="eastAsia" w:ascii="仿宋" w:hAnsi="仿宋" w:eastAsia="仿宋" w:cs="仿宋"/>
          <w:lang w:eastAsia="zh-CN"/>
        </w:rPr>
        <w:t>预选赛核心考核空地融合全流程闭环仿真能力，机器人与无人机任务联动，队伍须按报名选定的机器人平台完成地面+空中全链路任务，实现空地协同无断点执行。</w:t>
      </w:r>
    </w:p>
    <w:p w14:paraId="6D818907">
      <w:pPr>
        <w:keepNext w:val="0"/>
        <w:keepLines w:val="0"/>
        <w:pageBreakBefore w:val="0"/>
        <w:widowControl/>
        <w:kinsoku/>
        <w:wordWrap/>
        <w:overflowPunct/>
        <w:topLinePunct w:val="0"/>
        <w:autoSpaceDE/>
        <w:autoSpaceDN/>
        <w:bidi w:val="0"/>
        <w:adjustRightInd/>
        <w:snapToGrid/>
        <w:spacing w:after="0" w:line="360" w:lineRule="auto"/>
        <w:ind w:firstLine="482" w:firstLineChars="200"/>
        <w:textAlignment w:val="auto"/>
        <w:rPr>
          <w:rFonts w:hint="eastAsia" w:ascii="仿宋" w:hAnsi="仿宋" w:eastAsia="仿宋" w:cs="仿宋"/>
          <w:lang w:eastAsia="zh-CN"/>
        </w:rPr>
      </w:pPr>
      <w:r>
        <w:rPr>
          <w:rFonts w:hint="eastAsia" w:ascii="仿宋" w:hAnsi="仿宋" w:eastAsia="仿宋" w:cs="仿宋"/>
          <w:b/>
          <w:lang w:eastAsia="zh-CN"/>
        </w:rPr>
        <w:t>A 平台：</w:t>
      </w:r>
      <w:r>
        <w:rPr>
          <w:rFonts w:hint="eastAsia" w:ascii="仿宋" w:hAnsi="仿宋" w:eastAsia="仿宋" w:cs="仿宋"/>
          <w:lang w:eastAsia="zh-CN"/>
        </w:rPr>
        <w:t>TuringStack X1 双臂轮式机器人</w:t>
      </w:r>
    </w:p>
    <w:p w14:paraId="1D72D472">
      <w:pPr>
        <w:keepNext w:val="0"/>
        <w:keepLines w:val="0"/>
        <w:pageBreakBefore w:val="0"/>
        <w:widowControl/>
        <w:kinsoku/>
        <w:wordWrap/>
        <w:overflowPunct/>
        <w:topLinePunct w:val="0"/>
        <w:autoSpaceDE/>
        <w:autoSpaceDN/>
        <w:bidi w:val="0"/>
        <w:adjustRightInd/>
        <w:snapToGrid/>
        <w:spacing w:after="0" w:line="360" w:lineRule="auto"/>
        <w:ind w:firstLine="482" w:firstLineChars="200"/>
        <w:textAlignment w:val="auto"/>
        <w:rPr>
          <w:rFonts w:hint="eastAsia" w:ascii="仿宋" w:hAnsi="仿宋" w:eastAsia="仿宋" w:cs="仿宋"/>
          <w:lang w:eastAsia="zh-CN"/>
        </w:rPr>
      </w:pPr>
      <w:r>
        <w:rPr>
          <w:rFonts w:hint="eastAsia" w:ascii="仿宋" w:hAnsi="仿宋" w:eastAsia="仿宋" w:cs="仿宋"/>
          <w:b/>
          <w:lang w:eastAsia="zh-CN"/>
        </w:rPr>
        <w:t>B 平台：</w:t>
      </w:r>
      <w:r>
        <w:rPr>
          <w:rFonts w:hint="eastAsia" w:ascii="仿宋" w:hAnsi="仿宋" w:eastAsia="仿宋" w:cs="仿宋"/>
          <w:lang w:eastAsia="zh-CN"/>
        </w:rPr>
        <w:t>TuringStack Bobac 单臂轮式机器人</w:t>
      </w:r>
    </w:p>
    <w:p w14:paraId="594CD97A">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仿宋" w:hAnsi="仿宋" w:eastAsia="仿宋" w:cs="仿宋"/>
          <w:lang w:eastAsia="zh-CN"/>
        </w:rPr>
      </w:pPr>
      <w:r>
        <w:rPr>
          <w:rFonts w:hint="eastAsia" w:ascii="仿宋" w:hAnsi="仿宋" w:eastAsia="仿宋" w:cs="仿宋"/>
          <w:lang w:eastAsia="zh-CN"/>
        </w:rPr>
        <w:t>评审将从机器人任务模块、无人机任务模块、空地协同模块、文档资料模块等方面进行综合评审。</w:t>
      </w:r>
    </w:p>
    <w:p w14:paraId="744002C5">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仿宋" w:hAnsi="仿宋" w:eastAsia="仿宋" w:cs="仿宋"/>
          <w:lang w:eastAsia="zh-CN"/>
        </w:rPr>
      </w:pPr>
      <w:r>
        <w:rPr>
          <w:rFonts w:hint="eastAsia" w:ascii="仿宋" w:hAnsi="仿宋" w:eastAsia="仿宋" w:cs="仿宋"/>
          <w:lang w:eastAsia="zh-CN"/>
        </w:rPr>
        <w:t>预选赛中，机器人与无人机应在同一仿真世界中连续运行。参赛队伍不得通过拆分视频、手工拼接流程、中途重置场景等方式规避长程任务要求。</w:t>
      </w:r>
    </w:p>
    <w:p w14:paraId="56B73D85">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425" w:leftChars="0" w:hanging="425" w:firstLineChars="0"/>
        <w:textAlignment w:val="auto"/>
        <w:rPr>
          <w:rFonts w:hint="eastAsia" w:ascii="仿宋" w:hAnsi="仿宋" w:eastAsia="仿宋" w:cs="仿宋"/>
          <w:b/>
          <w:bCs/>
          <w:lang w:eastAsia="zh-CN"/>
        </w:rPr>
      </w:pPr>
      <w:r>
        <w:rPr>
          <w:rFonts w:hint="eastAsia" w:ascii="仿宋" w:hAnsi="仿宋" w:eastAsia="仿宋" w:cs="仿宋"/>
          <w:b/>
          <w:bCs/>
          <w:lang w:eastAsia="zh-CN"/>
        </w:rPr>
        <w:t>货舱机构说明</w:t>
      </w:r>
    </w:p>
    <w:p w14:paraId="4EBFFE31">
      <w:pPr>
        <w:keepNext w:val="0"/>
        <w:keepLines w:val="0"/>
        <w:pageBreakBefore w:val="0"/>
        <w:widowControl/>
        <w:kinsoku/>
        <w:wordWrap/>
        <w:overflowPunct/>
        <w:topLinePunct w:val="0"/>
        <w:autoSpaceDE/>
        <w:autoSpaceDN/>
        <w:bidi w:val="0"/>
        <w:adjustRightInd/>
        <w:snapToGrid/>
        <w:spacing w:after="0" w:line="360" w:lineRule="auto"/>
        <w:ind w:left="0"/>
        <w:textAlignment w:val="auto"/>
        <w:rPr>
          <w:rFonts w:hint="eastAsia" w:ascii="仿宋" w:hAnsi="仿宋" w:eastAsia="仿宋" w:cs="仿宋"/>
          <w:lang w:eastAsia="zh-CN"/>
        </w:rPr>
      </w:pPr>
      <w:r>
        <w:rPr>
          <w:rFonts w:hint="eastAsia" w:ascii="仿宋" w:hAnsi="仿宋" w:eastAsia="仿宋" w:cs="仿宋"/>
          <w:lang w:eastAsia="zh-CN"/>
        </w:rPr>
        <w:tab/>
      </w:r>
      <w:r>
        <w:rPr>
          <w:rFonts w:hint="eastAsia" w:ascii="仿宋" w:hAnsi="仿宋" w:eastAsia="仿宋" w:cs="仿宋"/>
          <w:lang w:eastAsia="zh-CN"/>
        </w:rPr>
        <w:t>无人机货舱为固定安装于无人机下方的硬连接机构，货舱随无人机一同起飞，不要求机器人完成货舱挂载。货舱设置侧向装载舱门和底部投放舱门：</w:t>
      </w:r>
    </w:p>
    <w:p w14:paraId="368786B4">
      <w:pPr>
        <w:pStyle w:val="10"/>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firstLine="480" w:firstLineChars="200"/>
        <w:textAlignment w:val="auto"/>
        <w:rPr>
          <w:rFonts w:hint="eastAsia" w:ascii="仿宋" w:hAnsi="仿宋" w:eastAsia="仿宋" w:cs="仿宋"/>
          <w:lang w:eastAsia="zh-CN"/>
        </w:rPr>
      </w:pPr>
      <w:r>
        <w:rPr>
          <w:rFonts w:hint="eastAsia" w:ascii="仿宋" w:hAnsi="仿宋" w:eastAsia="仿宋" w:cs="仿宋"/>
          <w:lang w:eastAsia="zh-CN"/>
        </w:rPr>
        <w:t>侧向装载舱门用于机器人向货舱内放置货物。在机器人装载阶段，侧向舱门默认处于开启状态；</w:t>
      </w:r>
    </w:p>
    <w:p w14:paraId="08476642">
      <w:pPr>
        <w:pStyle w:val="10"/>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firstLine="480" w:firstLineChars="200"/>
        <w:textAlignment w:val="auto"/>
        <w:rPr>
          <w:rFonts w:hint="eastAsia" w:ascii="仿宋" w:hAnsi="仿宋" w:eastAsia="仿宋" w:cs="仿宋"/>
          <w:lang w:eastAsia="zh-CN"/>
        </w:rPr>
      </w:pPr>
      <w:r>
        <w:rPr>
          <w:rFonts w:hint="eastAsia" w:ascii="仿宋" w:hAnsi="仿宋" w:eastAsia="仿宋" w:cs="仿宋"/>
          <w:lang w:eastAsia="zh-CN"/>
        </w:rPr>
        <w:t>无人机起飞前，应完成侧向装载舱门关闭。该动作作为无人机起飞前任务衔接和货舱控制能力的重要评价内容；</w:t>
      </w:r>
    </w:p>
    <w:p w14:paraId="6148778F">
      <w:pPr>
        <w:pStyle w:val="10"/>
        <w:keepNext w:val="0"/>
        <w:keepLines w:val="0"/>
        <w:pageBreakBefore w:val="0"/>
        <w:widowControl/>
        <w:numPr>
          <w:ilvl w:val="0"/>
          <w:numId w:val="5"/>
        </w:numPr>
        <w:kinsoku/>
        <w:wordWrap/>
        <w:overflowPunct/>
        <w:topLinePunct w:val="0"/>
        <w:autoSpaceDE/>
        <w:autoSpaceDN/>
        <w:bidi w:val="0"/>
        <w:adjustRightInd/>
        <w:snapToGrid/>
        <w:spacing w:after="0" w:line="360" w:lineRule="auto"/>
        <w:ind w:left="0" w:firstLine="480" w:firstLineChars="200"/>
        <w:textAlignment w:val="auto"/>
        <w:rPr>
          <w:rFonts w:hint="eastAsia" w:ascii="仿宋" w:hAnsi="仿宋" w:eastAsia="仿宋" w:cs="仿宋"/>
          <w:lang w:eastAsia="zh-CN"/>
        </w:rPr>
      </w:pPr>
      <w:r>
        <w:rPr>
          <w:rFonts w:hint="eastAsia" w:ascii="仿宋" w:hAnsi="仿宋" w:eastAsia="仿宋" w:cs="仿宋"/>
          <w:lang w:eastAsia="zh-CN"/>
        </w:rPr>
        <w:t>底部投放舱门用于无人机抵达投放区域并完成对准后释放货物，由无人机任务程序通过官方接口或规则允许的控制方式触发。</w:t>
      </w:r>
    </w:p>
    <w:p w14:paraId="1F61AA90">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425" w:leftChars="0" w:hanging="425" w:firstLineChars="0"/>
        <w:textAlignment w:val="auto"/>
        <w:rPr>
          <w:rFonts w:hint="eastAsia" w:ascii="仿宋" w:hAnsi="仿宋" w:eastAsia="仿宋" w:cs="仿宋"/>
          <w:b/>
          <w:bCs/>
          <w:lang w:eastAsia="zh-CN"/>
        </w:rPr>
      </w:pPr>
      <w:r>
        <w:rPr>
          <w:rFonts w:hint="eastAsia" w:ascii="仿宋" w:hAnsi="仿宋" w:eastAsia="仿宋" w:cs="仿宋"/>
          <w:b/>
          <w:bCs/>
          <w:lang w:eastAsia="zh-CN"/>
        </w:rPr>
        <w:t>任务流程</w:t>
      </w:r>
    </w:p>
    <w:p w14:paraId="00D910C3">
      <w:pPr>
        <w:keepNext w:val="0"/>
        <w:keepLines w:val="0"/>
        <w:pageBreakBefore w:val="0"/>
        <w:widowControl/>
        <w:kinsoku/>
        <w:wordWrap/>
        <w:overflowPunct/>
        <w:topLinePunct w:val="0"/>
        <w:autoSpaceDE/>
        <w:autoSpaceDN/>
        <w:bidi w:val="0"/>
        <w:adjustRightInd/>
        <w:snapToGrid/>
        <w:spacing w:after="0" w:line="360" w:lineRule="auto"/>
        <w:ind w:left="0" w:firstLine="480" w:firstLineChars="200"/>
        <w:textAlignment w:val="auto"/>
        <w:rPr>
          <w:rFonts w:hint="eastAsia" w:ascii="仿宋" w:hAnsi="仿宋" w:eastAsia="仿宋" w:cs="仿宋"/>
          <w:lang w:eastAsia="zh-CN"/>
        </w:rPr>
      </w:pPr>
      <w:r>
        <w:rPr>
          <w:rFonts w:hint="eastAsia" w:ascii="仿宋" w:hAnsi="仿宋" w:eastAsia="仿宋" w:cs="仿宋"/>
          <w:lang w:eastAsia="zh-CN"/>
        </w:rPr>
        <w:t>线上预选赛任务流程包括：</w:t>
      </w:r>
    </w:p>
    <w:p w14:paraId="2264B008">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地面机器人自主导航至物料区域；</w:t>
      </w:r>
    </w:p>
    <w:p w14:paraId="0BC1D650">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地面机器人识别目标物料并完成位置或位姿估计；</w:t>
      </w:r>
    </w:p>
    <w:p w14:paraId="26476AE8">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地面机器人抓取指定物料并转运至无人机货舱装载区域；</w:t>
      </w:r>
    </w:p>
    <w:p w14:paraId="1CDD0C14">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地面机器人将物料稳定放入无人机侧向开启的货舱内；</w:t>
      </w:r>
    </w:p>
    <w:p w14:paraId="67252987">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无人机在起飞前完成侧向装载舱门关闭；</w:t>
      </w:r>
    </w:p>
    <w:p w14:paraId="17B70277">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无人机自主起飞并飞往投放区域；</w:t>
      </w:r>
    </w:p>
    <w:p w14:paraId="62E645ED">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无人机通过机载视觉识别官方投放目标并完成对准；</w:t>
      </w:r>
    </w:p>
    <w:p w14:paraId="371585DE">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无人机通过底部投放舱门执行货物投放；</w:t>
      </w:r>
    </w:p>
    <w:p w14:paraId="4FBD5749">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无人机完成返航或安全降落；</w:t>
      </w:r>
    </w:p>
    <w:p w14:paraId="2DCA69DB">
      <w:pPr>
        <w:keepNext w:val="0"/>
        <w:keepLines w:val="0"/>
        <w:pageBreakBefore w:val="0"/>
        <w:widowControl/>
        <w:numPr>
          <w:ilvl w:val="0"/>
          <w:numId w:val="6"/>
        </w:numPr>
        <w:tabs>
          <w:tab w:val="left" w:pos="0"/>
        </w:tabs>
        <w:kinsoku/>
        <w:wordWrap/>
        <w:overflowPunct/>
        <w:topLinePunct w:val="0"/>
        <w:autoSpaceDE/>
        <w:autoSpaceDN/>
        <w:bidi w:val="0"/>
        <w:adjustRightInd w:val="0"/>
        <w:snapToGrid w:val="0"/>
        <w:spacing w:after="0" w:line="360" w:lineRule="auto"/>
        <w:ind w:left="0" w:leftChars="0" w:firstLine="480"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全流程应尽量保持连续执行，不得出现影响任务推进的长时间无效等待或人为干预。</w:t>
      </w:r>
    </w:p>
    <w:p w14:paraId="494BC455">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425" w:leftChars="0" w:hanging="425" w:firstLineChars="0"/>
        <w:textAlignment w:val="auto"/>
        <w:rPr>
          <w:rFonts w:hint="eastAsia" w:ascii="仿宋" w:hAnsi="仿宋" w:eastAsia="仿宋" w:cs="仿宋"/>
          <w:b/>
          <w:bCs/>
          <w:lang w:eastAsia="zh-CN"/>
        </w:rPr>
      </w:pPr>
      <w:r>
        <w:rPr>
          <w:rFonts w:hint="eastAsia" w:ascii="仿宋" w:hAnsi="仿宋" w:eastAsia="仿宋" w:cs="仿宋"/>
          <w:b/>
          <w:bCs/>
          <w:lang w:eastAsia="zh-CN"/>
        </w:rPr>
        <w:t>基础评分表（总分100分）</w:t>
      </w:r>
      <w:bookmarkStart w:id="2" w:name="_GoBack"/>
      <w:bookmarkEnd w:id="2"/>
    </w:p>
    <w:tbl>
      <w:tblPr>
        <w:tblStyle w:val="8"/>
        <w:tblpPr w:leftFromText="180" w:rightFromText="180" w:vertAnchor="text" w:tblpXSpec="center" w:tblpY="1"/>
        <w:tblOverlap w:val="never"/>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6"/>
        <w:gridCol w:w="2035"/>
        <w:gridCol w:w="3689"/>
        <w:gridCol w:w="1013"/>
        <w:gridCol w:w="1338"/>
      </w:tblGrid>
      <w:tr w14:paraId="00C7B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blHeader/>
          <w:jc w:val="center"/>
        </w:trPr>
        <w:tc>
          <w:tcPr>
            <w:tcW w:w="996" w:type="dxa"/>
            <w:shd w:val="clear" w:color="auto" w:fill="BEBEBE" w:themeFill="background1" w:themeFillShade="BF"/>
            <w:vAlign w:val="center"/>
          </w:tcPr>
          <w:p w14:paraId="7AB7DF8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b/>
                <w:bCs/>
                <w:szCs w:val="24"/>
              </w:rPr>
              <w:t>序号</w:t>
            </w:r>
          </w:p>
        </w:tc>
        <w:tc>
          <w:tcPr>
            <w:tcW w:w="2035" w:type="dxa"/>
            <w:shd w:val="clear" w:color="auto" w:fill="BEBEBE" w:themeFill="background1" w:themeFillShade="BF"/>
            <w:vAlign w:val="center"/>
          </w:tcPr>
          <w:p w14:paraId="7B07E28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r>
              <w:rPr>
                <w:rFonts w:hint="eastAsia" w:ascii="仿宋" w:hAnsi="仿宋" w:eastAsia="仿宋" w:cs="仿宋"/>
                <w:b/>
                <w:bCs/>
                <w:szCs w:val="24"/>
              </w:rPr>
              <w:t>赛段说明</w:t>
            </w:r>
          </w:p>
        </w:tc>
        <w:tc>
          <w:tcPr>
            <w:tcW w:w="3689" w:type="dxa"/>
            <w:shd w:val="clear" w:color="auto" w:fill="BEBEBE" w:themeFill="background1" w:themeFillShade="BF"/>
            <w:vAlign w:val="center"/>
          </w:tcPr>
          <w:p w14:paraId="788B8CF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r>
              <w:rPr>
                <w:rFonts w:hint="eastAsia" w:ascii="仿宋" w:hAnsi="仿宋" w:eastAsia="仿宋" w:cs="仿宋"/>
                <w:b/>
                <w:bCs/>
                <w:szCs w:val="24"/>
              </w:rPr>
              <w:t>评分说明</w:t>
            </w:r>
          </w:p>
        </w:tc>
        <w:tc>
          <w:tcPr>
            <w:tcW w:w="1013" w:type="dxa"/>
            <w:shd w:val="clear" w:color="auto" w:fill="BEBEBE" w:themeFill="background1" w:themeFillShade="BF"/>
            <w:vAlign w:val="center"/>
          </w:tcPr>
          <w:p w14:paraId="1CAB09A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b/>
                <w:bCs/>
                <w:szCs w:val="24"/>
              </w:rPr>
              <w:t>分值</w:t>
            </w:r>
          </w:p>
        </w:tc>
        <w:tc>
          <w:tcPr>
            <w:tcW w:w="1338" w:type="dxa"/>
            <w:shd w:val="clear" w:color="auto" w:fill="BEBEBE" w:themeFill="background1" w:themeFillShade="BF"/>
            <w:vAlign w:val="center"/>
          </w:tcPr>
          <w:p w14:paraId="689D977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b/>
                <w:bCs/>
                <w:szCs w:val="24"/>
              </w:rPr>
              <w:t>赛段总分</w:t>
            </w:r>
          </w:p>
        </w:tc>
      </w:tr>
      <w:tr w14:paraId="1DA5B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restart"/>
            <w:vAlign w:val="center"/>
          </w:tcPr>
          <w:p w14:paraId="082EB94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Cs w:val="24"/>
              </w:rPr>
              <w:t>赛段1</w:t>
            </w:r>
          </w:p>
        </w:tc>
        <w:tc>
          <w:tcPr>
            <w:tcW w:w="2035" w:type="dxa"/>
            <w:vMerge w:val="restart"/>
            <w:vAlign w:val="center"/>
          </w:tcPr>
          <w:p w14:paraId="038586B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Cs w:val="24"/>
                <w:lang w:eastAsia="zh-CN"/>
              </w:rPr>
              <w:t>机器人任务模块（地面端长程任务）</w:t>
            </w:r>
          </w:p>
        </w:tc>
        <w:tc>
          <w:tcPr>
            <w:tcW w:w="3689" w:type="dxa"/>
            <w:vAlign w:val="center"/>
          </w:tcPr>
          <w:p w14:paraId="348D33B8">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rPr>
              <w:t>仿真基础配置：</w:t>
            </w:r>
            <w:r>
              <w:rPr>
                <w:rFonts w:hint="eastAsia" w:ascii="仿宋" w:hAnsi="仿宋" w:eastAsia="仿宋" w:cs="仿宋"/>
                <w:szCs w:val="24"/>
              </w:rPr>
              <w:t>完成 USD 模型导入、ActionGraph 基本控制搭建、仿真导航建图，全部达标得</w:t>
            </w:r>
            <w:r>
              <w:rPr>
                <w:rFonts w:hint="eastAsia" w:ascii="仿宋" w:hAnsi="仿宋" w:eastAsia="仿宋" w:cs="仿宋"/>
                <w:szCs w:val="24"/>
                <w:lang w:eastAsia="zh-CN"/>
              </w:rPr>
              <w:t>10</w:t>
            </w:r>
            <w:r>
              <w:rPr>
                <w:rFonts w:hint="eastAsia" w:ascii="仿宋" w:hAnsi="仿宋" w:eastAsia="仿宋" w:cs="仿宋"/>
                <w:szCs w:val="24"/>
              </w:rPr>
              <w:t xml:space="preserve">分；缺一项扣 </w:t>
            </w:r>
            <w:r>
              <w:rPr>
                <w:rFonts w:hint="eastAsia" w:ascii="仿宋" w:hAnsi="仿宋" w:eastAsia="仿宋" w:cs="仿宋"/>
                <w:szCs w:val="24"/>
                <w:lang w:eastAsia="zh-CN"/>
              </w:rPr>
              <w:t>4</w:t>
            </w:r>
            <w:r>
              <w:rPr>
                <w:rFonts w:hint="eastAsia" w:ascii="仿宋" w:hAnsi="仿宋" w:eastAsia="仿宋" w:cs="仿宋"/>
                <w:szCs w:val="24"/>
              </w:rPr>
              <w:t xml:space="preserve"> 分，未完成不得分</w:t>
            </w:r>
          </w:p>
        </w:tc>
        <w:tc>
          <w:tcPr>
            <w:tcW w:w="1013" w:type="dxa"/>
            <w:vAlign w:val="center"/>
          </w:tcPr>
          <w:p w14:paraId="2805DBE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sz w:val="22"/>
                <w:lang w:eastAsia="zh-CN"/>
              </w:rPr>
              <w:t>10</w:t>
            </w:r>
          </w:p>
        </w:tc>
        <w:tc>
          <w:tcPr>
            <w:tcW w:w="1338" w:type="dxa"/>
            <w:vMerge w:val="restart"/>
            <w:vAlign w:val="center"/>
          </w:tcPr>
          <w:p w14:paraId="03D1AB5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szCs w:val="24"/>
                <w:lang w:eastAsia="zh-CN"/>
              </w:rPr>
              <w:t>5</w:t>
            </w:r>
            <w:r>
              <w:rPr>
                <w:rFonts w:hint="eastAsia" w:ascii="仿宋" w:hAnsi="仿宋" w:eastAsia="仿宋" w:cs="仿宋"/>
                <w:szCs w:val="24"/>
              </w:rPr>
              <w:t>0</w:t>
            </w:r>
          </w:p>
        </w:tc>
      </w:tr>
      <w:tr w14:paraId="12AAD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7AC33DA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2F208DE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0EF11743">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自主导航至办公区：</w:t>
            </w:r>
            <w:r>
              <w:rPr>
                <w:rFonts w:hint="eastAsia" w:ascii="仿宋" w:hAnsi="仿宋" w:eastAsia="仿宋" w:cs="仿宋"/>
                <w:szCs w:val="24"/>
                <w:lang w:eastAsia="zh-CN"/>
              </w:rPr>
              <w:t>自主导航避障、精准抵达物料摆放区域并平稳停靠，顺利完成得 10 分；导航偏差过大、发生碰撞扣 4 分，未完成不得分</w:t>
            </w:r>
          </w:p>
        </w:tc>
        <w:tc>
          <w:tcPr>
            <w:tcW w:w="1013" w:type="dxa"/>
            <w:vAlign w:val="center"/>
          </w:tcPr>
          <w:p w14:paraId="5216233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lang w:eastAsia="zh-CN"/>
              </w:rPr>
              <w:t>10</w:t>
            </w:r>
          </w:p>
        </w:tc>
        <w:tc>
          <w:tcPr>
            <w:tcW w:w="1338" w:type="dxa"/>
            <w:vMerge w:val="continue"/>
            <w:vAlign w:val="center"/>
          </w:tcPr>
          <w:p w14:paraId="3652699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5CFA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3EB18BD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3C4F989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549EBE7D">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物料识别与位姿估计：</w:t>
            </w:r>
            <w:r>
              <w:rPr>
                <w:rFonts w:hint="eastAsia" w:ascii="仿宋" w:hAnsi="仿宋" w:eastAsia="仿宋" w:cs="仿宋"/>
                <w:szCs w:val="24"/>
                <w:lang w:eastAsia="zh-CN"/>
              </w:rPr>
              <w:t>精准识别全部目标物料、完成物料检测与定位，顺利完成得 10 分；漏识物料、位姿估计偏差过大扣 3-5 分，未完成不得分</w:t>
            </w:r>
          </w:p>
        </w:tc>
        <w:tc>
          <w:tcPr>
            <w:tcW w:w="1013" w:type="dxa"/>
            <w:vAlign w:val="center"/>
          </w:tcPr>
          <w:p w14:paraId="68FE9A2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rPr>
              <w:t>10</w:t>
            </w:r>
          </w:p>
        </w:tc>
        <w:tc>
          <w:tcPr>
            <w:tcW w:w="1338" w:type="dxa"/>
            <w:vMerge w:val="continue"/>
            <w:vAlign w:val="center"/>
          </w:tcPr>
          <w:p w14:paraId="0A6B99D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033D5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10B790D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6D3B2F6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1296C3A9">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自主抓取物料：</w:t>
            </w:r>
            <w:r>
              <w:rPr>
                <w:rFonts w:hint="eastAsia" w:ascii="仿宋" w:hAnsi="仿宋" w:eastAsia="仿宋" w:cs="仿宋"/>
                <w:szCs w:val="24"/>
                <w:lang w:eastAsia="zh-CN"/>
              </w:rPr>
              <w:t>稳定抓取指定物料，无物料掉落、无投放偏移、机械臂无碰撞，顺利完成得 8 分；物料掉落、投放偏移扣 4 分，未完成不得分</w:t>
            </w:r>
          </w:p>
        </w:tc>
        <w:tc>
          <w:tcPr>
            <w:tcW w:w="1013" w:type="dxa"/>
            <w:vAlign w:val="center"/>
          </w:tcPr>
          <w:p w14:paraId="3CDCEF4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lang w:eastAsia="zh-CN"/>
              </w:rPr>
              <w:t>8</w:t>
            </w:r>
          </w:p>
        </w:tc>
        <w:tc>
          <w:tcPr>
            <w:tcW w:w="1338" w:type="dxa"/>
            <w:vMerge w:val="continue"/>
            <w:vAlign w:val="center"/>
          </w:tcPr>
          <w:p w14:paraId="02D367A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51BD6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63C977F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430D6F5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75760D09">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物料精准投放货仓：</w:t>
            </w:r>
            <w:r>
              <w:rPr>
                <w:rFonts w:hint="eastAsia" w:ascii="仿宋" w:hAnsi="仿宋" w:eastAsia="仿宋" w:cs="仿宋"/>
                <w:szCs w:val="24"/>
                <w:lang w:eastAsia="zh-CN"/>
              </w:rPr>
              <w:t>稳定抓取指定物料、精准投放至无人机预挂货仓内，无物料掉落、无投放偏移、机械臂无碰撞，顺利完成得 10 分；物料掉落、投放偏移扣 5 分，未完成不得分；</w:t>
            </w:r>
          </w:p>
        </w:tc>
        <w:tc>
          <w:tcPr>
            <w:tcW w:w="1013" w:type="dxa"/>
            <w:vAlign w:val="center"/>
          </w:tcPr>
          <w:p w14:paraId="4CDF12B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lang w:eastAsia="zh-CN"/>
              </w:rPr>
              <w:t>10</w:t>
            </w:r>
          </w:p>
        </w:tc>
        <w:tc>
          <w:tcPr>
            <w:tcW w:w="1338" w:type="dxa"/>
            <w:vMerge w:val="continue"/>
            <w:vAlign w:val="center"/>
          </w:tcPr>
          <w:p w14:paraId="24DD1D6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70328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6923E45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20FC38F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0723627C">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技术合规性：</w:t>
            </w:r>
            <w:r>
              <w:rPr>
                <w:rFonts w:hint="eastAsia" w:ascii="仿宋" w:hAnsi="仿宋" w:eastAsia="仿宋" w:cs="仿宋"/>
                <w:szCs w:val="24"/>
                <w:lang w:eastAsia="zh-CN"/>
              </w:rPr>
              <w:t>未使用人工视觉标签、技术栈符合要求，得2分；违规使用人工标签本项不得分</w:t>
            </w:r>
          </w:p>
        </w:tc>
        <w:tc>
          <w:tcPr>
            <w:tcW w:w="1013" w:type="dxa"/>
            <w:vAlign w:val="center"/>
          </w:tcPr>
          <w:p w14:paraId="7385EC5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rPr>
              <w:t>2</w:t>
            </w:r>
          </w:p>
        </w:tc>
        <w:tc>
          <w:tcPr>
            <w:tcW w:w="1338" w:type="dxa"/>
            <w:vMerge w:val="continue"/>
            <w:vAlign w:val="center"/>
          </w:tcPr>
          <w:p w14:paraId="73C88F6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489AB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restart"/>
            <w:vAlign w:val="center"/>
          </w:tcPr>
          <w:p w14:paraId="5D4542B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Cs w:val="24"/>
              </w:rPr>
              <w:t>赛段2</w:t>
            </w:r>
          </w:p>
        </w:tc>
        <w:tc>
          <w:tcPr>
            <w:tcW w:w="2035" w:type="dxa"/>
            <w:vMerge w:val="restart"/>
            <w:vAlign w:val="center"/>
          </w:tcPr>
          <w:p w14:paraId="451DA745">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Cs w:val="24"/>
                <w:lang w:eastAsia="zh-CN"/>
              </w:rPr>
              <w:t>无人机任务模块（空中端长程任务）</w:t>
            </w:r>
          </w:p>
        </w:tc>
        <w:tc>
          <w:tcPr>
            <w:tcW w:w="3689" w:type="dxa"/>
            <w:vAlign w:val="center"/>
          </w:tcPr>
          <w:p w14:paraId="1DA6E9C5">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仿真基础配置：</w:t>
            </w:r>
            <w:r>
              <w:rPr>
                <w:rFonts w:hint="eastAsia" w:ascii="仿宋" w:hAnsi="仿宋" w:eastAsia="仿宋" w:cs="仿宋"/>
                <w:szCs w:val="24"/>
                <w:lang w:eastAsia="zh-CN"/>
              </w:rPr>
              <w:t>完成无人机及货舱 USD 模型导入、飞行控制逻辑搭建、仿真飞行调试，以及侧向舱门和底部投放舱门控制逻辑配置，全部达标得 8 分；缺一项扣 3 分，未完成不得分</w:t>
            </w:r>
          </w:p>
        </w:tc>
        <w:tc>
          <w:tcPr>
            <w:tcW w:w="1013" w:type="dxa"/>
            <w:vAlign w:val="center"/>
          </w:tcPr>
          <w:p w14:paraId="2762ED0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sz w:val="22"/>
              </w:rPr>
              <w:t>8</w:t>
            </w:r>
          </w:p>
        </w:tc>
        <w:tc>
          <w:tcPr>
            <w:tcW w:w="1338" w:type="dxa"/>
            <w:vMerge w:val="restart"/>
            <w:vAlign w:val="center"/>
          </w:tcPr>
          <w:p w14:paraId="192C03C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 w:val="22"/>
                <w:lang w:eastAsia="zh-CN"/>
              </w:rPr>
            </w:pPr>
            <w:r>
              <w:rPr>
                <w:rFonts w:hint="eastAsia" w:ascii="仿宋" w:hAnsi="仿宋" w:eastAsia="仿宋" w:cs="仿宋"/>
                <w:sz w:val="22"/>
                <w:lang w:eastAsia="zh-CN"/>
              </w:rPr>
              <w:t>40</w:t>
            </w:r>
          </w:p>
        </w:tc>
      </w:tr>
      <w:tr w14:paraId="3144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7343D25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0BEA447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3551DE8D">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起飞前侧向舱门关闭：</w:t>
            </w:r>
            <w:r>
              <w:rPr>
                <w:rFonts w:hint="eastAsia" w:ascii="仿宋" w:hAnsi="仿宋" w:eastAsia="仿宋" w:cs="仿宋"/>
                <w:szCs w:val="24"/>
                <w:lang w:eastAsia="zh-CN"/>
              </w:rPr>
              <w:t>无人机起飞前关闭能够通过程序控制完成侧向装载舱门关闭，动作有效、时序合理，得 5 分；未关闭、关闭失败、关闭时导致货物掉落或需人工干预不得分</w:t>
            </w:r>
          </w:p>
        </w:tc>
        <w:tc>
          <w:tcPr>
            <w:tcW w:w="1013" w:type="dxa"/>
            <w:vAlign w:val="center"/>
          </w:tcPr>
          <w:p w14:paraId="20D3A61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lang w:eastAsia="zh-CN"/>
              </w:rPr>
              <w:t>5</w:t>
            </w:r>
          </w:p>
        </w:tc>
        <w:tc>
          <w:tcPr>
            <w:tcW w:w="1338" w:type="dxa"/>
            <w:vMerge w:val="continue"/>
            <w:vAlign w:val="center"/>
          </w:tcPr>
          <w:p w14:paraId="72974BD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 w:val="22"/>
                <w:lang w:eastAsia="zh-CN"/>
              </w:rPr>
            </w:pPr>
          </w:p>
        </w:tc>
      </w:tr>
      <w:tr w14:paraId="602F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2D4CDE8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79009A7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2733538D">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自主起飞与飞往投放区域：</w:t>
            </w:r>
            <w:r>
              <w:rPr>
                <w:rFonts w:hint="eastAsia" w:ascii="仿宋" w:hAnsi="仿宋" w:eastAsia="仿宋" w:cs="仿宋"/>
                <w:szCs w:val="24"/>
                <w:lang w:eastAsia="zh-CN"/>
              </w:rPr>
              <w:t>无人机自主起飞并飞往投放区域，能够绕开或避让仿真环境中的主要障碍，顺利抵达目标区域上方附近得 6 分；航线偏差过大、发生模拟碰撞或任务中断扣 2-6 分，未完成不得分</w:t>
            </w:r>
          </w:p>
        </w:tc>
        <w:tc>
          <w:tcPr>
            <w:tcW w:w="1013" w:type="dxa"/>
            <w:vAlign w:val="center"/>
          </w:tcPr>
          <w:p w14:paraId="77190D3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rPr>
              <w:t>6</w:t>
            </w:r>
          </w:p>
        </w:tc>
        <w:tc>
          <w:tcPr>
            <w:tcW w:w="1338" w:type="dxa"/>
            <w:vMerge w:val="continue"/>
            <w:vAlign w:val="center"/>
          </w:tcPr>
          <w:p w14:paraId="171D757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5C452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0A984D8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0FE3AD2F">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2C7795D4">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目标视觉引导与对准：</w:t>
            </w:r>
            <w:r>
              <w:rPr>
                <w:rFonts w:hint="eastAsia" w:ascii="仿宋" w:hAnsi="仿宋" w:eastAsia="仿宋" w:cs="仿宋"/>
                <w:szCs w:val="24"/>
                <w:lang w:eastAsia="zh-CN"/>
              </w:rPr>
              <w:t>通过机载视觉动态识别投放目标区域，并调整无人机位姿完成投放前对准，识别并进入有效投放区域上方得 8 分；漏识、误识、对准偏差过大或控制震荡导致无法对准下方投放区域扣 3-8 分，未完成不得分</w:t>
            </w:r>
          </w:p>
        </w:tc>
        <w:tc>
          <w:tcPr>
            <w:tcW w:w="1013" w:type="dxa"/>
            <w:vAlign w:val="center"/>
          </w:tcPr>
          <w:p w14:paraId="02BBB0E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rPr>
              <w:t>8</w:t>
            </w:r>
          </w:p>
        </w:tc>
        <w:tc>
          <w:tcPr>
            <w:tcW w:w="1338" w:type="dxa"/>
            <w:vMerge w:val="continue"/>
            <w:vAlign w:val="center"/>
          </w:tcPr>
          <w:p w14:paraId="757D201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1230E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639D8153">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2C7743F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76781DE5">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自主投放决策与执行：</w:t>
            </w:r>
            <w:r>
              <w:rPr>
                <w:rFonts w:hint="eastAsia" w:ascii="仿宋" w:hAnsi="仿宋" w:eastAsia="仿宋" w:cs="仿宋"/>
                <w:szCs w:val="24"/>
                <w:lang w:eastAsia="zh-CN"/>
              </w:rPr>
              <w:t>无人机在满足对准和高度条件后，自主触发底部投放舱门完成货物释放，动作衔接流畅、货物能够正常脱离货舱得 5 分；无法触发、舱门动作异常、物理卡死、货物未释放或需人工干预不得分</w:t>
            </w:r>
          </w:p>
        </w:tc>
        <w:tc>
          <w:tcPr>
            <w:tcW w:w="1013" w:type="dxa"/>
            <w:vAlign w:val="center"/>
          </w:tcPr>
          <w:p w14:paraId="791FC3F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rPr>
              <w:t>5</w:t>
            </w:r>
          </w:p>
        </w:tc>
        <w:tc>
          <w:tcPr>
            <w:tcW w:w="1338" w:type="dxa"/>
            <w:vMerge w:val="continue"/>
            <w:vAlign w:val="center"/>
          </w:tcPr>
          <w:p w14:paraId="52AEAD0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1B9F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798B9AD0">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7BBF1CB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6DBD7BC2">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b/>
                <w:bCs/>
                <w:szCs w:val="24"/>
                <w:lang w:eastAsia="zh-CN"/>
              </w:rPr>
              <w:t>投放精准度评价：</w:t>
            </w:r>
            <w:r>
              <w:rPr>
                <w:rFonts w:hint="eastAsia" w:ascii="仿宋" w:hAnsi="仿宋" w:eastAsia="仿宋" w:cs="仿宋"/>
                <w:szCs w:val="24"/>
                <w:lang w:eastAsia="zh-CN"/>
              </w:rPr>
              <w:t>载荷中心最终静止落点距离目标圆心 0.2m 内得 8 分，0.4m 内得 5 分，0.6m 内得 2 分；超出 0.6m 不得分</w:t>
            </w:r>
          </w:p>
        </w:tc>
        <w:tc>
          <w:tcPr>
            <w:tcW w:w="1013" w:type="dxa"/>
            <w:vAlign w:val="center"/>
          </w:tcPr>
          <w:p w14:paraId="1941B53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lang w:eastAsia="zh-CN"/>
              </w:rPr>
              <w:t>8</w:t>
            </w:r>
          </w:p>
        </w:tc>
        <w:tc>
          <w:tcPr>
            <w:tcW w:w="1338" w:type="dxa"/>
            <w:vMerge w:val="continue"/>
            <w:vAlign w:val="center"/>
          </w:tcPr>
          <w:p w14:paraId="08D2D76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3221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restart"/>
            <w:vAlign w:val="center"/>
          </w:tcPr>
          <w:p w14:paraId="48FA5C3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bookmarkStart w:id="1" w:name="_Hlk182587667"/>
            <w:r>
              <w:rPr>
                <w:rFonts w:hint="eastAsia" w:ascii="仿宋" w:hAnsi="仿宋" w:eastAsia="仿宋" w:cs="仿宋"/>
                <w:szCs w:val="24"/>
              </w:rPr>
              <w:t xml:space="preserve">赛段 </w:t>
            </w:r>
            <w:r>
              <w:rPr>
                <w:rFonts w:hint="eastAsia" w:ascii="仿宋" w:hAnsi="仿宋" w:eastAsia="仿宋" w:cs="仿宋"/>
                <w:szCs w:val="24"/>
                <w:lang w:eastAsia="zh-CN"/>
              </w:rPr>
              <w:t>3</w:t>
            </w:r>
          </w:p>
          <w:bookmarkEnd w:id="1"/>
        </w:tc>
        <w:tc>
          <w:tcPr>
            <w:tcW w:w="2035" w:type="dxa"/>
            <w:vMerge w:val="restart"/>
            <w:vAlign w:val="center"/>
          </w:tcPr>
          <w:p w14:paraId="47B118B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r>
              <w:rPr>
                <w:rFonts w:hint="eastAsia" w:ascii="仿宋" w:hAnsi="仿宋" w:eastAsia="仿宋" w:cs="仿宋"/>
                <w:szCs w:val="24"/>
              </w:rPr>
              <w:t>文档资料模块</w:t>
            </w:r>
          </w:p>
        </w:tc>
        <w:tc>
          <w:tcPr>
            <w:tcW w:w="3689" w:type="dxa"/>
            <w:vAlign w:val="center"/>
          </w:tcPr>
          <w:p w14:paraId="700D7FFD">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rPr>
            </w:pPr>
            <w:r>
              <w:rPr>
                <w:rFonts w:hint="eastAsia" w:ascii="仿宋" w:hAnsi="仿宋" w:eastAsia="仿宋" w:cs="仿宋"/>
                <w:b/>
                <w:bCs/>
                <w:szCs w:val="24"/>
                <w:lang w:eastAsia="zh-CN"/>
              </w:rPr>
              <w:t>开发文档：</w:t>
            </w:r>
            <w:r>
              <w:rPr>
                <w:rFonts w:hint="eastAsia" w:ascii="仿宋" w:hAnsi="仿宋" w:eastAsia="仿宋" w:cs="仿宋"/>
                <w:szCs w:val="24"/>
                <w:lang w:eastAsia="zh-CN"/>
              </w:rPr>
              <w:t>需包含仿真场景配置、视觉对准控制算法逻辑、投货状态机设计等。</w:t>
            </w:r>
            <w:r>
              <w:rPr>
                <w:rFonts w:hint="eastAsia" w:ascii="仿宋" w:hAnsi="仿宋" w:eastAsia="仿宋" w:cs="仿宋"/>
                <w:szCs w:val="24"/>
              </w:rPr>
              <w:t>方案详实得 6 分。</w:t>
            </w:r>
          </w:p>
        </w:tc>
        <w:tc>
          <w:tcPr>
            <w:tcW w:w="1013" w:type="dxa"/>
            <w:vAlign w:val="center"/>
          </w:tcPr>
          <w:p w14:paraId="50F3FB8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rPr>
              <w:t>6</w:t>
            </w:r>
          </w:p>
        </w:tc>
        <w:tc>
          <w:tcPr>
            <w:tcW w:w="1338" w:type="dxa"/>
            <w:vMerge w:val="restart"/>
            <w:vAlign w:val="center"/>
          </w:tcPr>
          <w:p w14:paraId="3B04619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 w:val="22"/>
              </w:rPr>
              <w:t>10</w:t>
            </w:r>
          </w:p>
        </w:tc>
      </w:tr>
      <w:tr w14:paraId="776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Merge w:val="continue"/>
            <w:vAlign w:val="center"/>
          </w:tcPr>
          <w:p w14:paraId="39098584">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2035" w:type="dxa"/>
            <w:vMerge w:val="continue"/>
            <w:vAlign w:val="center"/>
          </w:tcPr>
          <w:p w14:paraId="3D53FAA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p>
        </w:tc>
        <w:tc>
          <w:tcPr>
            <w:tcW w:w="3689" w:type="dxa"/>
            <w:vAlign w:val="center"/>
          </w:tcPr>
          <w:p w14:paraId="59C3F9D6">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rPr>
            </w:pPr>
            <w:r>
              <w:rPr>
                <w:rFonts w:hint="eastAsia" w:ascii="仿宋" w:hAnsi="仿宋" w:eastAsia="仿宋" w:cs="仿宋"/>
                <w:b/>
                <w:bCs/>
                <w:szCs w:val="24"/>
              </w:rPr>
              <w:t>工程资料：</w:t>
            </w:r>
            <w:r>
              <w:rPr>
                <w:rFonts w:hint="eastAsia" w:ascii="仿宋" w:hAnsi="仿宋" w:eastAsia="仿宋" w:cs="仿宋"/>
                <w:szCs w:val="24"/>
              </w:rPr>
              <w:t>包含 Isaac Sim 工程文件（.usd）、ActionGraph 逻辑图、自定义 Python 脚本等。完整可复现得 4 分。</w:t>
            </w:r>
          </w:p>
        </w:tc>
        <w:tc>
          <w:tcPr>
            <w:tcW w:w="1013" w:type="dxa"/>
            <w:vAlign w:val="center"/>
          </w:tcPr>
          <w:p w14:paraId="4E547BC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sz w:val="22"/>
              </w:rPr>
              <w:t>4</w:t>
            </w:r>
          </w:p>
        </w:tc>
        <w:tc>
          <w:tcPr>
            <w:tcW w:w="1338" w:type="dxa"/>
            <w:vMerge w:val="continue"/>
            <w:vAlign w:val="center"/>
          </w:tcPr>
          <w:p w14:paraId="1A1D76D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p>
        </w:tc>
      </w:tr>
      <w:tr w14:paraId="13C3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jc w:val="center"/>
        </w:trPr>
        <w:tc>
          <w:tcPr>
            <w:tcW w:w="996" w:type="dxa"/>
            <w:vAlign w:val="center"/>
          </w:tcPr>
          <w:p w14:paraId="0D4C401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Cs w:val="24"/>
              </w:rPr>
              <w:t>-</w:t>
            </w:r>
          </w:p>
        </w:tc>
        <w:tc>
          <w:tcPr>
            <w:tcW w:w="2035" w:type="dxa"/>
            <w:vAlign w:val="center"/>
          </w:tcPr>
          <w:p w14:paraId="41447E5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Cs w:val="24"/>
              </w:rPr>
              <w:t>合计</w:t>
            </w:r>
          </w:p>
        </w:tc>
        <w:tc>
          <w:tcPr>
            <w:tcW w:w="3689" w:type="dxa"/>
            <w:vAlign w:val="center"/>
          </w:tcPr>
          <w:p w14:paraId="7BB089DA">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sz w:val="22"/>
              </w:rPr>
              <w:t>-</w:t>
            </w:r>
          </w:p>
        </w:tc>
        <w:tc>
          <w:tcPr>
            <w:tcW w:w="1013" w:type="dxa"/>
            <w:vAlign w:val="center"/>
          </w:tcPr>
          <w:p w14:paraId="3EA568C1">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sz w:val="22"/>
              </w:rPr>
              <w:t>-</w:t>
            </w:r>
          </w:p>
        </w:tc>
        <w:tc>
          <w:tcPr>
            <w:tcW w:w="1338" w:type="dxa"/>
            <w:vAlign w:val="center"/>
          </w:tcPr>
          <w:p w14:paraId="6AB097FE">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lang w:eastAsia="zh-CN"/>
              </w:rPr>
            </w:pPr>
            <w:r>
              <w:rPr>
                <w:rFonts w:hint="eastAsia" w:ascii="仿宋" w:hAnsi="仿宋" w:eastAsia="仿宋" w:cs="仿宋"/>
                <w:sz w:val="22"/>
              </w:rPr>
              <w:t>100</w:t>
            </w:r>
          </w:p>
        </w:tc>
      </w:tr>
    </w:tbl>
    <w:p w14:paraId="04949C8A">
      <w:pPr>
        <w:keepNext w:val="0"/>
        <w:keepLines w:val="0"/>
        <w:pageBreakBefore w:val="0"/>
        <w:widowControl/>
        <w:numPr>
          <w:ilvl w:val="0"/>
          <w:numId w:val="4"/>
        </w:numPr>
        <w:kinsoku/>
        <w:wordWrap/>
        <w:overflowPunct/>
        <w:topLinePunct w:val="0"/>
        <w:autoSpaceDE/>
        <w:autoSpaceDN/>
        <w:bidi w:val="0"/>
        <w:adjustRightInd/>
        <w:snapToGrid/>
        <w:spacing w:after="0" w:line="360" w:lineRule="auto"/>
        <w:ind w:left="425" w:leftChars="0" w:hanging="425" w:firstLineChars="0"/>
        <w:textAlignment w:val="auto"/>
        <w:rPr>
          <w:rFonts w:hint="eastAsia" w:ascii="仿宋" w:hAnsi="仿宋" w:eastAsia="仿宋" w:cs="仿宋"/>
          <w:b/>
          <w:bCs/>
          <w:lang w:eastAsia="zh-CN"/>
        </w:rPr>
      </w:pPr>
      <w:r>
        <w:rPr>
          <w:rFonts w:hint="eastAsia" w:ascii="仿宋" w:hAnsi="仿宋" w:eastAsia="仿宋" w:cs="仿宋"/>
          <w:b/>
          <w:bCs/>
          <w:lang w:eastAsia="zh-CN"/>
        </w:rPr>
        <w:t>专项加分项（最高额外+25分）</w:t>
      </w:r>
    </w:p>
    <w:tbl>
      <w:tblPr>
        <w:tblStyle w:val="7"/>
        <w:tblpPr w:leftFromText="180" w:rightFromText="180" w:vertAnchor="text" w:tblpXSpec="center" w:tblpY="1"/>
        <w:tblOverlap w:val="never"/>
        <w:tblW w:w="9071" w:type="dxa"/>
        <w:tblInd w:w="0" w:type="dxa"/>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Layout w:type="autofit"/>
        <w:tblCellMar>
          <w:top w:w="0" w:type="dxa"/>
          <w:left w:w="10" w:type="dxa"/>
          <w:bottom w:w="0" w:type="dxa"/>
          <w:right w:w="10" w:type="dxa"/>
        </w:tblCellMar>
      </w:tblPr>
      <w:tblGrid>
        <w:gridCol w:w="3781"/>
        <w:gridCol w:w="1164"/>
        <w:gridCol w:w="4126"/>
      </w:tblGrid>
      <w:tr w14:paraId="6E6EA21D">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rPr>
          <w:tblHeader/>
        </w:trPr>
        <w:tc>
          <w:tcPr>
            <w:tcW w:w="3781" w:type="dxa"/>
            <w:tcBorders>
              <w:tl2br w:val="nil"/>
              <w:tr2bl w:val="nil"/>
            </w:tcBorders>
            <w:shd w:val="clear" w:color="auto" w:fill="BEBEBE" w:themeFill="background1" w:themeFillShade="BF"/>
            <w:tcMar>
              <w:top w:w="60" w:type="dxa"/>
              <w:left w:w="120" w:type="dxa"/>
              <w:bottom w:w="30" w:type="dxa"/>
              <w:right w:w="120" w:type="dxa"/>
            </w:tcMar>
            <w:vAlign w:val="center"/>
          </w:tcPr>
          <w:p w14:paraId="54461A58">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r>
              <w:rPr>
                <w:rFonts w:hint="eastAsia" w:ascii="仿宋" w:hAnsi="仿宋" w:eastAsia="仿宋" w:cs="仿宋"/>
                <w:b/>
                <w:bCs/>
                <w:szCs w:val="24"/>
              </w:rPr>
              <w:t>加分项说明</w:t>
            </w:r>
          </w:p>
        </w:tc>
        <w:tc>
          <w:tcPr>
            <w:tcW w:w="1164" w:type="dxa"/>
            <w:tcBorders>
              <w:tl2br w:val="nil"/>
              <w:tr2bl w:val="nil"/>
            </w:tcBorders>
            <w:shd w:val="clear" w:color="auto" w:fill="BEBEBE" w:themeFill="background1" w:themeFillShade="BF"/>
            <w:tcMar>
              <w:top w:w="60" w:type="dxa"/>
              <w:left w:w="120" w:type="dxa"/>
              <w:bottom w:w="30" w:type="dxa"/>
              <w:right w:w="120" w:type="dxa"/>
            </w:tcMar>
            <w:vAlign w:val="center"/>
          </w:tcPr>
          <w:p w14:paraId="206D955C">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r>
              <w:rPr>
                <w:rFonts w:hint="eastAsia" w:ascii="仿宋" w:hAnsi="仿宋" w:eastAsia="仿宋" w:cs="仿宋"/>
                <w:b/>
                <w:bCs/>
                <w:szCs w:val="24"/>
              </w:rPr>
              <w:t>分值</w:t>
            </w:r>
          </w:p>
        </w:tc>
        <w:tc>
          <w:tcPr>
            <w:tcW w:w="4126" w:type="dxa"/>
            <w:tcBorders>
              <w:tl2br w:val="nil"/>
              <w:tr2bl w:val="nil"/>
            </w:tcBorders>
            <w:shd w:val="clear" w:color="auto" w:fill="BEBEBE" w:themeFill="background1" w:themeFillShade="BF"/>
            <w:tcMar>
              <w:top w:w="60" w:type="dxa"/>
              <w:left w:w="120" w:type="dxa"/>
              <w:bottom w:w="30" w:type="dxa"/>
              <w:right w:w="120" w:type="dxa"/>
            </w:tcMar>
            <w:vAlign w:val="center"/>
          </w:tcPr>
          <w:p w14:paraId="2707B9C6">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b/>
                <w:bCs/>
                <w:szCs w:val="24"/>
              </w:rPr>
            </w:pPr>
            <w:r>
              <w:rPr>
                <w:rFonts w:hint="eastAsia" w:ascii="仿宋" w:hAnsi="仿宋" w:eastAsia="仿宋" w:cs="仿宋"/>
                <w:b/>
                <w:bCs/>
                <w:szCs w:val="24"/>
              </w:rPr>
              <w:t>备注</w:t>
            </w:r>
          </w:p>
        </w:tc>
      </w:tr>
      <w:tr w14:paraId="7291AE0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781" w:type="dxa"/>
            <w:tcBorders>
              <w:tl2br w:val="nil"/>
              <w:tr2bl w:val="nil"/>
            </w:tcBorders>
            <w:tcMar>
              <w:top w:w="60" w:type="dxa"/>
              <w:left w:w="120" w:type="dxa"/>
              <w:bottom w:w="30" w:type="dxa"/>
              <w:right w:w="120" w:type="dxa"/>
            </w:tcMar>
            <w:vAlign w:val="center"/>
          </w:tcPr>
          <w:p w14:paraId="254E33CA">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szCs w:val="24"/>
                <w:lang w:eastAsia="zh-CN"/>
              </w:rPr>
              <w:t>全流程执行效率突出，耗时远低于同赛区平均水平</w:t>
            </w:r>
          </w:p>
        </w:tc>
        <w:tc>
          <w:tcPr>
            <w:tcW w:w="1164" w:type="dxa"/>
            <w:tcBorders>
              <w:tl2br w:val="nil"/>
              <w:tr2bl w:val="nil"/>
            </w:tcBorders>
            <w:tcMar>
              <w:top w:w="60" w:type="dxa"/>
              <w:left w:w="120" w:type="dxa"/>
              <w:bottom w:w="30" w:type="dxa"/>
              <w:right w:w="120" w:type="dxa"/>
            </w:tcMar>
            <w:vAlign w:val="center"/>
          </w:tcPr>
          <w:p w14:paraId="44258C99">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r>
              <w:rPr>
                <w:rFonts w:hint="eastAsia" w:ascii="仿宋" w:hAnsi="仿宋" w:eastAsia="仿宋" w:cs="仿宋"/>
                <w:szCs w:val="24"/>
                <w:lang w:eastAsia="zh-CN"/>
              </w:rPr>
              <w:t>5</w:t>
            </w:r>
            <w:r>
              <w:rPr>
                <w:rFonts w:hint="eastAsia" w:ascii="仿宋" w:hAnsi="仿宋" w:eastAsia="仿宋" w:cs="仿宋"/>
                <w:szCs w:val="24"/>
              </w:rPr>
              <w:t>分</w:t>
            </w:r>
          </w:p>
        </w:tc>
        <w:tc>
          <w:tcPr>
            <w:tcW w:w="4126" w:type="dxa"/>
            <w:tcBorders>
              <w:tl2br w:val="nil"/>
              <w:tr2bl w:val="nil"/>
            </w:tcBorders>
            <w:tcMar>
              <w:top w:w="60" w:type="dxa"/>
              <w:left w:w="120" w:type="dxa"/>
              <w:bottom w:w="30" w:type="dxa"/>
              <w:right w:w="120" w:type="dxa"/>
            </w:tcMar>
            <w:vAlign w:val="center"/>
          </w:tcPr>
          <w:p w14:paraId="6F8F969B">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szCs w:val="24"/>
                <w:lang w:eastAsia="zh-CN"/>
              </w:rPr>
              <w:t>按同赛区、同平台组别耗时排名梯度加分，仅对完成核心任务的队伍计分</w:t>
            </w:r>
          </w:p>
        </w:tc>
      </w:tr>
      <w:tr w14:paraId="3605991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781" w:type="dxa"/>
            <w:tcBorders>
              <w:tl2br w:val="nil"/>
              <w:tr2bl w:val="nil"/>
            </w:tcBorders>
            <w:tcMar>
              <w:top w:w="60" w:type="dxa"/>
              <w:left w:w="120" w:type="dxa"/>
              <w:bottom w:w="30" w:type="dxa"/>
              <w:right w:w="120" w:type="dxa"/>
            </w:tcMar>
            <w:vAlign w:val="center"/>
          </w:tcPr>
          <w:p w14:paraId="59CDDD71">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szCs w:val="24"/>
                <w:lang w:eastAsia="zh-CN"/>
              </w:rPr>
              <w:t>双目相机识别并定位物料成功额外加分</w:t>
            </w:r>
          </w:p>
        </w:tc>
        <w:tc>
          <w:tcPr>
            <w:tcW w:w="1164" w:type="dxa"/>
            <w:tcBorders>
              <w:tl2br w:val="nil"/>
              <w:tr2bl w:val="nil"/>
            </w:tcBorders>
            <w:tcMar>
              <w:top w:w="60" w:type="dxa"/>
              <w:left w:w="120" w:type="dxa"/>
              <w:bottom w:w="30" w:type="dxa"/>
              <w:right w:w="120" w:type="dxa"/>
            </w:tcMar>
            <w:vAlign w:val="center"/>
          </w:tcPr>
          <w:p w14:paraId="49B519FB">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Cs w:val="24"/>
                <w:lang w:eastAsia="zh-CN"/>
              </w:rPr>
              <w:t>5分</w:t>
            </w:r>
          </w:p>
        </w:tc>
        <w:tc>
          <w:tcPr>
            <w:tcW w:w="4126" w:type="dxa"/>
            <w:tcBorders>
              <w:tl2br w:val="nil"/>
              <w:tr2bl w:val="nil"/>
            </w:tcBorders>
            <w:tcMar>
              <w:top w:w="60" w:type="dxa"/>
              <w:left w:w="120" w:type="dxa"/>
              <w:bottom w:w="30" w:type="dxa"/>
              <w:right w:w="120" w:type="dxa"/>
            </w:tcMar>
            <w:vAlign w:val="center"/>
          </w:tcPr>
          <w:p w14:paraId="43B29B88">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szCs w:val="24"/>
                <w:lang w:eastAsia="zh-CN"/>
              </w:rPr>
              <w:t>考虑到难度上双目相机＞深度相机，仅适用于A选项双臂机器人队伍，裁判委员会核实后加分</w:t>
            </w:r>
          </w:p>
        </w:tc>
      </w:tr>
      <w:tr w14:paraId="65401831">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781" w:type="dxa"/>
            <w:tcBorders>
              <w:tl2br w:val="nil"/>
              <w:tr2bl w:val="nil"/>
            </w:tcBorders>
            <w:tcMar>
              <w:top w:w="60" w:type="dxa"/>
              <w:left w:w="120" w:type="dxa"/>
              <w:bottom w:w="30" w:type="dxa"/>
              <w:right w:w="120" w:type="dxa"/>
            </w:tcMar>
            <w:vAlign w:val="center"/>
          </w:tcPr>
          <w:p w14:paraId="0FCE8AF5">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szCs w:val="24"/>
                <w:lang w:eastAsia="zh-CN"/>
              </w:rPr>
              <w:t>机器人双臂协同并行抓取两个物料，动作丝滑流畅、无发生碰撞</w:t>
            </w:r>
          </w:p>
        </w:tc>
        <w:tc>
          <w:tcPr>
            <w:tcW w:w="1164" w:type="dxa"/>
            <w:tcBorders>
              <w:tl2br w:val="nil"/>
              <w:tr2bl w:val="nil"/>
            </w:tcBorders>
            <w:tcMar>
              <w:top w:w="60" w:type="dxa"/>
              <w:left w:w="120" w:type="dxa"/>
              <w:bottom w:w="30" w:type="dxa"/>
              <w:right w:w="120" w:type="dxa"/>
            </w:tcMar>
            <w:vAlign w:val="center"/>
          </w:tcPr>
          <w:p w14:paraId="01B581B2">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Cs w:val="24"/>
                <w:lang w:eastAsia="zh-CN"/>
              </w:rPr>
              <w:t>6</w:t>
            </w:r>
            <w:r>
              <w:rPr>
                <w:rFonts w:hint="eastAsia" w:ascii="仿宋" w:hAnsi="仿宋" w:eastAsia="仿宋" w:cs="仿宋"/>
                <w:szCs w:val="24"/>
              </w:rPr>
              <w:t>分</w:t>
            </w:r>
          </w:p>
        </w:tc>
        <w:tc>
          <w:tcPr>
            <w:tcW w:w="4126" w:type="dxa"/>
            <w:tcBorders>
              <w:tl2br w:val="nil"/>
              <w:tr2bl w:val="nil"/>
            </w:tcBorders>
            <w:tcMar>
              <w:top w:w="60" w:type="dxa"/>
              <w:left w:w="120" w:type="dxa"/>
              <w:bottom w:w="30" w:type="dxa"/>
              <w:right w:w="120" w:type="dxa"/>
            </w:tcMar>
            <w:vAlign w:val="center"/>
          </w:tcPr>
          <w:p w14:paraId="2B3D2EFB">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szCs w:val="24"/>
                <w:lang w:eastAsia="zh-CN"/>
              </w:rPr>
              <w:t>仅适用于A选项双臂机器人队伍，裁判委员会核实后加分</w:t>
            </w:r>
          </w:p>
        </w:tc>
      </w:tr>
      <w:tr w14:paraId="1170C845">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781" w:type="dxa"/>
            <w:tcBorders>
              <w:tl2br w:val="nil"/>
              <w:tr2bl w:val="nil"/>
            </w:tcBorders>
            <w:tcMar>
              <w:top w:w="60" w:type="dxa"/>
              <w:left w:w="120" w:type="dxa"/>
              <w:bottom w:w="30" w:type="dxa"/>
              <w:right w:w="120" w:type="dxa"/>
            </w:tcMar>
            <w:vAlign w:val="center"/>
          </w:tcPr>
          <w:p w14:paraId="66ED0BCE">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szCs w:val="24"/>
                <w:lang w:eastAsia="zh-CN"/>
              </w:rPr>
              <w:t>使用英伟达CUROBO库完成运动规划，效果达标</w:t>
            </w:r>
          </w:p>
        </w:tc>
        <w:tc>
          <w:tcPr>
            <w:tcW w:w="1164" w:type="dxa"/>
            <w:tcBorders>
              <w:tl2br w:val="nil"/>
              <w:tr2bl w:val="nil"/>
            </w:tcBorders>
            <w:tcMar>
              <w:top w:w="60" w:type="dxa"/>
              <w:left w:w="120" w:type="dxa"/>
              <w:bottom w:w="30" w:type="dxa"/>
              <w:right w:w="120" w:type="dxa"/>
            </w:tcMar>
            <w:vAlign w:val="center"/>
          </w:tcPr>
          <w:p w14:paraId="2EEACF47">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rPr>
            </w:pPr>
            <w:r>
              <w:rPr>
                <w:rFonts w:hint="eastAsia" w:ascii="仿宋" w:hAnsi="仿宋" w:eastAsia="仿宋" w:cs="仿宋"/>
                <w:szCs w:val="24"/>
                <w:lang w:eastAsia="zh-CN"/>
              </w:rPr>
              <w:t>4</w:t>
            </w:r>
            <w:r>
              <w:rPr>
                <w:rFonts w:hint="eastAsia" w:ascii="仿宋" w:hAnsi="仿宋" w:eastAsia="仿宋" w:cs="仿宋"/>
                <w:szCs w:val="24"/>
              </w:rPr>
              <w:t>分</w:t>
            </w:r>
          </w:p>
        </w:tc>
        <w:tc>
          <w:tcPr>
            <w:tcW w:w="4126" w:type="dxa"/>
            <w:tcBorders>
              <w:tl2br w:val="nil"/>
              <w:tr2bl w:val="nil"/>
            </w:tcBorders>
            <w:tcMar>
              <w:top w:w="60" w:type="dxa"/>
              <w:left w:w="120" w:type="dxa"/>
              <w:bottom w:w="30" w:type="dxa"/>
              <w:right w:w="120" w:type="dxa"/>
            </w:tcMar>
            <w:vAlign w:val="center"/>
          </w:tcPr>
          <w:p w14:paraId="011EB0C9">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rPr>
            </w:pPr>
            <w:r>
              <w:rPr>
                <w:rFonts w:hint="eastAsia" w:ascii="仿宋" w:hAnsi="仿宋" w:eastAsia="仿宋" w:cs="仿宋"/>
                <w:szCs w:val="24"/>
              </w:rPr>
              <w:t>经</w:t>
            </w:r>
            <w:r>
              <w:rPr>
                <w:rFonts w:hint="eastAsia" w:ascii="仿宋" w:hAnsi="仿宋" w:eastAsia="仿宋" w:cs="仿宋"/>
                <w:szCs w:val="24"/>
                <w:lang w:eastAsia="zh-CN"/>
              </w:rPr>
              <w:t>裁判委员会</w:t>
            </w:r>
            <w:r>
              <w:rPr>
                <w:rFonts w:hint="eastAsia" w:ascii="仿宋" w:hAnsi="仿宋" w:eastAsia="仿宋" w:cs="仿宋"/>
                <w:szCs w:val="24"/>
              </w:rPr>
              <w:t>核实后加分</w:t>
            </w:r>
          </w:p>
        </w:tc>
      </w:tr>
      <w:tr w14:paraId="509D7703">
        <w:tblPrEx>
          <w:tblBorders>
            <w:top w:val="single" w:color="000000" w:themeColor="text1" w:sz="2" w:space="0"/>
            <w:left w:val="single" w:color="000000" w:themeColor="text1" w:sz="2" w:space="0"/>
            <w:bottom w:val="single" w:color="000000" w:themeColor="text1" w:sz="2" w:space="0"/>
            <w:right w:val="single" w:color="000000" w:themeColor="text1" w:sz="2" w:space="0"/>
            <w:insideH w:val="single" w:color="000000" w:themeColor="text1" w:sz="2" w:space="0"/>
            <w:insideV w:val="single" w:color="000000" w:themeColor="text1" w:sz="2" w:space="0"/>
          </w:tblBorders>
          <w:tblCellMar>
            <w:top w:w="0" w:type="dxa"/>
            <w:left w:w="10" w:type="dxa"/>
            <w:bottom w:w="0" w:type="dxa"/>
            <w:right w:w="10" w:type="dxa"/>
          </w:tblCellMar>
        </w:tblPrEx>
        <w:tc>
          <w:tcPr>
            <w:tcW w:w="3781" w:type="dxa"/>
            <w:tcBorders>
              <w:tl2br w:val="nil"/>
              <w:tr2bl w:val="nil"/>
            </w:tcBorders>
            <w:tcMar>
              <w:top w:w="60" w:type="dxa"/>
              <w:left w:w="120" w:type="dxa"/>
              <w:bottom w:w="30" w:type="dxa"/>
              <w:right w:w="120" w:type="dxa"/>
            </w:tcMar>
            <w:vAlign w:val="center"/>
          </w:tcPr>
          <w:p w14:paraId="2EBFA9DA">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szCs w:val="24"/>
                <w:lang w:eastAsia="zh-CN"/>
              </w:rPr>
              <w:t>无人机视觉对准和投放表现突出，悬停稳定、投放误差小、动作衔接流畅</w:t>
            </w:r>
          </w:p>
        </w:tc>
        <w:tc>
          <w:tcPr>
            <w:tcW w:w="1164" w:type="dxa"/>
            <w:tcBorders>
              <w:tl2br w:val="nil"/>
              <w:tr2bl w:val="nil"/>
            </w:tcBorders>
            <w:tcMar>
              <w:top w:w="60" w:type="dxa"/>
              <w:left w:w="120" w:type="dxa"/>
              <w:bottom w:w="30" w:type="dxa"/>
              <w:right w:w="120" w:type="dxa"/>
            </w:tcMar>
            <w:vAlign w:val="center"/>
          </w:tcPr>
          <w:p w14:paraId="09E3EAAD">
            <w:pPr>
              <w:keepNext w:val="0"/>
              <w:keepLines w:val="0"/>
              <w:pageBreakBefore w:val="0"/>
              <w:widowControl/>
              <w:kinsoku/>
              <w:wordWrap/>
              <w:overflowPunct/>
              <w:topLinePunct w:val="0"/>
              <w:autoSpaceDE/>
              <w:autoSpaceDN/>
              <w:bidi w:val="0"/>
              <w:adjustRightInd w:val="0"/>
              <w:snapToGrid w:val="0"/>
              <w:spacing w:after="0" w:line="240" w:lineRule="auto"/>
              <w:jc w:val="center"/>
              <w:textAlignment w:val="auto"/>
              <w:rPr>
                <w:rFonts w:hint="eastAsia" w:ascii="仿宋" w:hAnsi="仿宋" w:eastAsia="仿宋" w:cs="仿宋"/>
                <w:szCs w:val="24"/>
                <w:lang w:eastAsia="zh-CN"/>
              </w:rPr>
            </w:pPr>
            <w:r>
              <w:rPr>
                <w:rFonts w:hint="eastAsia" w:ascii="仿宋" w:hAnsi="仿宋" w:eastAsia="仿宋" w:cs="仿宋"/>
                <w:szCs w:val="24"/>
                <w:lang w:eastAsia="zh-CN"/>
              </w:rPr>
              <w:t>5分</w:t>
            </w:r>
          </w:p>
        </w:tc>
        <w:tc>
          <w:tcPr>
            <w:tcW w:w="4126" w:type="dxa"/>
            <w:tcBorders>
              <w:tl2br w:val="nil"/>
              <w:tr2bl w:val="nil"/>
            </w:tcBorders>
            <w:tcMar>
              <w:top w:w="60" w:type="dxa"/>
              <w:left w:w="120" w:type="dxa"/>
              <w:bottom w:w="30" w:type="dxa"/>
              <w:right w:w="120" w:type="dxa"/>
            </w:tcMar>
            <w:vAlign w:val="center"/>
          </w:tcPr>
          <w:p w14:paraId="07AE9BD9">
            <w:pPr>
              <w:keepNext w:val="0"/>
              <w:keepLines w:val="0"/>
              <w:pageBreakBefore w:val="0"/>
              <w:widowControl/>
              <w:kinsoku/>
              <w:wordWrap/>
              <w:overflowPunct/>
              <w:topLinePunct w:val="0"/>
              <w:autoSpaceDE/>
              <w:autoSpaceDN/>
              <w:bidi w:val="0"/>
              <w:adjustRightInd w:val="0"/>
              <w:snapToGrid w:val="0"/>
              <w:spacing w:after="0" w:line="240" w:lineRule="auto"/>
              <w:textAlignment w:val="auto"/>
              <w:rPr>
                <w:rFonts w:hint="eastAsia" w:ascii="仿宋" w:hAnsi="仿宋" w:eastAsia="仿宋" w:cs="仿宋"/>
                <w:szCs w:val="24"/>
                <w:lang w:eastAsia="zh-CN"/>
              </w:rPr>
            </w:pPr>
            <w:r>
              <w:rPr>
                <w:rFonts w:hint="eastAsia" w:ascii="仿宋" w:hAnsi="仿宋" w:eastAsia="仿宋" w:cs="仿宋"/>
                <w:szCs w:val="24"/>
                <w:lang w:eastAsia="zh-CN"/>
              </w:rPr>
              <w:t>经裁判委员会依据视频、工程文件和日志核实后加分</w:t>
            </w:r>
          </w:p>
        </w:tc>
      </w:tr>
    </w:tbl>
    <w:p w14:paraId="3C8725B8">
      <w:pPr>
        <w:pStyle w:val="2"/>
        <w:keepNext/>
        <w:keepLines/>
        <w:pageBreakBefore w:val="0"/>
        <w:widowControl/>
        <w:numPr>
          <w:ilvl w:val="0"/>
          <w:numId w:val="1"/>
        </w:numPr>
        <w:kinsoku/>
        <w:wordWrap/>
        <w:overflowPunct/>
        <w:topLinePunct w:val="0"/>
        <w:autoSpaceDE/>
        <w:autoSpaceDN/>
        <w:bidi w:val="0"/>
        <w:adjustRightInd w:val="0"/>
        <w:snapToGrid w:val="0"/>
        <w:spacing w:before="200" w:after="0" w:line="360" w:lineRule="auto"/>
        <w:ind w:left="0" w:leftChars="0" w:firstLine="0" w:firstLineChars="0"/>
        <w:textAlignment w:val="auto"/>
        <w:rPr>
          <w:rFonts w:hint="eastAsia" w:ascii="仿宋" w:hAnsi="仿宋" w:eastAsia="仿宋" w:cs="仿宋"/>
          <w:kern w:val="2"/>
          <w:sz w:val="30"/>
          <w:szCs w:val="24"/>
          <w:lang w:eastAsia="zh-CN"/>
        </w:rPr>
      </w:pPr>
      <w:r>
        <w:rPr>
          <w:rFonts w:hint="eastAsia" w:ascii="仿宋" w:hAnsi="仿宋" w:eastAsia="仿宋" w:cs="仿宋"/>
          <w:kern w:val="2"/>
          <w:sz w:val="30"/>
          <w:szCs w:val="24"/>
          <w:lang w:eastAsia="zh-CN"/>
        </w:rPr>
        <w:t>评审方式与流程</w:t>
      </w:r>
    </w:p>
    <w:p w14:paraId="27BEE3FB">
      <w:pPr>
        <w:pStyle w:val="10"/>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firstLine="0"/>
        <w:textAlignment w:val="auto"/>
        <w:rPr>
          <w:rFonts w:hint="eastAsia" w:ascii="仿宋" w:hAnsi="仿宋" w:eastAsia="仿宋" w:cs="仿宋"/>
          <w:lang w:eastAsia="zh-CN"/>
        </w:rPr>
      </w:pPr>
      <w:r>
        <w:rPr>
          <w:rFonts w:hint="eastAsia" w:ascii="仿宋" w:hAnsi="仿宋" w:eastAsia="仿宋" w:cs="仿宋"/>
          <w:b/>
          <w:lang w:eastAsia="zh-CN"/>
        </w:rPr>
        <w:t>线上预选赛：</w:t>
      </w:r>
      <w:r>
        <w:rPr>
          <w:rFonts w:hint="eastAsia" w:ascii="仿宋" w:hAnsi="仿宋" w:eastAsia="仿宋" w:cs="仿宋"/>
          <w:lang w:eastAsia="zh-CN"/>
        </w:rPr>
        <w:t>队伍提交视频 + 文档 + 工程文件；裁判委员会统一盲评、分赛区排名、公示晋级。</w:t>
      </w:r>
    </w:p>
    <w:p w14:paraId="7503C5B5">
      <w:pPr>
        <w:pStyle w:val="10"/>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0" w:firstLine="0"/>
        <w:textAlignment w:val="auto"/>
        <w:rPr>
          <w:rFonts w:hint="eastAsia" w:ascii="仿宋" w:hAnsi="仿宋" w:eastAsia="仿宋" w:cs="仿宋"/>
          <w:lang w:eastAsia="zh-CN"/>
        </w:rPr>
      </w:pPr>
      <w:r>
        <w:rPr>
          <w:rFonts w:hint="eastAsia" w:ascii="仿宋" w:hAnsi="仿宋" w:eastAsia="仿宋" w:cs="仿宋"/>
          <w:b/>
          <w:lang w:eastAsia="zh-CN"/>
        </w:rPr>
        <w:t>成绩计算：</w:t>
      </w:r>
    </w:p>
    <w:p w14:paraId="613CC962">
      <w:pPr>
        <w:keepNext w:val="0"/>
        <w:keepLines w:val="0"/>
        <w:pageBreakBefore w:val="0"/>
        <w:widowControl/>
        <w:numPr>
          <w:ilvl w:val="0"/>
          <w:numId w:val="8"/>
        </w:numPr>
        <w:tabs>
          <w:tab w:val="left" w:pos="0"/>
        </w:tabs>
        <w:kinsoku/>
        <w:wordWrap/>
        <w:overflowPunct/>
        <w:topLinePunct w:val="0"/>
        <w:autoSpaceDE/>
        <w:autoSpaceDN/>
        <w:bidi w:val="0"/>
        <w:adjustRightInd w:val="0"/>
        <w:snapToGrid w:val="0"/>
        <w:spacing w:after="0" w:line="360" w:lineRule="auto"/>
        <w:ind w:left="0" w:leftChars="0" w:firstLine="482"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bCs/>
          <w:szCs w:val="24"/>
          <w:lang w:eastAsia="zh-CN"/>
        </w:rPr>
        <w:t>总分构成：</w:t>
      </w:r>
      <w:r>
        <w:rPr>
          <w:rFonts w:hint="eastAsia" w:ascii="仿宋" w:hAnsi="仿宋" w:eastAsia="仿宋" w:cs="仿宋"/>
          <w:b w:val="0"/>
          <w:bCs w:val="0"/>
          <w:szCs w:val="24"/>
          <w:lang w:eastAsia="zh-CN"/>
        </w:rPr>
        <w:t>总分 = 基础评分（满分100分）+ 专项加分（最高25分），满分125分。</w:t>
      </w:r>
    </w:p>
    <w:p w14:paraId="1CE7662D">
      <w:pPr>
        <w:keepNext w:val="0"/>
        <w:keepLines w:val="0"/>
        <w:pageBreakBefore w:val="0"/>
        <w:widowControl/>
        <w:numPr>
          <w:ilvl w:val="0"/>
          <w:numId w:val="8"/>
        </w:numPr>
        <w:tabs>
          <w:tab w:val="left" w:pos="0"/>
        </w:tabs>
        <w:kinsoku/>
        <w:wordWrap/>
        <w:overflowPunct/>
        <w:topLinePunct w:val="0"/>
        <w:autoSpaceDE/>
        <w:autoSpaceDN/>
        <w:bidi w:val="0"/>
        <w:adjustRightInd w:val="0"/>
        <w:snapToGrid w:val="0"/>
        <w:spacing w:after="0" w:line="360" w:lineRule="auto"/>
        <w:ind w:left="0" w:leftChars="0" w:firstLine="482"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bCs/>
          <w:szCs w:val="24"/>
          <w:lang w:eastAsia="zh-CN"/>
        </w:rPr>
        <w:t>按项得分</w:t>
      </w:r>
      <w:r>
        <w:rPr>
          <w:rFonts w:hint="eastAsia" w:ascii="仿宋" w:hAnsi="仿宋" w:eastAsia="仿宋" w:cs="仿宋"/>
          <w:b w:val="0"/>
          <w:bCs w:val="0"/>
          <w:szCs w:val="24"/>
          <w:lang w:eastAsia="zh-CN"/>
        </w:rPr>
        <w:t>：裁判委员会依据基础评分表中各评分项逐一打分，每项得分累加得到基础评分总分；再依据专项加分项条件，逐项核验并给予加分，累加得到专项加分总分。</w:t>
      </w:r>
    </w:p>
    <w:p w14:paraId="554E573D">
      <w:pPr>
        <w:keepNext w:val="0"/>
        <w:keepLines w:val="0"/>
        <w:pageBreakBefore w:val="0"/>
        <w:widowControl/>
        <w:numPr>
          <w:ilvl w:val="0"/>
          <w:numId w:val="8"/>
        </w:numPr>
        <w:tabs>
          <w:tab w:val="left" w:pos="0"/>
        </w:tabs>
        <w:kinsoku/>
        <w:wordWrap/>
        <w:overflowPunct/>
        <w:topLinePunct w:val="0"/>
        <w:autoSpaceDE/>
        <w:autoSpaceDN/>
        <w:bidi w:val="0"/>
        <w:adjustRightInd w:val="0"/>
        <w:snapToGrid w:val="0"/>
        <w:spacing w:after="0" w:line="360" w:lineRule="auto"/>
        <w:ind w:left="0" w:leftChars="0" w:firstLine="482" w:firstLineChars="200"/>
        <w:textAlignment w:val="auto"/>
        <w:outlineLvl w:val="1"/>
        <w:rPr>
          <w:rFonts w:hint="eastAsia" w:ascii="仿宋" w:hAnsi="仿宋" w:eastAsia="仿宋" w:cs="仿宋"/>
          <w:b w:val="0"/>
          <w:bCs w:val="0"/>
          <w:szCs w:val="24"/>
          <w:lang w:eastAsia="zh-CN"/>
        </w:rPr>
      </w:pPr>
      <w:r>
        <w:rPr>
          <w:rFonts w:hint="eastAsia" w:ascii="仿宋" w:hAnsi="仿宋" w:eastAsia="仿宋" w:cs="仿宋"/>
          <w:b/>
          <w:bCs/>
          <w:szCs w:val="24"/>
          <w:lang w:eastAsia="zh-CN"/>
        </w:rPr>
        <w:t>同分排名规则：</w:t>
      </w:r>
      <w:r>
        <w:rPr>
          <w:rFonts w:hint="eastAsia" w:ascii="仿宋" w:hAnsi="仿宋" w:eastAsia="仿宋" w:cs="仿宋"/>
          <w:b w:val="0"/>
          <w:bCs w:val="0"/>
          <w:szCs w:val="24"/>
          <w:lang w:eastAsia="zh-CN"/>
        </w:rPr>
        <w:t>若两支或以上队伍总分相同，依次按以下指标比较，排名高者列前：</w:t>
      </w:r>
    </w:p>
    <w:p w14:paraId="6CFC0C83">
      <w:pPr>
        <w:pStyle w:val="10"/>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0" w:leftChars="0" w:firstLine="482" w:firstLineChars="200"/>
        <w:textAlignment w:val="auto"/>
        <w:rPr>
          <w:rFonts w:hint="eastAsia" w:ascii="仿宋" w:hAnsi="仿宋" w:eastAsia="仿宋" w:cs="仿宋"/>
          <w:lang w:eastAsia="zh-CN"/>
        </w:rPr>
      </w:pPr>
      <w:r>
        <w:rPr>
          <w:rFonts w:hint="eastAsia" w:ascii="仿宋" w:hAnsi="仿宋" w:eastAsia="仿宋" w:cs="仿宋"/>
          <w:b/>
          <w:bCs/>
        </w:rPr>
        <w:t>任务完成度：</w:t>
      </w:r>
      <w:r>
        <w:rPr>
          <w:rFonts w:hint="eastAsia" w:ascii="仿宋" w:hAnsi="仿宋" w:eastAsia="仿宋" w:cs="仿宋"/>
          <w:b w:val="0"/>
        </w:rPr>
        <w:t>比较基础评分表中得分不为零的评分项数量，完成项目多者优先；</w:t>
      </w:r>
    </w:p>
    <w:p w14:paraId="0C3CCD89">
      <w:pPr>
        <w:pStyle w:val="10"/>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0" w:leftChars="0" w:firstLine="482" w:firstLineChars="200"/>
        <w:textAlignment w:val="auto"/>
        <w:rPr>
          <w:rFonts w:hint="eastAsia" w:ascii="仿宋" w:hAnsi="仿宋" w:eastAsia="仿宋" w:cs="仿宋"/>
          <w:lang w:eastAsia="zh-CN"/>
        </w:rPr>
      </w:pPr>
      <w:r>
        <w:rPr>
          <w:rFonts w:hint="eastAsia" w:ascii="仿宋" w:hAnsi="仿宋" w:eastAsia="仿宋" w:cs="仿宋"/>
          <w:b/>
          <w:bCs/>
        </w:rPr>
        <w:t>执行效率：</w:t>
      </w:r>
      <w:r>
        <w:rPr>
          <w:rFonts w:hint="eastAsia" w:ascii="仿宋" w:hAnsi="仿宋" w:eastAsia="仿宋" w:cs="仿宋"/>
          <w:b w:val="0"/>
        </w:rPr>
        <w:t>比较全流程仿真运行总时长（以提交视频或仿真日志记录为准），耗时短者优先；</w:t>
      </w:r>
    </w:p>
    <w:p w14:paraId="3B19E3B1">
      <w:pPr>
        <w:pStyle w:val="10"/>
        <w:keepNext w:val="0"/>
        <w:keepLines w:val="0"/>
        <w:pageBreakBefore w:val="0"/>
        <w:widowControl/>
        <w:numPr>
          <w:ilvl w:val="0"/>
          <w:numId w:val="9"/>
        </w:numPr>
        <w:kinsoku/>
        <w:wordWrap/>
        <w:overflowPunct/>
        <w:topLinePunct w:val="0"/>
        <w:autoSpaceDE/>
        <w:autoSpaceDN/>
        <w:bidi w:val="0"/>
        <w:adjustRightInd/>
        <w:snapToGrid/>
        <w:spacing w:after="0" w:line="360" w:lineRule="auto"/>
        <w:ind w:left="0" w:leftChars="0" w:firstLine="480" w:firstLineChars="200"/>
        <w:textAlignment w:val="auto"/>
        <w:rPr>
          <w:rFonts w:hint="eastAsia" w:ascii="仿宋" w:hAnsi="仿宋" w:eastAsia="仿宋" w:cs="仿宋"/>
          <w:lang w:eastAsia="zh-CN"/>
        </w:rPr>
      </w:pPr>
      <w:r>
        <w:rPr>
          <w:rFonts w:hint="eastAsia" w:ascii="仿宋" w:hAnsi="仿宋" w:eastAsia="仿宋" w:cs="仿宋"/>
          <w:b w:val="0"/>
        </w:rPr>
        <w:t>若以上两项仍无法区分排名，由裁判委员会根据技术方案综合质量裁定。</w:t>
      </w:r>
    </w:p>
    <w:p w14:paraId="3A5F990D">
      <w:pPr>
        <w:pStyle w:val="2"/>
        <w:keepNext/>
        <w:keepLines/>
        <w:pageBreakBefore w:val="0"/>
        <w:widowControl/>
        <w:numPr>
          <w:ilvl w:val="0"/>
          <w:numId w:val="1"/>
        </w:numPr>
        <w:kinsoku/>
        <w:wordWrap/>
        <w:overflowPunct/>
        <w:topLinePunct w:val="0"/>
        <w:autoSpaceDE/>
        <w:autoSpaceDN/>
        <w:bidi w:val="0"/>
        <w:adjustRightInd w:val="0"/>
        <w:snapToGrid w:val="0"/>
        <w:spacing w:before="200" w:after="0" w:line="360" w:lineRule="auto"/>
        <w:ind w:left="0" w:leftChars="0" w:firstLine="0" w:firstLineChars="0"/>
        <w:textAlignment w:val="auto"/>
        <w:rPr>
          <w:rFonts w:hint="eastAsia" w:ascii="仿宋" w:hAnsi="仿宋" w:eastAsia="仿宋" w:cs="仿宋"/>
          <w:kern w:val="2"/>
          <w:sz w:val="30"/>
          <w:szCs w:val="24"/>
          <w:lang w:eastAsia="zh-CN"/>
        </w:rPr>
      </w:pPr>
      <w:r>
        <w:rPr>
          <w:rFonts w:hint="eastAsia" w:ascii="仿宋" w:hAnsi="仿宋" w:eastAsia="仿宋" w:cs="仿宋"/>
          <w:kern w:val="2"/>
          <w:sz w:val="30"/>
          <w:szCs w:val="24"/>
          <w:lang w:eastAsia="zh-CN"/>
        </w:rPr>
        <w:t>技术合规要求</w:t>
      </w:r>
    </w:p>
    <w:p w14:paraId="007F5E92">
      <w:pPr>
        <w:keepNext w:val="0"/>
        <w:keepLines w:val="0"/>
        <w:pageBreakBefore w:val="0"/>
        <w:widowControl/>
        <w:numPr>
          <w:ilvl w:val="0"/>
          <w:numId w:val="10"/>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线上预选赛须使用 NVIDIA Isaac Sim、图灵智新具身智能仿真开发平台或规则允许的等效仿真环境完成开发，并提交可复现工程文件。</w:t>
      </w:r>
    </w:p>
    <w:p w14:paraId="315BA829">
      <w:pPr>
        <w:keepNext w:val="0"/>
        <w:keepLines w:val="0"/>
        <w:pageBreakBefore w:val="0"/>
        <w:widowControl/>
        <w:numPr>
          <w:ilvl w:val="0"/>
          <w:numId w:val="10"/>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参赛队伍不得额外放置二维码、AprilTag 或其他编码式人工视觉标签辅助定位。违反该规定的，相关识别、定位或任务完成分数记为 0 分；情节严重的，取消评审资格。</w:t>
      </w:r>
    </w:p>
    <w:p w14:paraId="244EEB50">
      <w:pPr>
        <w:keepNext w:val="0"/>
        <w:keepLines w:val="0"/>
        <w:pageBreakBefore w:val="0"/>
        <w:widowControl/>
        <w:numPr>
          <w:ilvl w:val="0"/>
          <w:numId w:val="10"/>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参赛队伍必须使用官方指定机器人和无人机平台参赛。未经允许擅自更换平台、模型或关键机构的，裁判委员会有权判定相关任务无效。</w:t>
      </w:r>
    </w:p>
    <w:p w14:paraId="02A626CF">
      <w:pPr>
        <w:keepNext w:val="0"/>
        <w:keepLines w:val="0"/>
        <w:pageBreakBefore w:val="0"/>
        <w:widowControl/>
        <w:numPr>
          <w:ilvl w:val="0"/>
          <w:numId w:val="10"/>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总决赛原则上应沿用预选赛仿真逻辑、模型和任务流程，禁止现场临时重构与预选赛无关的方案。</w:t>
      </w:r>
    </w:p>
    <w:p w14:paraId="3D226D91">
      <w:pPr>
        <w:keepNext w:val="0"/>
        <w:keepLines w:val="0"/>
        <w:pageBreakBefore w:val="0"/>
        <w:widowControl/>
        <w:numPr>
          <w:ilvl w:val="0"/>
          <w:numId w:val="10"/>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参赛队伍应遵守现场安全要求。无人机比赛过程中，如出现严重碰撞、坠机、飞出安全区域、拒绝安全接管或存在明显安全风险，裁判委员会有权中止比赛并依据规则判定成绩。</w:t>
      </w:r>
    </w:p>
    <w:p w14:paraId="7ED74492">
      <w:pPr>
        <w:keepNext w:val="0"/>
        <w:keepLines w:val="0"/>
        <w:pageBreakBefore w:val="0"/>
        <w:widowControl/>
        <w:numPr>
          <w:ilvl w:val="0"/>
          <w:numId w:val="10"/>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提交材料需真实有效，预选赛需完整提交开发文档、演示视频、仿真工程文件；总决赛需提供完整代码、模型、技术文档，抄袭、造假直接取消参赛与获奖资格。</w:t>
      </w:r>
    </w:p>
    <w:p w14:paraId="3B2B7AA6">
      <w:pPr>
        <w:keepNext w:val="0"/>
        <w:keepLines w:val="0"/>
        <w:pageBreakBefore w:val="0"/>
        <w:widowControl/>
        <w:numPr>
          <w:ilvl w:val="0"/>
          <w:numId w:val="10"/>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val="0"/>
          <w:bCs w:val="0"/>
          <w:szCs w:val="24"/>
          <w:lang w:eastAsia="zh-CN"/>
        </w:rPr>
      </w:pPr>
      <w:r>
        <w:rPr>
          <w:rFonts w:hint="eastAsia" w:ascii="仿宋" w:hAnsi="仿宋" w:eastAsia="仿宋" w:cs="仿宋"/>
          <w:b w:val="0"/>
          <w:bCs w:val="0"/>
          <w:szCs w:val="24"/>
          <w:lang w:eastAsia="zh-CN"/>
        </w:rPr>
        <w:t>线上预选赛需使用承办方提供的图灵智新具身智能仿真开发平台开展开发，有能力的可自行搭建仿真环境，但建议使用IsaacSim 4.5.0版本，若有其他情况，需要注明。</w:t>
      </w:r>
    </w:p>
    <w:p w14:paraId="0E0D1148">
      <w:pPr>
        <w:pStyle w:val="2"/>
        <w:keepNext/>
        <w:keepLines/>
        <w:pageBreakBefore w:val="0"/>
        <w:widowControl/>
        <w:numPr>
          <w:ilvl w:val="0"/>
          <w:numId w:val="1"/>
        </w:numPr>
        <w:kinsoku/>
        <w:wordWrap/>
        <w:overflowPunct/>
        <w:topLinePunct w:val="0"/>
        <w:autoSpaceDE/>
        <w:autoSpaceDN/>
        <w:bidi w:val="0"/>
        <w:adjustRightInd w:val="0"/>
        <w:snapToGrid w:val="0"/>
        <w:spacing w:before="200" w:after="0" w:line="360" w:lineRule="auto"/>
        <w:ind w:left="0" w:leftChars="0" w:firstLine="0" w:firstLineChars="0"/>
        <w:textAlignment w:val="auto"/>
        <w:rPr>
          <w:rFonts w:hint="eastAsia" w:ascii="仿宋" w:hAnsi="仿宋" w:eastAsia="仿宋" w:cs="仿宋"/>
          <w:kern w:val="2"/>
          <w:sz w:val="30"/>
          <w:szCs w:val="24"/>
          <w:lang w:eastAsia="zh-CN"/>
        </w:rPr>
      </w:pPr>
      <w:r>
        <w:rPr>
          <w:rFonts w:hint="eastAsia" w:ascii="仿宋" w:hAnsi="仿宋" w:eastAsia="仿宋" w:cs="仿宋"/>
          <w:kern w:val="2"/>
          <w:sz w:val="30"/>
          <w:szCs w:val="24"/>
          <w:lang w:eastAsia="zh-CN"/>
        </w:rPr>
        <w:t>违规认定与处理</w:t>
      </w:r>
    </w:p>
    <w:p w14:paraId="265CB739">
      <w:pPr>
        <w:keepNext w:val="0"/>
        <w:keepLines w:val="0"/>
        <w:pageBreakBefore w:val="0"/>
        <w:widowControl/>
        <w:numPr>
          <w:ilvl w:val="0"/>
          <w:numId w:val="11"/>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bCs/>
          <w:szCs w:val="24"/>
        </w:rPr>
      </w:pPr>
      <w:r>
        <w:rPr>
          <w:rFonts w:hint="eastAsia" w:ascii="仿宋" w:hAnsi="仿宋" w:eastAsia="仿宋" w:cs="仿宋"/>
          <w:b/>
          <w:bCs/>
          <w:szCs w:val="24"/>
          <w:lang w:eastAsia="zh-CN"/>
        </w:rPr>
        <w:t>一般违规</w:t>
      </w:r>
    </w:p>
    <w:p w14:paraId="4DEDC4C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仿宋" w:hAnsi="仿宋" w:eastAsia="仿宋" w:cs="仿宋"/>
          <w:lang w:eastAsia="zh-CN"/>
        </w:rPr>
      </w:pPr>
      <w:r>
        <w:rPr>
          <w:rFonts w:hint="eastAsia" w:ascii="仿宋" w:hAnsi="仿宋" w:eastAsia="仿宋" w:cs="仿宋"/>
          <w:lang w:eastAsia="zh-CN"/>
        </w:rPr>
        <w:t>轻微卡顿、小范围偏差、短时任务停顿、非关键动作不稳定等，按评分标准扣分，不直接取消成绩。</w:t>
      </w:r>
    </w:p>
    <w:p w14:paraId="35A39DB4">
      <w:pPr>
        <w:keepNext w:val="0"/>
        <w:keepLines w:val="0"/>
        <w:pageBreakBefore w:val="0"/>
        <w:widowControl/>
        <w:numPr>
          <w:ilvl w:val="0"/>
          <w:numId w:val="11"/>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bCs/>
          <w:szCs w:val="24"/>
        </w:rPr>
      </w:pPr>
      <w:r>
        <w:rPr>
          <w:rFonts w:hint="eastAsia" w:ascii="仿宋" w:hAnsi="仿宋" w:eastAsia="仿宋" w:cs="仿宋"/>
          <w:b/>
          <w:bCs/>
          <w:szCs w:val="24"/>
          <w:lang w:eastAsia="zh-CN"/>
        </w:rPr>
        <w:t>严重违规</w:t>
      </w:r>
    </w:p>
    <w:p w14:paraId="3701AE3C">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仿宋" w:hAnsi="仿宋" w:eastAsia="仿宋" w:cs="仿宋"/>
          <w:lang w:eastAsia="zh-CN"/>
        </w:rPr>
      </w:pPr>
      <w:r>
        <w:rPr>
          <w:rFonts w:hint="eastAsia" w:ascii="仿宋" w:hAnsi="仿宋" w:eastAsia="仿宋" w:cs="仿宋"/>
          <w:b w:val="0"/>
          <w:lang w:eastAsia="zh-CN"/>
        </w:rPr>
        <w:t>严重违规行为包括但不限于以下情形：</w:t>
      </w:r>
    </w:p>
    <w:p w14:paraId="60E5C2D4">
      <w:pPr>
        <w:pStyle w:val="10"/>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480" w:firstLineChars="200"/>
        <w:textAlignment w:val="auto"/>
        <w:rPr>
          <w:rFonts w:hint="eastAsia" w:ascii="仿宋" w:hAnsi="仿宋" w:eastAsia="仿宋" w:cs="仿宋"/>
          <w:lang w:eastAsia="zh-CN"/>
        </w:rPr>
      </w:pPr>
      <w:r>
        <w:rPr>
          <w:rFonts w:hint="eastAsia" w:ascii="仿宋" w:hAnsi="仿宋" w:eastAsia="仿宋" w:cs="仿宋"/>
          <w:lang w:eastAsia="zh-CN"/>
        </w:rPr>
        <w:t>使用参赛队伍额外放置的二维码、AprilTag 或其他人工视觉标签辅助定位；</w:t>
      </w:r>
    </w:p>
    <w:p w14:paraId="697020F2">
      <w:pPr>
        <w:pStyle w:val="10"/>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480" w:firstLineChars="200"/>
        <w:textAlignment w:val="auto"/>
        <w:rPr>
          <w:rFonts w:hint="eastAsia" w:ascii="仿宋" w:hAnsi="仿宋" w:eastAsia="仿宋" w:cs="仿宋"/>
          <w:lang w:eastAsia="zh-CN"/>
        </w:rPr>
      </w:pPr>
      <w:r>
        <w:rPr>
          <w:rFonts w:hint="eastAsia" w:ascii="仿宋" w:hAnsi="仿宋" w:eastAsia="仿宋" w:cs="仿宋"/>
          <w:lang w:eastAsia="zh-CN"/>
        </w:rPr>
        <w:t>提交造假、代做、抄袭或无法证明真实性的材料；</w:t>
      </w:r>
    </w:p>
    <w:p w14:paraId="0DACCD44">
      <w:pPr>
        <w:pStyle w:val="10"/>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480" w:firstLineChars="200"/>
        <w:textAlignment w:val="auto"/>
        <w:rPr>
          <w:rFonts w:hint="eastAsia" w:ascii="仿宋" w:hAnsi="仿宋" w:eastAsia="仿宋" w:cs="仿宋"/>
          <w:lang w:eastAsia="zh-CN"/>
        </w:rPr>
      </w:pPr>
      <w:r>
        <w:rPr>
          <w:rFonts w:hint="eastAsia" w:ascii="仿宋" w:hAnsi="仿宋" w:eastAsia="仿宋" w:cs="仿宋"/>
          <w:lang w:eastAsia="zh-CN"/>
        </w:rPr>
        <w:t>恶意修改官方资产、规避评分逻辑或伪造任务完成效果；</w:t>
      </w:r>
    </w:p>
    <w:p w14:paraId="394B6C04">
      <w:pPr>
        <w:pStyle w:val="10"/>
        <w:keepNext w:val="0"/>
        <w:keepLines w:val="0"/>
        <w:pageBreakBefore w:val="0"/>
        <w:widowControl/>
        <w:numPr>
          <w:ilvl w:val="0"/>
          <w:numId w:val="12"/>
        </w:numPr>
        <w:kinsoku/>
        <w:wordWrap/>
        <w:overflowPunct/>
        <w:topLinePunct w:val="0"/>
        <w:autoSpaceDE/>
        <w:autoSpaceDN/>
        <w:bidi w:val="0"/>
        <w:adjustRightInd/>
        <w:snapToGrid/>
        <w:spacing w:after="0" w:line="360" w:lineRule="auto"/>
        <w:ind w:left="0" w:leftChars="0" w:firstLine="480" w:firstLineChars="200"/>
        <w:textAlignment w:val="auto"/>
        <w:rPr>
          <w:rFonts w:hint="eastAsia" w:ascii="仿宋" w:hAnsi="仿宋" w:eastAsia="仿宋" w:cs="仿宋"/>
          <w:lang w:eastAsia="zh-CN"/>
        </w:rPr>
      </w:pPr>
      <w:r>
        <w:rPr>
          <w:rFonts w:hint="eastAsia" w:ascii="仿宋" w:hAnsi="仿宋" w:eastAsia="仿宋" w:cs="仿宋"/>
          <w:lang w:eastAsia="zh-CN"/>
        </w:rPr>
        <w:t>干扰赛场、恶意操作设备、拒不服从裁判；</w:t>
      </w:r>
    </w:p>
    <w:p w14:paraId="7DFADE2D">
      <w:pPr>
        <w:keepNext w:val="0"/>
        <w:keepLines w:val="0"/>
        <w:pageBreakBefore w:val="0"/>
        <w:widowControl/>
        <w:numPr>
          <w:ilvl w:val="0"/>
          <w:numId w:val="11"/>
        </w:numPr>
        <w:tabs>
          <w:tab w:val="left" w:pos="0"/>
        </w:tabs>
        <w:kinsoku/>
        <w:wordWrap/>
        <w:overflowPunct/>
        <w:topLinePunct w:val="0"/>
        <w:autoSpaceDE/>
        <w:autoSpaceDN/>
        <w:bidi w:val="0"/>
        <w:adjustRightInd w:val="0"/>
        <w:snapToGrid w:val="0"/>
        <w:spacing w:after="0" w:line="360" w:lineRule="auto"/>
        <w:ind w:left="425" w:hanging="425"/>
        <w:textAlignment w:val="auto"/>
        <w:outlineLvl w:val="1"/>
        <w:rPr>
          <w:rFonts w:hint="eastAsia" w:ascii="仿宋" w:hAnsi="仿宋" w:eastAsia="仿宋" w:cs="仿宋"/>
          <w:b/>
          <w:bCs/>
          <w:szCs w:val="24"/>
          <w:lang w:eastAsia="zh-CN"/>
        </w:rPr>
      </w:pPr>
      <w:r>
        <w:rPr>
          <w:rFonts w:hint="eastAsia" w:ascii="仿宋" w:hAnsi="仿宋" w:eastAsia="仿宋" w:cs="仿宋"/>
          <w:b/>
          <w:bCs/>
          <w:szCs w:val="24"/>
          <w:lang w:eastAsia="zh-CN"/>
        </w:rPr>
        <w:t>严重违规处理措施：</w:t>
      </w:r>
    </w:p>
    <w:p w14:paraId="0D5D7394">
      <w:pPr>
        <w:pStyle w:val="10"/>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leftChars="0" w:firstLine="480" w:firstLineChars="200"/>
        <w:textAlignment w:val="auto"/>
        <w:rPr>
          <w:rFonts w:hint="eastAsia" w:ascii="仿宋" w:hAnsi="仿宋" w:eastAsia="仿宋" w:cs="仿宋"/>
          <w:lang w:eastAsia="zh-CN"/>
        </w:rPr>
      </w:pPr>
      <w:r>
        <w:rPr>
          <w:rFonts w:hint="eastAsia" w:ascii="仿宋" w:hAnsi="仿宋" w:eastAsia="仿宋" w:cs="仿宋"/>
          <w:b w:val="0"/>
          <w:lang w:eastAsia="zh-CN"/>
        </w:rPr>
        <w:t>经裁判委员会核实确认存在严重违规行为的，该队伍当届比赛全部成绩作废，取消评奖及晋级资格；</w:t>
      </w:r>
    </w:p>
    <w:p w14:paraId="2D5F05A1">
      <w:pPr>
        <w:pStyle w:val="10"/>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leftChars="0" w:firstLine="480" w:firstLineChars="200"/>
        <w:textAlignment w:val="auto"/>
        <w:rPr>
          <w:rFonts w:hint="eastAsia" w:ascii="仿宋" w:hAnsi="仿宋" w:eastAsia="仿宋" w:cs="仿宋"/>
          <w:lang w:eastAsia="zh-CN"/>
        </w:rPr>
      </w:pPr>
      <w:r>
        <w:rPr>
          <w:rFonts w:hint="eastAsia" w:ascii="仿宋" w:hAnsi="仿宋" w:eastAsia="仿宋" w:cs="仿宋"/>
          <w:b w:val="0"/>
          <w:lang w:eastAsia="zh-CN"/>
        </w:rPr>
        <w:t>情节特别严重的（包括但不限于团伙作弊、蓄意破坏赛场秩序、多次违规且拒不改正等），取消该队伍及主要责任人后续1至3届参赛资格，并通报所在学校；</w:t>
      </w:r>
    </w:p>
    <w:p w14:paraId="42AF368F">
      <w:pPr>
        <w:pStyle w:val="10"/>
        <w:keepNext w:val="0"/>
        <w:keepLines w:val="0"/>
        <w:pageBreakBefore w:val="0"/>
        <w:widowControl/>
        <w:numPr>
          <w:ilvl w:val="0"/>
          <w:numId w:val="13"/>
        </w:numPr>
        <w:kinsoku/>
        <w:wordWrap/>
        <w:overflowPunct/>
        <w:topLinePunct w:val="0"/>
        <w:autoSpaceDE/>
        <w:autoSpaceDN/>
        <w:bidi w:val="0"/>
        <w:adjustRightInd/>
        <w:snapToGrid/>
        <w:spacing w:after="0" w:line="360" w:lineRule="auto"/>
        <w:ind w:left="0" w:leftChars="0" w:firstLine="480" w:firstLineChars="200"/>
        <w:textAlignment w:val="auto"/>
        <w:rPr>
          <w:rFonts w:hint="eastAsia" w:ascii="仿宋" w:hAnsi="仿宋" w:eastAsia="仿宋" w:cs="仿宋"/>
          <w:lang w:eastAsia="zh-CN"/>
        </w:rPr>
      </w:pPr>
      <w:r>
        <w:rPr>
          <w:rFonts w:hint="eastAsia" w:ascii="仿宋" w:hAnsi="仿宋" w:eastAsia="仿宋" w:cs="仿宋"/>
          <w:b w:val="0"/>
          <w:lang w:eastAsia="zh-CN"/>
        </w:rPr>
        <w:t>违规认定由裁判委员会集体讨论、表决决定，参赛队伍享有申诉权，可在收到违规通知后24小时内向仲裁委员会提交书面申诉材料，仲裁委员会裁决为最终决定。</w:t>
      </w:r>
    </w:p>
    <w:p w14:paraId="2FA3BD74">
      <w:pPr>
        <w:pStyle w:val="2"/>
        <w:keepNext/>
        <w:keepLines/>
        <w:pageBreakBefore w:val="0"/>
        <w:widowControl/>
        <w:numPr>
          <w:ilvl w:val="0"/>
          <w:numId w:val="1"/>
        </w:numPr>
        <w:kinsoku/>
        <w:wordWrap/>
        <w:overflowPunct/>
        <w:topLinePunct w:val="0"/>
        <w:autoSpaceDE/>
        <w:autoSpaceDN/>
        <w:bidi w:val="0"/>
        <w:adjustRightInd w:val="0"/>
        <w:snapToGrid w:val="0"/>
        <w:spacing w:before="200" w:after="0" w:line="360" w:lineRule="auto"/>
        <w:ind w:left="0" w:leftChars="0" w:firstLine="0" w:firstLineChars="0"/>
        <w:textAlignment w:val="auto"/>
        <w:rPr>
          <w:rFonts w:hint="eastAsia" w:ascii="仿宋" w:hAnsi="仿宋" w:eastAsia="仿宋" w:cs="仿宋"/>
          <w:kern w:val="2"/>
          <w:sz w:val="30"/>
          <w:szCs w:val="24"/>
          <w:lang w:eastAsia="zh-CN"/>
        </w:rPr>
      </w:pPr>
      <w:r>
        <w:rPr>
          <w:rFonts w:hint="eastAsia" w:ascii="仿宋" w:hAnsi="仿宋" w:eastAsia="仿宋" w:cs="仿宋"/>
          <w:kern w:val="2"/>
          <w:sz w:val="30"/>
          <w:szCs w:val="24"/>
          <w:lang w:eastAsia="zh-CN"/>
        </w:rPr>
        <w:t>附则</w:t>
      </w:r>
    </w:p>
    <w:p w14:paraId="37A7DBFD">
      <w:pPr>
        <w:keepNext w:val="0"/>
        <w:keepLines w:val="0"/>
        <w:pageBreakBefore w:val="0"/>
        <w:widowControl/>
        <w:kinsoku/>
        <w:wordWrap/>
        <w:overflowPunct/>
        <w:topLinePunct w:val="0"/>
        <w:autoSpaceDE/>
        <w:autoSpaceDN/>
        <w:bidi w:val="0"/>
        <w:adjustRightInd/>
        <w:snapToGrid/>
        <w:spacing w:after="0" w:line="360" w:lineRule="auto"/>
        <w:ind w:firstLine="480" w:firstLineChars="200"/>
        <w:textAlignment w:val="auto"/>
        <w:rPr>
          <w:rFonts w:hint="eastAsia" w:ascii="仿宋" w:hAnsi="仿宋" w:eastAsia="仿宋" w:cs="仿宋"/>
          <w:lang w:eastAsia="zh-CN"/>
        </w:rPr>
      </w:pPr>
      <w:r>
        <w:rPr>
          <w:rFonts w:hint="eastAsia" w:ascii="仿宋" w:hAnsi="仿宋" w:eastAsia="仿宋" w:cs="仿宋"/>
          <w:lang w:eastAsia="zh-CN"/>
        </w:rPr>
        <w:t>本细则由ROBOTAC AIROBOTIC赛项组委会负责解释。因设备、场地、网络等不可抗力导致异常，由裁判委员会现场判定处理。赛事规则如有微调，以官方最新通知为准，不影响已完成评审结果。</w:t>
      </w:r>
    </w:p>
    <w:p w14:paraId="563DC568">
      <w:pPr>
        <w:keepNext w:val="0"/>
        <w:keepLines w:val="0"/>
        <w:pageBreakBefore w:val="0"/>
        <w:widowControl/>
        <w:numPr>
          <w:ilvl w:val="0"/>
          <w:numId w:val="0"/>
        </w:numPr>
        <w:tabs>
          <w:tab w:val="left" w:pos="0"/>
        </w:tabs>
        <w:kinsoku/>
        <w:wordWrap/>
        <w:overflowPunct/>
        <w:topLinePunct w:val="0"/>
        <w:autoSpaceDE/>
        <w:autoSpaceDN/>
        <w:bidi w:val="0"/>
        <w:adjustRightInd w:val="0"/>
        <w:snapToGrid w:val="0"/>
        <w:spacing w:after="0" w:line="360" w:lineRule="auto"/>
        <w:ind w:leftChars="0"/>
        <w:textAlignment w:val="auto"/>
        <w:outlineLvl w:val="1"/>
        <w:rPr>
          <w:rFonts w:hint="eastAsia" w:ascii="仿宋" w:hAnsi="仿宋" w:eastAsia="仿宋" w:cs="仿宋"/>
          <w:b w:val="0"/>
          <w:bCs w:val="0"/>
          <w:szCs w:val="24"/>
          <w:lang w:eastAsia="zh-CN"/>
        </w:rPr>
      </w:pPr>
    </w:p>
    <w:sectPr>
      <w:footerReference r:id="rId5"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1D49A">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75B944">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275B944">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6B177"/>
    <w:multiLevelType w:val="singleLevel"/>
    <w:tmpl w:val="8816B177"/>
    <w:lvl w:ilvl="0" w:tentative="0">
      <w:start w:val="1"/>
      <w:numFmt w:val="decimalEnclosedCircleChinese"/>
      <w:suff w:val="nothing"/>
      <w:lvlText w:val="%1　"/>
      <w:lvlJc w:val="left"/>
      <w:pPr>
        <w:ind w:left="0" w:firstLine="400"/>
      </w:pPr>
      <w:rPr>
        <w:rFonts w:hint="eastAsia"/>
      </w:rPr>
    </w:lvl>
  </w:abstractNum>
  <w:abstractNum w:abstractNumId="1">
    <w:nsid w:val="96D38594"/>
    <w:multiLevelType w:val="singleLevel"/>
    <w:tmpl w:val="96D38594"/>
    <w:lvl w:ilvl="0" w:tentative="0">
      <w:start w:val="1"/>
      <w:numFmt w:val="decimal"/>
      <w:lvlText w:val="%1)"/>
      <w:lvlJc w:val="left"/>
      <w:pPr>
        <w:ind w:left="425" w:hanging="425"/>
      </w:pPr>
      <w:rPr>
        <w:rFonts w:hint="default"/>
      </w:rPr>
    </w:lvl>
  </w:abstractNum>
  <w:abstractNum w:abstractNumId="2">
    <w:nsid w:val="AA5820FF"/>
    <w:multiLevelType w:val="singleLevel"/>
    <w:tmpl w:val="AA5820FF"/>
    <w:lvl w:ilvl="0" w:tentative="0">
      <w:start w:val="1"/>
      <w:numFmt w:val="decimal"/>
      <w:lvlText w:val="(%1)"/>
      <w:lvlJc w:val="left"/>
      <w:pPr>
        <w:ind w:left="425" w:hanging="425"/>
      </w:pPr>
      <w:rPr>
        <w:rFonts w:hint="default"/>
      </w:rPr>
    </w:lvl>
  </w:abstractNum>
  <w:abstractNum w:abstractNumId="3">
    <w:nsid w:val="C285D31B"/>
    <w:multiLevelType w:val="singleLevel"/>
    <w:tmpl w:val="C285D31B"/>
    <w:lvl w:ilvl="0" w:tentative="0">
      <w:start w:val="1"/>
      <w:numFmt w:val="decimal"/>
      <w:lvlText w:val="(%1)"/>
      <w:lvlJc w:val="left"/>
      <w:pPr>
        <w:ind w:left="425" w:hanging="425"/>
      </w:pPr>
      <w:rPr>
        <w:rFonts w:hint="default"/>
      </w:rPr>
    </w:lvl>
  </w:abstractNum>
  <w:abstractNum w:abstractNumId="4">
    <w:nsid w:val="C3F3C053"/>
    <w:multiLevelType w:val="multilevel"/>
    <w:tmpl w:val="C3F3C053"/>
    <w:lvl w:ilvl="0" w:tentative="0">
      <w:start w:val="1"/>
      <w:numFmt w:val="decimal"/>
      <w:lvlText w:val="(%1)"/>
      <w:lvlJc w:val="left"/>
      <w:pPr>
        <w:ind w:left="425" w:hanging="425"/>
      </w:pPr>
      <w:rPr>
        <w:rFonts w:hint="default"/>
        <w:b/>
        <w:bCs/>
      </w:rPr>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5">
    <w:nsid w:val="D3A3FE7F"/>
    <w:multiLevelType w:val="singleLevel"/>
    <w:tmpl w:val="D3A3FE7F"/>
    <w:lvl w:ilvl="0" w:tentative="0">
      <w:start w:val="1"/>
      <w:numFmt w:val="decimal"/>
      <w:lvlText w:val="(%1)"/>
      <w:lvlJc w:val="left"/>
      <w:pPr>
        <w:ind w:left="425" w:hanging="425"/>
      </w:pPr>
      <w:rPr>
        <w:rFonts w:hint="default"/>
      </w:rPr>
    </w:lvl>
  </w:abstractNum>
  <w:abstractNum w:abstractNumId="6">
    <w:nsid w:val="EF66B945"/>
    <w:multiLevelType w:val="singleLevel"/>
    <w:tmpl w:val="EF66B945"/>
    <w:lvl w:ilvl="0" w:tentative="0">
      <w:start w:val="1"/>
      <w:numFmt w:val="decimalEnclosedCircleChinese"/>
      <w:suff w:val="nothing"/>
      <w:lvlText w:val="%1　"/>
      <w:lvlJc w:val="left"/>
      <w:pPr>
        <w:ind w:left="0" w:firstLine="400"/>
      </w:pPr>
      <w:rPr>
        <w:rFonts w:hint="eastAsia"/>
        <w:b/>
        <w:bCs/>
      </w:rPr>
    </w:lvl>
  </w:abstractNum>
  <w:abstractNum w:abstractNumId="7">
    <w:nsid w:val="FBA852BA"/>
    <w:multiLevelType w:val="singleLevel"/>
    <w:tmpl w:val="FBA852BA"/>
    <w:lvl w:ilvl="0" w:tentative="0">
      <w:start w:val="1"/>
      <w:numFmt w:val="decimalEnclosedCircleChinese"/>
      <w:suff w:val="nothing"/>
      <w:lvlText w:val="%1　"/>
      <w:lvlJc w:val="left"/>
      <w:pPr>
        <w:ind w:left="0" w:firstLine="400"/>
      </w:pPr>
      <w:rPr>
        <w:rFonts w:hint="eastAsia"/>
      </w:rPr>
    </w:lvl>
  </w:abstractNum>
  <w:abstractNum w:abstractNumId="8">
    <w:nsid w:val="037444F7"/>
    <w:multiLevelType w:val="singleLevel"/>
    <w:tmpl w:val="037444F7"/>
    <w:lvl w:ilvl="0" w:tentative="0">
      <w:start w:val="1"/>
      <w:numFmt w:val="decimalEnclosedCircleChinese"/>
      <w:suff w:val="nothing"/>
      <w:lvlText w:val="%1　"/>
      <w:lvlJc w:val="left"/>
      <w:pPr>
        <w:ind w:left="0" w:firstLine="400"/>
      </w:pPr>
      <w:rPr>
        <w:rFonts w:hint="eastAsia"/>
      </w:rPr>
    </w:lvl>
  </w:abstractNum>
  <w:abstractNum w:abstractNumId="9">
    <w:nsid w:val="1A267B7F"/>
    <w:multiLevelType w:val="singleLevel"/>
    <w:tmpl w:val="1A267B7F"/>
    <w:lvl w:ilvl="0" w:tentative="0">
      <w:start w:val="1"/>
      <w:numFmt w:val="decimal"/>
      <w:lvlText w:val="(%1)"/>
      <w:lvlJc w:val="left"/>
      <w:pPr>
        <w:ind w:left="425" w:hanging="425"/>
      </w:pPr>
      <w:rPr>
        <w:rFonts w:hint="default"/>
        <w:b/>
        <w:bCs/>
      </w:rPr>
    </w:lvl>
  </w:abstractNum>
  <w:abstractNum w:abstractNumId="10">
    <w:nsid w:val="42492C35"/>
    <w:multiLevelType w:val="multilevel"/>
    <w:tmpl w:val="42492C35"/>
    <w:lvl w:ilvl="0" w:tentative="0">
      <w:start w:val="1"/>
      <w:numFmt w:val="bullet"/>
      <w:lvlText w:val=""/>
      <w:lvlJc w:val="left"/>
      <w:pPr>
        <w:ind w:left="982" w:hanging="420"/>
      </w:pPr>
      <w:rPr>
        <w:rFonts w:hint="default" w:ascii="Wingdings" w:hAnsi="Wingdings"/>
        <w:sz w:val="28"/>
        <w:szCs w:val="28"/>
      </w:rPr>
    </w:lvl>
    <w:lvl w:ilvl="1" w:tentative="0">
      <w:start w:val="1"/>
      <w:numFmt w:val="lowerLetter"/>
      <w:lvlText w:val="%2)"/>
      <w:lvlJc w:val="left"/>
      <w:pPr>
        <w:ind w:left="1402" w:hanging="420"/>
      </w:pPr>
    </w:lvl>
    <w:lvl w:ilvl="2" w:tentative="0">
      <w:start w:val="1"/>
      <w:numFmt w:val="lowerRoman"/>
      <w:lvlText w:val="%3."/>
      <w:lvlJc w:val="right"/>
      <w:pPr>
        <w:ind w:left="1822" w:hanging="420"/>
      </w:pPr>
    </w:lvl>
    <w:lvl w:ilvl="3" w:tentative="0">
      <w:start w:val="1"/>
      <w:numFmt w:val="decimal"/>
      <w:lvlText w:val="%4."/>
      <w:lvlJc w:val="left"/>
      <w:pPr>
        <w:ind w:left="2242" w:hanging="420"/>
      </w:pPr>
    </w:lvl>
    <w:lvl w:ilvl="4" w:tentative="0">
      <w:start w:val="1"/>
      <w:numFmt w:val="lowerLetter"/>
      <w:lvlText w:val="%5)"/>
      <w:lvlJc w:val="left"/>
      <w:pPr>
        <w:ind w:left="2662" w:hanging="420"/>
      </w:pPr>
    </w:lvl>
    <w:lvl w:ilvl="5" w:tentative="0">
      <w:start w:val="1"/>
      <w:numFmt w:val="lowerRoman"/>
      <w:lvlText w:val="%6."/>
      <w:lvlJc w:val="right"/>
      <w:pPr>
        <w:ind w:left="3082" w:hanging="420"/>
      </w:pPr>
    </w:lvl>
    <w:lvl w:ilvl="6" w:tentative="0">
      <w:start w:val="1"/>
      <w:numFmt w:val="decimal"/>
      <w:lvlText w:val="%7."/>
      <w:lvlJc w:val="left"/>
      <w:pPr>
        <w:ind w:left="3502" w:hanging="420"/>
      </w:pPr>
    </w:lvl>
    <w:lvl w:ilvl="7" w:tentative="0">
      <w:start w:val="1"/>
      <w:numFmt w:val="lowerLetter"/>
      <w:lvlText w:val="%8)"/>
      <w:lvlJc w:val="left"/>
      <w:pPr>
        <w:ind w:left="3922" w:hanging="420"/>
      </w:pPr>
    </w:lvl>
    <w:lvl w:ilvl="8" w:tentative="0">
      <w:start w:val="1"/>
      <w:numFmt w:val="lowerRoman"/>
      <w:lvlText w:val="%9."/>
      <w:lvlJc w:val="right"/>
      <w:pPr>
        <w:ind w:left="4342" w:hanging="420"/>
      </w:pPr>
    </w:lvl>
  </w:abstractNum>
  <w:abstractNum w:abstractNumId="11">
    <w:nsid w:val="59D9641C"/>
    <w:multiLevelType w:val="singleLevel"/>
    <w:tmpl w:val="59D9641C"/>
    <w:lvl w:ilvl="0" w:tentative="0">
      <w:start w:val="1"/>
      <w:numFmt w:val="chineseCounting"/>
      <w:suff w:val="nothing"/>
      <w:lvlText w:val="%1、"/>
      <w:lvlJc w:val="left"/>
      <w:pPr>
        <w:ind w:left="0" w:firstLine="420"/>
      </w:pPr>
      <w:rPr>
        <w:rFonts w:hint="eastAsia"/>
      </w:rPr>
    </w:lvl>
  </w:abstractNum>
  <w:abstractNum w:abstractNumId="12">
    <w:nsid w:val="60572377"/>
    <w:multiLevelType w:val="singleLevel"/>
    <w:tmpl w:val="60572377"/>
    <w:lvl w:ilvl="0" w:tentative="0">
      <w:start w:val="1"/>
      <w:numFmt w:val="decimal"/>
      <w:lvlText w:val="(%1)"/>
      <w:lvlJc w:val="left"/>
      <w:pPr>
        <w:ind w:left="425" w:hanging="425"/>
      </w:pPr>
      <w:rPr>
        <w:rFonts w:hint="default"/>
        <w:b/>
        <w:bCs/>
      </w:rPr>
    </w:lvl>
  </w:abstractNum>
  <w:num w:numId="1">
    <w:abstractNumId w:val="11"/>
  </w:num>
  <w:num w:numId="2">
    <w:abstractNumId w:val="2"/>
  </w:num>
  <w:num w:numId="3">
    <w:abstractNumId w:val="12"/>
  </w:num>
  <w:num w:numId="4">
    <w:abstractNumId w:val="3"/>
  </w:num>
  <w:num w:numId="5">
    <w:abstractNumId w:val="10"/>
  </w:num>
  <w:num w:numId="6">
    <w:abstractNumId w:val="0"/>
  </w:num>
  <w:num w:numId="7">
    <w:abstractNumId w:val="4"/>
  </w:num>
  <w:num w:numId="8">
    <w:abstractNumId w:val="6"/>
  </w:num>
  <w:num w:numId="9">
    <w:abstractNumId w:val="1"/>
  </w:num>
  <w:num w:numId="10">
    <w:abstractNumId w:val="9"/>
  </w:num>
  <w:num w:numId="11">
    <w:abstractNumId w:val="5"/>
  </w:num>
  <w:num w:numId="12">
    <w:abstractNumId w:val="8"/>
  </w:num>
  <w:num w:numId="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2002A5"/>
    <w:rsid w:val="542002A5"/>
    <w:rsid w:val="75135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000000"/>
      <w:sz w:val="32"/>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0000"/>
      <w:sz w:val="28"/>
      <w:szCs w:val="26"/>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3491</Words>
  <Characters>3664</Characters>
  <Lines>0</Lines>
  <Paragraphs>0</Paragraphs>
  <TotalTime>62</TotalTime>
  <ScaleCrop>false</ScaleCrop>
  <LinksUpToDate>false</LinksUpToDate>
  <CharactersWithSpaces>3751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2026-06-25T09:01:00Z</dcterms:created>
  <dc:creator>Admin</dc:creator>
  <cp:lastModifiedBy>微信用户</cp:lastModifiedBy>
  <dcterms:modified xsi:type="dcterms:W3CDTF">2026-06-30T03:32:58Z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C08E6646F70648B380E72381AB97E767_13</vt:lpwstr>
  </property>
  <property fmtid="{D5CDD505-2E9C-101B-9397-08002B2CF9AE}" pid="4" name="KSOTemplateDocerSaveRecord">
    <vt:lpwstr>eyJoZGlkIjoiMGYzY2EyYWQ3ODA1NGQ2NGJiODNmYjJiOGZhMmNjMmUiLCJ1c2VySWQiOiIzMTM1OTA4MzAifQ==</vt:lpwstr>
  </property>
</Properties>
</file>