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7EC5" w14:textId="63873379" w:rsidR="00B3587B" w:rsidRDefault="00B3587B" w:rsidP="00B3587B">
      <w:pPr>
        <w:pStyle w:val="Heading1"/>
      </w:pPr>
      <w:r>
        <w:t>TRAITEMENT DES CHARGES INDIRECTES</w:t>
      </w:r>
    </w:p>
    <w:p w14:paraId="247B65A6" w14:textId="36E7B354" w:rsidR="000D4237" w:rsidRDefault="000D4237" w:rsidP="00B3587B">
      <w:r w:rsidRPr="000D4237">
        <w:t>A la différence de charte directe, les charges indirectes doiven</w:t>
      </w:r>
      <w:r>
        <w:t>t être reparties avant d’être imputées aux différents couts.</w:t>
      </w:r>
    </w:p>
    <w:p w14:paraId="6E851866" w14:textId="2B56FB0D" w:rsidR="000D4237" w:rsidRDefault="000D4237">
      <w:r>
        <w:t>La méthode des sections homogène (MSH) est souvent utilisée pour repartir les charges indirectes.</w:t>
      </w:r>
    </w:p>
    <w:p w14:paraId="78E33254" w14:textId="0D4E51BE" w:rsidR="000D4237" w:rsidRDefault="000D4237" w:rsidP="000D4237">
      <w:pPr>
        <w:pStyle w:val="ListParagraph"/>
        <w:numPr>
          <w:ilvl w:val="0"/>
          <w:numId w:val="1"/>
        </w:numPr>
        <w:rPr>
          <w:u w:val="single"/>
        </w:rPr>
      </w:pPr>
      <w:r w:rsidRPr="000D4237">
        <w:rPr>
          <w:u w:val="single"/>
        </w:rPr>
        <w:t xml:space="preserve">Caractéristiques </w:t>
      </w:r>
    </w:p>
    <w:p w14:paraId="10A2B0CE" w14:textId="20F6AD21" w:rsidR="000D4237" w:rsidRDefault="00E00332" w:rsidP="000D4237">
      <w:pPr>
        <w:pStyle w:val="ListParagraph"/>
        <w:ind w:left="765"/>
      </w:pPr>
      <w:r w:rsidRPr="00E00332">
        <w:t>Une section est un compartiment</w:t>
      </w:r>
      <w:r>
        <w:t xml:space="preserve">(subdivision ou sous partie) d’ordre comptable(pour des besoins de calcul) ou sont regroupes des frais indirects. Les frais inscrits dans une section doivent pouvoir </w:t>
      </w:r>
      <w:r w:rsidR="00792F59">
        <w:t>être</w:t>
      </w:r>
      <w:r>
        <w:t xml:space="preserve"> mesures par une </w:t>
      </w:r>
      <w:r w:rsidR="00792F59">
        <w:t>unité</w:t>
      </w:r>
      <w:r>
        <w:t xml:space="preserve"> </w:t>
      </w:r>
      <w:r w:rsidR="00792F59">
        <w:t>appelée</w:t>
      </w:r>
      <w:r>
        <w:t xml:space="preserve"> </w:t>
      </w:r>
      <w:r w:rsidR="00792F59">
        <w:t>unité</w:t>
      </w:r>
      <w:r>
        <w:t xml:space="preserve"> d’œuvre(UO).</w:t>
      </w:r>
    </w:p>
    <w:p w14:paraId="1B982D80" w14:textId="4276E16B" w:rsidR="00E00332" w:rsidRDefault="00E00332" w:rsidP="000D4237">
      <w:pPr>
        <w:pStyle w:val="ListParagraph"/>
        <w:ind w:left="765"/>
      </w:pPr>
      <w:r>
        <w:t xml:space="preserve">Les sections doivent </w:t>
      </w:r>
      <w:r w:rsidR="00792F59">
        <w:t>être</w:t>
      </w:r>
      <w:r>
        <w:t xml:space="preserve"> classes en :</w:t>
      </w:r>
    </w:p>
    <w:p w14:paraId="5AB522B5" w14:textId="3D1EBE5E" w:rsidR="00E00332" w:rsidRDefault="00792F59" w:rsidP="00E00332">
      <w:pPr>
        <w:pStyle w:val="ListParagraph"/>
        <w:numPr>
          <w:ilvl w:val="0"/>
          <w:numId w:val="2"/>
        </w:numPr>
      </w:pPr>
      <w:r>
        <w:t>Sections principales c’est-à-dire celles qui interviennent directement dans le cycle d’exploitation de l’entreprise.</w:t>
      </w:r>
    </w:p>
    <w:p w14:paraId="5F79F815" w14:textId="65B29BF7" w:rsidR="00792F59" w:rsidRDefault="00792F59" w:rsidP="00E00332">
      <w:pPr>
        <w:pStyle w:val="ListParagraph"/>
        <w:numPr>
          <w:ilvl w:val="0"/>
          <w:numId w:val="2"/>
        </w:numPr>
      </w:pPr>
      <w:r>
        <w:t>Sections auxiliaires c’est-à-dire celles qui fournissent les services de la prestation.</w:t>
      </w:r>
    </w:p>
    <w:p w14:paraId="4622A787" w14:textId="6844D87D" w:rsidR="00E85843" w:rsidRDefault="00E85843" w:rsidP="00E85843">
      <w:pPr>
        <w:pStyle w:val="ListParagraph"/>
        <w:numPr>
          <w:ilvl w:val="0"/>
          <w:numId w:val="1"/>
        </w:numPr>
        <w:rPr>
          <w:u w:val="single"/>
        </w:rPr>
      </w:pPr>
      <w:r w:rsidRPr="00E85843">
        <w:rPr>
          <w:u w:val="single"/>
        </w:rPr>
        <w:t>Méthodologie</w:t>
      </w:r>
    </w:p>
    <w:p w14:paraId="34321531" w14:textId="059DC668" w:rsidR="00E85843" w:rsidRDefault="00DA671E" w:rsidP="00E85843">
      <w:pPr>
        <w:pStyle w:val="ListParagraph"/>
        <w:ind w:left="765"/>
      </w:pPr>
      <w:r w:rsidRPr="00DA671E">
        <w:t>La</w:t>
      </w:r>
      <w:r>
        <w:t xml:space="preserve"> </w:t>
      </w:r>
      <w:r w:rsidRPr="00DA671E">
        <w:t>MSH</w:t>
      </w:r>
      <w:r>
        <w:rPr>
          <w:u w:val="single"/>
        </w:rPr>
        <w:t xml:space="preserve"> </w:t>
      </w:r>
      <w:r>
        <w:t xml:space="preserve">est mise en œuvre au moyen d’un document </w:t>
      </w:r>
      <w:r w:rsidR="00DC05AC">
        <w:t>appelé</w:t>
      </w:r>
      <w:r>
        <w:t xml:space="preserve"> table de répartition construis en trois phases :</w:t>
      </w:r>
    </w:p>
    <w:p w14:paraId="44C99B71" w14:textId="77777777" w:rsidR="00DA671E" w:rsidRDefault="00DA671E" w:rsidP="00DA671E">
      <w:pPr>
        <w:pStyle w:val="ListParagraph"/>
        <w:numPr>
          <w:ilvl w:val="0"/>
          <w:numId w:val="3"/>
        </w:numPr>
      </w:pPr>
      <w:r>
        <w:t xml:space="preserve">Répartition primaire </w:t>
      </w:r>
    </w:p>
    <w:p w14:paraId="71A14AFA" w14:textId="57045F3D" w:rsidR="00DA671E" w:rsidRDefault="00DA671E" w:rsidP="00DA671E">
      <w:pPr>
        <w:pStyle w:val="ListParagraph"/>
        <w:numPr>
          <w:ilvl w:val="0"/>
          <w:numId w:val="3"/>
        </w:numPr>
      </w:pPr>
      <w:r>
        <w:t>Répartition secondaire</w:t>
      </w:r>
    </w:p>
    <w:p w14:paraId="60F9E586" w14:textId="565E1D3F" w:rsidR="00DA671E" w:rsidRDefault="00DA671E" w:rsidP="00DA671E">
      <w:pPr>
        <w:pStyle w:val="ListParagraph"/>
        <w:numPr>
          <w:ilvl w:val="0"/>
          <w:numId w:val="3"/>
        </w:numPr>
      </w:pPr>
      <w:r>
        <w:t>Calcul des couts</w:t>
      </w:r>
    </w:p>
    <w:p w14:paraId="7394DFDC" w14:textId="4B5DE0D5" w:rsidR="00A57899" w:rsidRDefault="00A57899" w:rsidP="00A57899">
      <w:pPr>
        <w:pStyle w:val="ListParagraph"/>
        <w:numPr>
          <w:ilvl w:val="0"/>
          <w:numId w:val="5"/>
        </w:numPr>
      </w:pPr>
      <w:r>
        <w:t xml:space="preserve">Répartition </w:t>
      </w:r>
    </w:p>
    <w:p w14:paraId="1AC10B19" w14:textId="36989EAF" w:rsidR="00DC05AC" w:rsidRDefault="00DC05AC" w:rsidP="00DC05AC">
      <w:pPr>
        <w:pStyle w:val="ListParagraph"/>
        <w:numPr>
          <w:ilvl w:val="0"/>
          <w:numId w:val="4"/>
        </w:numPr>
      </w:pPr>
      <w:r>
        <w:t>Répartition primaire</w:t>
      </w:r>
      <w:r w:rsidR="00A57899">
        <w:t>(RP)</w:t>
      </w:r>
    </w:p>
    <w:p w14:paraId="39F0C9FA" w14:textId="40F60B6C" w:rsidR="00DA671E" w:rsidRDefault="00DA671E" w:rsidP="00DA671E">
      <w:r>
        <w:t xml:space="preserve">Elle consiste </w:t>
      </w:r>
      <w:r w:rsidR="00DC05AC">
        <w:t>à</w:t>
      </w:r>
      <w:r>
        <w:t xml:space="preserve"> </w:t>
      </w:r>
      <w:r w:rsidR="00DC05AC">
        <w:t>ventiler</w:t>
      </w:r>
      <w:r>
        <w:t xml:space="preserve"> les frais indirects entre les . </w:t>
      </w:r>
      <w:r w:rsidR="00DC05AC">
        <w:t>Cette</w:t>
      </w:r>
      <w:r>
        <w:t xml:space="preserve"> ventilation se fait </w:t>
      </w:r>
      <w:r w:rsidR="00DC05AC">
        <w:t>à</w:t>
      </w:r>
      <w:r>
        <w:t xml:space="preserve"> l’aide de </w:t>
      </w:r>
      <w:r w:rsidR="00DC05AC">
        <w:t>clés</w:t>
      </w:r>
      <w:r>
        <w:t xml:space="preserve"> qui peuvent </w:t>
      </w:r>
      <w:r w:rsidR="00DC05AC">
        <w:t>être</w:t>
      </w:r>
      <w:r>
        <w:t xml:space="preserve"> </w:t>
      </w:r>
      <w:r w:rsidR="00DC05AC">
        <w:t>des pourcentages</w:t>
      </w:r>
      <w:r>
        <w:t>, des fractions, ou des nombres</w:t>
      </w:r>
      <w:r w:rsidR="00DC05AC">
        <w:t xml:space="preserve"> </w:t>
      </w:r>
      <w:r>
        <w:t>(</w:t>
      </w:r>
      <w:r w:rsidR="00DC05AC">
        <w:t xml:space="preserve"> à</w:t>
      </w:r>
      <w:r>
        <w:t xml:space="preserve"> convertir en fraction).</w:t>
      </w:r>
    </w:p>
    <w:p w14:paraId="0641F721" w14:textId="364C0178" w:rsidR="00DA671E" w:rsidRPr="00DC05AC" w:rsidRDefault="00DC05AC" w:rsidP="00DA671E">
      <w:r>
        <w:rPr>
          <w:u w:val="single"/>
        </w:rPr>
        <w:t>Ex :</w:t>
      </w:r>
      <w:r>
        <w:t xml:space="preserve"> voir fiche numero 1</w:t>
      </w:r>
    </w:p>
    <w:p w14:paraId="10E89A6F" w14:textId="4BDB780D" w:rsidR="00DA671E" w:rsidRDefault="00A57899" w:rsidP="00A57899">
      <w:pPr>
        <w:pStyle w:val="ListParagraph"/>
        <w:numPr>
          <w:ilvl w:val="0"/>
          <w:numId w:val="4"/>
        </w:numPr>
      </w:pPr>
      <w:r>
        <w:t>Répartition secondaire(RS)</w:t>
      </w:r>
    </w:p>
    <w:p w14:paraId="3D996ADB" w14:textId="57349B71" w:rsidR="00335645" w:rsidRDefault="00335645" w:rsidP="00335645">
      <w:pPr>
        <w:pStyle w:val="ListParagraph"/>
        <w:numPr>
          <w:ilvl w:val="0"/>
          <w:numId w:val="7"/>
        </w:numPr>
      </w:pPr>
      <w:r>
        <w:t>Translation en escaliers</w:t>
      </w:r>
    </w:p>
    <w:p w14:paraId="32EDD9EC" w14:textId="5D0E9774" w:rsidR="00A57899" w:rsidRDefault="00C01940" w:rsidP="00551BDA">
      <w:pPr>
        <w:pStyle w:val="NoSpacing"/>
      </w:pPr>
      <w:r>
        <w:t xml:space="preserve">Il s’agit d’annuler les sections auxiliaires l’une après l’autre </w:t>
      </w:r>
      <w:r w:rsidR="00551BDA">
        <w:t>dans un ordre bien determine.</w:t>
      </w:r>
    </w:p>
    <w:p w14:paraId="13D523CC" w14:textId="2E44D72E" w:rsidR="00551BDA" w:rsidRDefault="00551BDA" w:rsidP="00551BDA">
      <w:pPr>
        <w:pStyle w:val="NoSpacing"/>
      </w:pPr>
      <w:r>
        <w:t xml:space="preserve">Effectuons la répartition secondaire des charges indirectes de sorte que </w:t>
      </w:r>
    </w:p>
    <w:p w14:paraId="21FFCCD0" w14:textId="6746D37C" w:rsidR="00551BDA" w:rsidRDefault="00551BDA" w:rsidP="00551BDA">
      <w:pPr>
        <w:pStyle w:val="NoSpacing"/>
        <w:numPr>
          <w:ilvl w:val="0"/>
          <w:numId w:val="6"/>
        </w:numPr>
      </w:pPr>
      <w:r>
        <w:t>La section A fournit 10% a B, 20% a C, 40% a D, 30% a E</w:t>
      </w:r>
      <w:r w:rsidR="00335645">
        <w:t>.</w:t>
      </w:r>
    </w:p>
    <w:p w14:paraId="232C3B5A" w14:textId="1894F57B" w:rsidR="00335645" w:rsidRDefault="00335645" w:rsidP="00551BDA">
      <w:pPr>
        <w:pStyle w:val="NoSpacing"/>
        <w:numPr>
          <w:ilvl w:val="0"/>
          <w:numId w:val="6"/>
        </w:numPr>
      </w:pPr>
      <w:r>
        <w:t>La section B donne 20% a C, 50% a D, 30% a E</w:t>
      </w:r>
    </w:p>
    <w:p w14:paraId="259A28C8" w14:textId="77777777" w:rsidR="00335645" w:rsidRDefault="00335645" w:rsidP="00335645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3"/>
        <w:gridCol w:w="1229"/>
        <w:gridCol w:w="1192"/>
        <w:gridCol w:w="1192"/>
        <w:gridCol w:w="1192"/>
        <w:gridCol w:w="1192"/>
        <w:gridCol w:w="1156"/>
      </w:tblGrid>
      <w:tr w:rsidR="00F37062" w14:paraId="22012F6C" w14:textId="77777777" w:rsidTr="00335645">
        <w:tc>
          <w:tcPr>
            <w:tcW w:w="1288" w:type="dxa"/>
          </w:tcPr>
          <w:p w14:paraId="7BBEA36A" w14:textId="4225EDA4" w:rsidR="00335645" w:rsidRDefault="00335645" w:rsidP="00335645">
            <w:pPr>
              <w:pStyle w:val="NoSpacing"/>
            </w:pPr>
            <w:r>
              <w:t>Charge</w:t>
            </w:r>
          </w:p>
          <w:p w14:paraId="4A764E18" w14:textId="26D2B035" w:rsidR="00335645" w:rsidRDefault="00335645" w:rsidP="00335645">
            <w:pPr>
              <w:pStyle w:val="NoSpacing"/>
            </w:pPr>
          </w:p>
        </w:tc>
        <w:tc>
          <w:tcPr>
            <w:tcW w:w="1288" w:type="dxa"/>
          </w:tcPr>
          <w:p w14:paraId="379ED8AB" w14:textId="2AFD6AD6" w:rsidR="00335645" w:rsidRDefault="00335645" w:rsidP="00335645">
            <w:pPr>
              <w:pStyle w:val="NoSpacing"/>
            </w:pPr>
            <w:r>
              <w:t>Montants</w:t>
            </w:r>
          </w:p>
        </w:tc>
        <w:tc>
          <w:tcPr>
            <w:tcW w:w="1288" w:type="dxa"/>
          </w:tcPr>
          <w:p w14:paraId="63EAEBD0" w14:textId="56F868F0" w:rsidR="00335645" w:rsidRDefault="00335645" w:rsidP="00335645">
            <w:pPr>
              <w:pStyle w:val="NoSpacing"/>
            </w:pPr>
            <w:r>
              <w:t>A</w:t>
            </w:r>
          </w:p>
        </w:tc>
        <w:tc>
          <w:tcPr>
            <w:tcW w:w="1288" w:type="dxa"/>
          </w:tcPr>
          <w:p w14:paraId="466586A5" w14:textId="12DE9535" w:rsidR="00335645" w:rsidRDefault="00335645" w:rsidP="00335645">
            <w:pPr>
              <w:pStyle w:val="NoSpacing"/>
            </w:pPr>
            <w:r>
              <w:t>B</w:t>
            </w:r>
          </w:p>
        </w:tc>
        <w:tc>
          <w:tcPr>
            <w:tcW w:w="1288" w:type="dxa"/>
          </w:tcPr>
          <w:p w14:paraId="3FEB39FD" w14:textId="000ED9D1" w:rsidR="00335645" w:rsidRDefault="00335645" w:rsidP="00335645">
            <w:pPr>
              <w:pStyle w:val="NoSpacing"/>
            </w:pPr>
            <w:r>
              <w:t>C</w:t>
            </w:r>
          </w:p>
        </w:tc>
        <w:tc>
          <w:tcPr>
            <w:tcW w:w="1288" w:type="dxa"/>
          </w:tcPr>
          <w:p w14:paraId="3E1C74C7" w14:textId="54C6C5F2" w:rsidR="00335645" w:rsidRDefault="00335645" w:rsidP="00335645">
            <w:pPr>
              <w:pStyle w:val="NoSpacing"/>
            </w:pPr>
            <w:r>
              <w:t>D</w:t>
            </w:r>
          </w:p>
        </w:tc>
        <w:tc>
          <w:tcPr>
            <w:tcW w:w="1288" w:type="dxa"/>
          </w:tcPr>
          <w:p w14:paraId="64B8D646" w14:textId="68A4B665" w:rsidR="00335645" w:rsidRDefault="00335645" w:rsidP="00335645">
            <w:pPr>
              <w:pStyle w:val="NoSpacing"/>
            </w:pPr>
            <w:r>
              <w:t>E</w:t>
            </w:r>
          </w:p>
        </w:tc>
      </w:tr>
      <w:tr w:rsidR="00F37062" w14:paraId="314DA443" w14:textId="77777777" w:rsidTr="00335645">
        <w:tc>
          <w:tcPr>
            <w:tcW w:w="1288" w:type="dxa"/>
          </w:tcPr>
          <w:p w14:paraId="2284FC9B" w14:textId="2D3E98B9" w:rsidR="00335645" w:rsidRDefault="00335645" w:rsidP="00335645">
            <w:pPr>
              <w:pStyle w:val="NoSpacing"/>
            </w:pPr>
            <w:r>
              <w:t>TP</w:t>
            </w:r>
          </w:p>
        </w:tc>
        <w:tc>
          <w:tcPr>
            <w:tcW w:w="1288" w:type="dxa"/>
          </w:tcPr>
          <w:p w14:paraId="62DB8CE4" w14:textId="711FB9AB" w:rsidR="00335645" w:rsidRDefault="00F37062" w:rsidP="00335645">
            <w:pPr>
              <w:pStyle w:val="NoSpacing"/>
            </w:pPr>
            <w:r>
              <w:t>21520000</w:t>
            </w:r>
          </w:p>
        </w:tc>
        <w:tc>
          <w:tcPr>
            <w:tcW w:w="1288" w:type="dxa"/>
          </w:tcPr>
          <w:p w14:paraId="1BB8E4B7" w14:textId="36D12914" w:rsidR="00335645" w:rsidRDefault="00722BAC" w:rsidP="00335645">
            <w:pPr>
              <w:pStyle w:val="NoSpacing"/>
            </w:pPr>
            <w:r>
              <w:t>3170000</w:t>
            </w:r>
          </w:p>
        </w:tc>
        <w:tc>
          <w:tcPr>
            <w:tcW w:w="1288" w:type="dxa"/>
          </w:tcPr>
          <w:p w14:paraId="1F2B0AD0" w14:textId="2E1372F1" w:rsidR="00335645" w:rsidRDefault="00F37062" w:rsidP="00335645">
            <w:pPr>
              <w:pStyle w:val="NoSpacing"/>
            </w:pPr>
            <w:r>
              <w:t>3170000</w:t>
            </w:r>
          </w:p>
        </w:tc>
        <w:tc>
          <w:tcPr>
            <w:tcW w:w="1288" w:type="dxa"/>
          </w:tcPr>
          <w:p w14:paraId="514A883B" w14:textId="0F3A347C" w:rsidR="00335645" w:rsidRDefault="00F37062" w:rsidP="00335645">
            <w:pPr>
              <w:pStyle w:val="NoSpacing"/>
            </w:pPr>
            <w:r>
              <w:t>3563000</w:t>
            </w:r>
          </w:p>
        </w:tc>
        <w:tc>
          <w:tcPr>
            <w:tcW w:w="1288" w:type="dxa"/>
          </w:tcPr>
          <w:p w14:paraId="335921E4" w14:textId="6FD3DAE4" w:rsidR="00335645" w:rsidRDefault="00F37062" w:rsidP="00335645">
            <w:pPr>
              <w:pStyle w:val="NoSpacing"/>
            </w:pPr>
            <w:r>
              <w:t>5000000</w:t>
            </w:r>
          </w:p>
        </w:tc>
        <w:tc>
          <w:tcPr>
            <w:tcW w:w="1288" w:type="dxa"/>
          </w:tcPr>
          <w:p w14:paraId="7D75F53A" w14:textId="1D1C5475" w:rsidR="00335645" w:rsidRDefault="00F37062" w:rsidP="00335645">
            <w:pPr>
              <w:pStyle w:val="NoSpacing"/>
            </w:pPr>
            <w:r>
              <w:t>661500</w:t>
            </w:r>
          </w:p>
        </w:tc>
      </w:tr>
      <w:tr w:rsidR="00F37062" w14:paraId="26CD1641" w14:textId="77777777" w:rsidTr="00335645">
        <w:tc>
          <w:tcPr>
            <w:tcW w:w="1288" w:type="dxa"/>
          </w:tcPr>
          <w:p w14:paraId="0AA3714A" w14:textId="056D3F4C" w:rsidR="00335645" w:rsidRDefault="00335645" w:rsidP="00335645">
            <w:pPr>
              <w:pStyle w:val="NoSpacing"/>
            </w:pPr>
            <w:r>
              <w:t>A</w:t>
            </w:r>
          </w:p>
        </w:tc>
        <w:tc>
          <w:tcPr>
            <w:tcW w:w="1288" w:type="dxa"/>
          </w:tcPr>
          <w:p w14:paraId="3B3DDA48" w14:textId="426422AC" w:rsidR="00335645" w:rsidRDefault="00722BAC" w:rsidP="00722BAC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288" w:type="dxa"/>
          </w:tcPr>
          <w:p w14:paraId="4EEBD10D" w14:textId="2A7F9B48" w:rsidR="00335645" w:rsidRDefault="00722BAC" w:rsidP="00335645">
            <w:pPr>
              <w:pStyle w:val="NoSpacing"/>
            </w:pPr>
            <w:r>
              <w:t>-</w:t>
            </w:r>
            <w:r>
              <w:t>3170000</w:t>
            </w:r>
          </w:p>
        </w:tc>
        <w:tc>
          <w:tcPr>
            <w:tcW w:w="1288" w:type="dxa"/>
          </w:tcPr>
          <w:p w14:paraId="47BFB1D8" w14:textId="29E06800" w:rsidR="00335645" w:rsidRDefault="00722BAC" w:rsidP="00335645">
            <w:pPr>
              <w:pStyle w:val="NoSpacing"/>
            </w:pPr>
            <w:r>
              <w:t>317000</w:t>
            </w:r>
          </w:p>
        </w:tc>
        <w:tc>
          <w:tcPr>
            <w:tcW w:w="1288" w:type="dxa"/>
          </w:tcPr>
          <w:p w14:paraId="2016884F" w14:textId="26AD2D4C" w:rsidR="00335645" w:rsidRDefault="00722BAC" w:rsidP="00335645">
            <w:pPr>
              <w:pStyle w:val="NoSpacing"/>
            </w:pPr>
            <w:r>
              <w:t>634200</w:t>
            </w:r>
          </w:p>
        </w:tc>
        <w:tc>
          <w:tcPr>
            <w:tcW w:w="1288" w:type="dxa"/>
          </w:tcPr>
          <w:p w14:paraId="1B77F433" w14:textId="35C978E4" w:rsidR="00335645" w:rsidRDefault="00722BAC" w:rsidP="00335645">
            <w:pPr>
              <w:pStyle w:val="NoSpacing"/>
            </w:pPr>
            <w:r>
              <w:t>1268400</w:t>
            </w:r>
          </w:p>
        </w:tc>
        <w:tc>
          <w:tcPr>
            <w:tcW w:w="1288" w:type="dxa"/>
          </w:tcPr>
          <w:p w14:paraId="63E01687" w14:textId="04684EC5" w:rsidR="00335645" w:rsidRDefault="00722BAC" w:rsidP="00335645">
            <w:pPr>
              <w:pStyle w:val="NoSpacing"/>
            </w:pPr>
            <w:r>
              <w:t>951300</w:t>
            </w:r>
          </w:p>
        </w:tc>
      </w:tr>
      <w:tr w:rsidR="00F37062" w14:paraId="021F235B" w14:textId="77777777" w:rsidTr="00335645">
        <w:tc>
          <w:tcPr>
            <w:tcW w:w="1288" w:type="dxa"/>
          </w:tcPr>
          <w:p w14:paraId="24DB93F5" w14:textId="4B2209D2" w:rsidR="00335645" w:rsidRDefault="00335645" w:rsidP="00335645">
            <w:pPr>
              <w:pStyle w:val="NoSpacing"/>
            </w:pPr>
            <w:r>
              <w:t>B</w:t>
            </w:r>
          </w:p>
        </w:tc>
        <w:tc>
          <w:tcPr>
            <w:tcW w:w="1288" w:type="dxa"/>
          </w:tcPr>
          <w:p w14:paraId="16C7D767" w14:textId="1692F0CF" w:rsidR="00335645" w:rsidRDefault="00722BAC" w:rsidP="00722BAC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288" w:type="dxa"/>
          </w:tcPr>
          <w:p w14:paraId="0B9F4324" w14:textId="77777777" w:rsidR="00335645" w:rsidRDefault="00335645" w:rsidP="00335645">
            <w:pPr>
              <w:pStyle w:val="NoSpacing"/>
            </w:pPr>
          </w:p>
        </w:tc>
        <w:tc>
          <w:tcPr>
            <w:tcW w:w="1288" w:type="dxa"/>
          </w:tcPr>
          <w:p w14:paraId="77DF82CF" w14:textId="77777777" w:rsidR="00335645" w:rsidRDefault="00335645" w:rsidP="00335645">
            <w:pPr>
              <w:pStyle w:val="NoSpacing"/>
            </w:pPr>
          </w:p>
        </w:tc>
        <w:tc>
          <w:tcPr>
            <w:tcW w:w="1288" w:type="dxa"/>
          </w:tcPr>
          <w:p w14:paraId="54AA2B05" w14:textId="77777777" w:rsidR="00335645" w:rsidRDefault="00335645" w:rsidP="00335645">
            <w:pPr>
              <w:pStyle w:val="NoSpacing"/>
            </w:pPr>
          </w:p>
        </w:tc>
        <w:tc>
          <w:tcPr>
            <w:tcW w:w="1288" w:type="dxa"/>
          </w:tcPr>
          <w:p w14:paraId="1F414758" w14:textId="77777777" w:rsidR="00335645" w:rsidRDefault="00335645" w:rsidP="00335645">
            <w:pPr>
              <w:pStyle w:val="NoSpacing"/>
            </w:pPr>
          </w:p>
        </w:tc>
        <w:tc>
          <w:tcPr>
            <w:tcW w:w="1288" w:type="dxa"/>
          </w:tcPr>
          <w:p w14:paraId="265ABD5B" w14:textId="77777777" w:rsidR="00335645" w:rsidRDefault="00335645" w:rsidP="00335645">
            <w:pPr>
              <w:pStyle w:val="NoSpacing"/>
            </w:pPr>
          </w:p>
        </w:tc>
      </w:tr>
      <w:tr w:rsidR="00F37062" w14:paraId="28E320F8" w14:textId="77777777" w:rsidTr="00335645">
        <w:tc>
          <w:tcPr>
            <w:tcW w:w="1288" w:type="dxa"/>
          </w:tcPr>
          <w:p w14:paraId="7F9BFE9F" w14:textId="1E0D75CF" w:rsidR="00335645" w:rsidRDefault="00335645" w:rsidP="00335645">
            <w:pPr>
              <w:pStyle w:val="NoSpacing"/>
            </w:pPr>
            <w:r>
              <w:t>TS</w:t>
            </w:r>
          </w:p>
        </w:tc>
        <w:tc>
          <w:tcPr>
            <w:tcW w:w="1288" w:type="dxa"/>
          </w:tcPr>
          <w:p w14:paraId="1E840C2F" w14:textId="1E2D0440" w:rsidR="00335645" w:rsidRDefault="00722BAC" w:rsidP="00722BAC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288" w:type="dxa"/>
          </w:tcPr>
          <w:p w14:paraId="4AD41933" w14:textId="77777777" w:rsidR="00335645" w:rsidRDefault="00335645" w:rsidP="00335645">
            <w:pPr>
              <w:pStyle w:val="NoSpacing"/>
            </w:pPr>
          </w:p>
        </w:tc>
        <w:tc>
          <w:tcPr>
            <w:tcW w:w="1288" w:type="dxa"/>
          </w:tcPr>
          <w:p w14:paraId="45D7A739" w14:textId="77777777" w:rsidR="00335645" w:rsidRDefault="00335645" w:rsidP="00335645">
            <w:pPr>
              <w:pStyle w:val="NoSpacing"/>
            </w:pPr>
          </w:p>
        </w:tc>
        <w:tc>
          <w:tcPr>
            <w:tcW w:w="1288" w:type="dxa"/>
          </w:tcPr>
          <w:p w14:paraId="7D370C8C" w14:textId="77777777" w:rsidR="00335645" w:rsidRDefault="00335645" w:rsidP="00335645">
            <w:pPr>
              <w:pStyle w:val="NoSpacing"/>
            </w:pPr>
          </w:p>
        </w:tc>
        <w:tc>
          <w:tcPr>
            <w:tcW w:w="1288" w:type="dxa"/>
          </w:tcPr>
          <w:p w14:paraId="43E944B4" w14:textId="77777777" w:rsidR="00335645" w:rsidRDefault="00335645" w:rsidP="00335645">
            <w:pPr>
              <w:pStyle w:val="NoSpacing"/>
            </w:pPr>
          </w:p>
        </w:tc>
        <w:tc>
          <w:tcPr>
            <w:tcW w:w="1288" w:type="dxa"/>
          </w:tcPr>
          <w:p w14:paraId="66FD9251" w14:textId="77777777" w:rsidR="00335645" w:rsidRDefault="00335645" w:rsidP="00335645">
            <w:pPr>
              <w:pStyle w:val="NoSpacing"/>
            </w:pPr>
          </w:p>
        </w:tc>
      </w:tr>
    </w:tbl>
    <w:p w14:paraId="22AE0E98" w14:textId="77777777" w:rsidR="00335645" w:rsidRPr="00551BDA" w:rsidRDefault="00335645" w:rsidP="00335645">
      <w:pPr>
        <w:pStyle w:val="NoSpacing"/>
        <w:ind w:left="720"/>
      </w:pPr>
    </w:p>
    <w:sectPr w:rsidR="00335645" w:rsidRPr="0055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0FAE"/>
    <w:multiLevelType w:val="hybridMultilevel"/>
    <w:tmpl w:val="6D92DB6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044FB"/>
    <w:multiLevelType w:val="hybridMultilevel"/>
    <w:tmpl w:val="F5A44220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3C57ACC"/>
    <w:multiLevelType w:val="hybridMultilevel"/>
    <w:tmpl w:val="8A3EDA34"/>
    <w:lvl w:ilvl="0" w:tplc="095EB78C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7F51913"/>
    <w:multiLevelType w:val="hybridMultilevel"/>
    <w:tmpl w:val="38A0B838"/>
    <w:lvl w:ilvl="0" w:tplc="095EB78C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D6041C3"/>
    <w:multiLevelType w:val="hybridMultilevel"/>
    <w:tmpl w:val="39583820"/>
    <w:lvl w:ilvl="0" w:tplc="095EB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C5542"/>
    <w:multiLevelType w:val="hybridMultilevel"/>
    <w:tmpl w:val="307EBA2E"/>
    <w:lvl w:ilvl="0" w:tplc="040C0017">
      <w:start w:val="1"/>
      <w:numFmt w:val="lowerLetter"/>
      <w:lvlText w:val="%1)"/>
      <w:lvlJc w:val="left"/>
      <w:pPr>
        <w:ind w:left="1844" w:hanging="360"/>
      </w:pPr>
    </w:lvl>
    <w:lvl w:ilvl="1" w:tplc="040C0019" w:tentative="1">
      <w:start w:val="1"/>
      <w:numFmt w:val="lowerLetter"/>
      <w:lvlText w:val="%2."/>
      <w:lvlJc w:val="left"/>
      <w:pPr>
        <w:ind w:left="2564" w:hanging="360"/>
      </w:pPr>
    </w:lvl>
    <w:lvl w:ilvl="2" w:tplc="040C001B" w:tentative="1">
      <w:start w:val="1"/>
      <w:numFmt w:val="lowerRoman"/>
      <w:lvlText w:val="%3."/>
      <w:lvlJc w:val="right"/>
      <w:pPr>
        <w:ind w:left="3284" w:hanging="180"/>
      </w:pPr>
    </w:lvl>
    <w:lvl w:ilvl="3" w:tplc="040C000F" w:tentative="1">
      <w:start w:val="1"/>
      <w:numFmt w:val="decimal"/>
      <w:lvlText w:val="%4."/>
      <w:lvlJc w:val="left"/>
      <w:pPr>
        <w:ind w:left="4004" w:hanging="360"/>
      </w:pPr>
    </w:lvl>
    <w:lvl w:ilvl="4" w:tplc="040C0019" w:tentative="1">
      <w:start w:val="1"/>
      <w:numFmt w:val="lowerLetter"/>
      <w:lvlText w:val="%5."/>
      <w:lvlJc w:val="left"/>
      <w:pPr>
        <w:ind w:left="4724" w:hanging="360"/>
      </w:pPr>
    </w:lvl>
    <w:lvl w:ilvl="5" w:tplc="040C001B" w:tentative="1">
      <w:start w:val="1"/>
      <w:numFmt w:val="lowerRoman"/>
      <w:lvlText w:val="%6."/>
      <w:lvlJc w:val="right"/>
      <w:pPr>
        <w:ind w:left="5444" w:hanging="180"/>
      </w:pPr>
    </w:lvl>
    <w:lvl w:ilvl="6" w:tplc="040C000F" w:tentative="1">
      <w:start w:val="1"/>
      <w:numFmt w:val="decimal"/>
      <w:lvlText w:val="%7."/>
      <w:lvlJc w:val="left"/>
      <w:pPr>
        <w:ind w:left="6164" w:hanging="360"/>
      </w:pPr>
    </w:lvl>
    <w:lvl w:ilvl="7" w:tplc="040C0019" w:tentative="1">
      <w:start w:val="1"/>
      <w:numFmt w:val="lowerLetter"/>
      <w:lvlText w:val="%8."/>
      <w:lvlJc w:val="left"/>
      <w:pPr>
        <w:ind w:left="6884" w:hanging="360"/>
      </w:pPr>
    </w:lvl>
    <w:lvl w:ilvl="8" w:tplc="040C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6" w15:restartNumberingAfterBreak="0">
    <w:nsid w:val="7A9027A8"/>
    <w:multiLevelType w:val="hybridMultilevel"/>
    <w:tmpl w:val="00480810"/>
    <w:lvl w:ilvl="0" w:tplc="040C000F">
      <w:start w:val="1"/>
      <w:numFmt w:val="decimal"/>
      <w:lvlText w:val="%1."/>
      <w:lvlJc w:val="left"/>
      <w:pPr>
        <w:ind w:left="1124" w:hanging="360"/>
      </w:pPr>
    </w:lvl>
    <w:lvl w:ilvl="1" w:tplc="040C0019" w:tentative="1">
      <w:start w:val="1"/>
      <w:numFmt w:val="lowerLetter"/>
      <w:lvlText w:val="%2."/>
      <w:lvlJc w:val="left"/>
      <w:pPr>
        <w:ind w:left="1844" w:hanging="360"/>
      </w:pPr>
    </w:lvl>
    <w:lvl w:ilvl="2" w:tplc="040C001B" w:tentative="1">
      <w:start w:val="1"/>
      <w:numFmt w:val="lowerRoman"/>
      <w:lvlText w:val="%3."/>
      <w:lvlJc w:val="right"/>
      <w:pPr>
        <w:ind w:left="2564" w:hanging="180"/>
      </w:pPr>
    </w:lvl>
    <w:lvl w:ilvl="3" w:tplc="040C000F" w:tentative="1">
      <w:start w:val="1"/>
      <w:numFmt w:val="decimal"/>
      <w:lvlText w:val="%4."/>
      <w:lvlJc w:val="left"/>
      <w:pPr>
        <w:ind w:left="3284" w:hanging="360"/>
      </w:pPr>
    </w:lvl>
    <w:lvl w:ilvl="4" w:tplc="040C0019" w:tentative="1">
      <w:start w:val="1"/>
      <w:numFmt w:val="lowerLetter"/>
      <w:lvlText w:val="%5."/>
      <w:lvlJc w:val="left"/>
      <w:pPr>
        <w:ind w:left="4004" w:hanging="360"/>
      </w:pPr>
    </w:lvl>
    <w:lvl w:ilvl="5" w:tplc="040C001B" w:tentative="1">
      <w:start w:val="1"/>
      <w:numFmt w:val="lowerRoman"/>
      <w:lvlText w:val="%6."/>
      <w:lvlJc w:val="right"/>
      <w:pPr>
        <w:ind w:left="4724" w:hanging="180"/>
      </w:pPr>
    </w:lvl>
    <w:lvl w:ilvl="6" w:tplc="040C000F" w:tentative="1">
      <w:start w:val="1"/>
      <w:numFmt w:val="decimal"/>
      <w:lvlText w:val="%7."/>
      <w:lvlJc w:val="left"/>
      <w:pPr>
        <w:ind w:left="5444" w:hanging="360"/>
      </w:pPr>
    </w:lvl>
    <w:lvl w:ilvl="7" w:tplc="040C0019" w:tentative="1">
      <w:start w:val="1"/>
      <w:numFmt w:val="lowerLetter"/>
      <w:lvlText w:val="%8."/>
      <w:lvlJc w:val="left"/>
      <w:pPr>
        <w:ind w:left="6164" w:hanging="360"/>
      </w:pPr>
    </w:lvl>
    <w:lvl w:ilvl="8" w:tplc="040C001B" w:tentative="1">
      <w:start w:val="1"/>
      <w:numFmt w:val="lowerRoman"/>
      <w:lvlText w:val="%9."/>
      <w:lvlJc w:val="right"/>
      <w:pPr>
        <w:ind w:left="688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37"/>
    <w:rsid w:val="000D4237"/>
    <w:rsid w:val="002A4663"/>
    <w:rsid w:val="00335645"/>
    <w:rsid w:val="00551BDA"/>
    <w:rsid w:val="00722BAC"/>
    <w:rsid w:val="00792F59"/>
    <w:rsid w:val="00A57899"/>
    <w:rsid w:val="00B3587B"/>
    <w:rsid w:val="00C01940"/>
    <w:rsid w:val="00DA671E"/>
    <w:rsid w:val="00DC05AC"/>
    <w:rsid w:val="00E00332"/>
    <w:rsid w:val="00E85843"/>
    <w:rsid w:val="00F3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5978"/>
  <w15:chartTrackingRefBased/>
  <w15:docId w15:val="{7B1F8A4F-237D-4DF3-9A02-2B8A082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2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51BDA"/>
    <w:pPr>
      <w:spacing w:after="0" w:line="240" w:lineRule="auto"/>
    </w:pPr>
  </w:style>
  <w:style w:type="table" w:styleId="TableGrid">
    <w:name w:val="Table Grid"/>
    <w:basedOn w:val="TableNormal"/>
    <w:uiPriority w:val="39"/>
    <w:rsid w:val="0033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mbenguef2001@outlook.com</dc:creator>
  <cp:keywords/>
  <dc:description/>
  <cp:lastModifiedBy>mbenguef2001@outlook.com</cp:lastModifiedBy>
  <cp:revision>1</cp:revision>
  <dcterms:created xsi:type="dcterms:W3CDTF">2021-12-09T10:20:00Z</dcterms:created>
  <dcterms:modified xsi:type="dcterms:W3CDTF">2021-12-09T11:57:00Z</dcterms:modified>
</cp:coreProperties>
</file>