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多智能体办公协作系统实验报告</w:t>
      </w:r>
    </w:p>
    <w:p>
      <w:r>
        <w:t>软件体系结构研究生课程  LangGraph 与 React FastAPI</w:t>
      </w:r>
    </w:p>
    <w:p>
      <w:r>
        <w:t>课程交付版本 v2.0.0</w:t>
      </w:r>
    </w:p>
    <w:p>
      <w:r>
        <w:t>姓名 __________________  学号 __________________</w:t>
      </w:r>
    </w:p>
    <w:p>
      <w:r>
        <w:t>班级 __________________  日期 2026年10月17日</w:t>
      </w:r>
    </w:p>
    <w:p>
      <w:r>
        <w:t>指导教师 __________________</w:t>
      </w:r>
    </w:p>
    <w:p>
      <w:r>
        <w:t>代码仓库 https://github.com/Thedaiyyds/multi-agent-office-lab</w:t>
      </w:r>
    </w:p>
    <w:p>
      <w:pPr>
        <w:pStyle w:val="Heading1"/>
      </w:pPr>
      <w:r>
        <w:t>一 实验目标与要求依据</w:t>
      </w:r>
    </w:p>
    <w:p>
      <w:pPr/>
      <w:r>
        <w:t>本实验实现一个面向“部门工作汇报”的多智能体办公系统。用户在正常网页中选择普通材料，或明确授权固定本地数据接口，输入部门、年份期间与重点，系统自动完成需求拆解、内容规划、数据整理、报告撰写、审核修正和最终验收，输出规范Markdown与PDF。实验关注职责划分、通信契约、任务调度、数据正确性、异常处理和可复现交付。</w:t>
      </w:r>
    </w:p>
    <w:p>
      <w:pPr/>
      <w:r>
        <w:t>教师补充允许选择任意开源框架，不强制OpenClaw。因此采用LangGraph保留五个业务Agent角色，结合React、FastAPI和SQLite构建本机系统。指导书规定的TXT、CSV、DOCX作为输入材料格式；Markdown、PDF作为业务报告输出格式。课程实验报告的Word文件属于提交材料，与系统生成的业务报告是两类文档。</w:t>
      </w:r>
    </w:p>
    <w:p>
      <w:pPr/>
      <w:r>
        <w:t>教师要求三人一组。本项目实际人类开发者为一人，使用多个AI开发角色辅助设计、实现、测试和交叉审查。五个业务Agent与AI开发角色不是人类组员；报告和Git如实记录单人开发与AI辅助，不以虚构姓名、作者或提交制造三名人类参与的印象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776"/>
      </w:tblGrid>
      <w:tr>
        <w:trPr>
          <w:cantSplit/>
          <w:tblHeader/>
        </w:trPr>
        <w:tc>
          <w:tcPr>
            <w:tcW w:type="dxa" w:w="2376"/>
            <w:vAlign w:val="center"/>
            <w:shd w:fill="DC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/>
              <w:spacing w:before="100" w:after="100" w:line="269" w:lineRule="auto"/>
              <w:jc w:val="center"/>
            </w:pPr>
            <w:r>
              <w:rPr>
                <w:b/>
                <w:sz w:val="21"/>
              </w:rPr>
              <w:t>指导书功能</w:t>
            </w:r>
          </w:p>
        </w:tc>
        <w:tc>
          <w:tcPr>
            <w:tcW w:type="dxa" w:w="7776"/>
            <w:vAlign w:val="center"/>
            <w:shd w:fill="DC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/>
              <w:spacing w:before="100" w:after="100" w:line="269" w:lineRule="auto"/>
              <w:jc w:val="center"/>
            </w:pPr>
            <w:r>
              <w:rPr>
                <w:b/>
                <w:sz w:val="21"/>
              </w:rPr>
              <w:t>实际实现与验证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/>
              <w:spacing w:before="100" w:after="100" w:line="269" w:lineRule="auto"/>
              <w:jc w:val="center"/>
            </w:pPr>
            <w:r>
              <w:rPr>
                <w:sz w:val="21"/>
              </w:rPr>
              <w:t>接收与拆解需求</w:t>
            </w:r>
          </w:p>
        </w:tc>
        <w:tc>
          <w:tcPr>
            <w:tcW w:type="dxa" w:w="77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/>
              <w:spacing w:before="100" w:after="100" w:line="269" w:lineRule="auto"/>
            </w:pPr>
            <w:r>
              <w:rPr>
                <w:sz w:val="21"/>
              </w:rPr>
              <w:t>网页保留自然语言原文，Manager生成结构化需求和任务；缺项明确提问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内容规划</w:t>
            </w:r>
          </w:p>
        </w:tc>
        <w:tc>
          <w:tcPr>
            <w:tcW w:type="dxa" w:w="77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</w:pPr>
            <w:r>
              <w:rPr>
                <w:sz w:val="21"/>
              </w:rPr>
              <w:t>Planner接收Manager实际结果，确定章节、要点和数据类别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数据整理</w:t>
            </w:r>
          </w:p>
        </w:tc>
        <w:tc>
          <w:tcPr>
            <w:tcW w:type="dxa" w:w="77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</w:pPr>
            <w:r>
              <w:rPr>
                <w:sz w:val="21"/>
              </w:rPr>
              <w:t>Data按Planner要求读取已授权材料或固定本地接口，计算四类指标与来源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报告撰写</w:t>
            </w:r>
          </w:p>
        </w:tc>
        <w:tc>
          <w:tcPr>
            <w:tcW w:type="dxa" w:w="77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</w:pPr>
            <w:r>
              <w:rPr>
                <w:sz w:val="21"/>
              </w:rPr>
              <w:t>Writer消费大纲、事实、文字片段，形成叙述、建议和规范Markdown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审核校验</w:t>
            </w:r>
          </w:p>
        </w:tc>
        <w:tc>
          <w:tcPr>
            <w:tcW w:type="dxa" w:w="77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</w:pPr>
            <w:r>
              <w:rPr>
                <w:sz w:val="21"/>
              </w:rPr>
              <w:t>Checker程序检查与模型审核结合，反馈Writer有界修正，末尾Manager验收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多Agent协作</w:t>
            </w:r>
          </w:p>
        </w:tc>
        <w:tc>
          <w:tcPr>
            <w:tcW w:type="dxa" w:w="77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</w:pPr>
            <w:r>
              <w:rPr>
                <w:sz w:val="21"/>
              </w:rPr>
              <w:t>LangGraph节点及条件边，真实输入输出、事件、状态和用量持久保存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规范文档输出</w:t>
            </w:r>
          </w:p>
        </w:tc>
        <w:tc>
          <w:tcPr>
            <w:tcW w:type="dxa" w:w="77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</w:pPr>
            <w:r>
              <w:rPr>
                <w:sz w:val="21"/>
              </w:rPr>
              <w:t>审核合格快照自动生成同源.md/.pdf，编辑后重审，历史文件可追溯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安装、运行与分析</w:t>
            </w:r>
          </w:p>
        </w:tc>
        <w:tc>
          <w:tcPr>
            <w:tcW w:type="dxa" w:w="77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</w:pPr>
            <w:r>
              <w:rPr>
                <w:sz w:val="21"/>
              </w:rPr>
              <w:t>无密钥源码副本复现、两场景真实模型运行、异常测试与实际截图</w:t>
            </w:r>
          </w:p>
        </w:tc>
      </w:tr>
    </w:tbl>
    <w:p>
      <w:pPr>
        <w:spacing w:after="40"/>
      </w:pPr>
    </w:p>
    <w:p>
      <w:pPr/>
      <w:r>
        <w:t>实施以课程指导书2.3、5.2.3、5.3.3、5.4.3节、教师补充及项目实施说明书R2为依据。默认自动流程不要求用户逐步人工批准大纲或手动转交Agent；人工修改与复审作为辅助能力。</w:t>
      </w:r>
    </w:p>
    <w:p>
      <w:pPr>
        <w:pStyle w:val="Heading1"/>
      </w:pPr>
      <w:r>
        <w:t>二 方案设计与五角色协作</w:t>
      </w:r>
    </w:p>
    <w:p>
      <w:pPr>
        <w:pStyle w:val="Heading2"/>
      </w:pPr>
      <w:r>
        <w:t>2 1 总体架构</w:t>
      </w:r>
    </w:p>
    <w:p>
      <w:pPr/>
      <w:r>
        <w:t>系统采用本机模块化单体：React/Vite界面通过同源</w:t>
      </w:r>
      <w:r>
        <w:rPr>
          <w:rFonts w:ascii="Liberation Mono" w:hAnsi="Liberation Mono"/>
          <w:sz w:val="20"/>
        </w:rPr>
        <w:t>/api/v1</w:t>
      </w:r>
      <w:r>
        <w:t>调用FastAPI，SQLite保存业务记录，受控本地目录保存材料原件与报告文件，单后台队列驱动LangGraph。角色通过结构化状态传递结果，不需要五台服务器，也不将多智能体等同于分布式部署。</w:t>
      </w:r>
    </w:p>
    <w:p>
      <w:pPr/>
      <w:r>
        <w:t>模型承担语言理解、规划、受约束撰写和语义审核；准确数值、来源筛选及可形式化规则由确定性程序负责。五个角色可以共用同一兼容模型服务，职责、输入和输出契约各自独立。页面读取实际执行事件与持久状态，不用计时动画替代真实执行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2880"/>
        <w:gridCol w:w="5616"/>
      </w:tblGrid>
      <w:tr>
        <w:trPr>
          <w:cantSplit/>
          <w:tblHeader/>
        </w:trPr>
        <w:tc>
          <w:tcPr>
            <w:tcW w:type="dxa" w:w="1656"/>
            <w:vAlign w:val="center"/>
            <w:shd w:fill="DC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/>
              <w:spacing w:before="100" w:after="100" w:line="269" w:lineRule="auto"/>
              <w:jc w:val="center"/>
            </w:pPr>
            <w:r>
              <w:rPr>
                <w:b/>
                <w:sz w:val="21"/>
              </w:rPr>
              <w:t>组件</w:t>
            </w:r>
          </w:p>
        </w:tc>
        <w:tc>
          <w:tcPr>
            <w:tcW w:type="dxa" w:w="2880"/>
            <w:vAlign w:val="center"/>
            <w:shd w:fill="DC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/>
              <w:spacing w:before="100" w:after="100" w:line="269" w:lineRule="auto"/>
              <w:jc w:val="center"/>
            </w:pPr>
            <w:r>
              <w:rPr>
                <w:b/>
                <w:sz w:val="21"/>
              </w:rPr>
              <w:t>职责</w:t>
            </w:r>
          </w:p>
        </w:tc>
        <w:tc>
          <w:tcPr>
            <w:tcW w:type="dxa" w:w="5616"/>
            <w:vAlign w:val="center"/>
            <w:shd w:fill="DC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/>
              <w:spacing w:before="100" w:after="100" w:line="269" w:lineRule="auto"/>
              <w:jc w:val="center"/>
            </w:pPr>
            <w:r>
              <w:rPr>
                <w:b/>
                <w:sz w:val="21"/>
              </w:rPr>
              <w:t>源码位置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/>
              <w:spacing w:before="100" w:after="100" w:line="269" w:lineRule="auto"/>
              <w:jc w:val="center"/>
            </w:pPr>
            <w:r>
              <w:rPr>
                <w:sz w:val="21"/>
              </w:rPr>
              <w:t>React工作台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/>
              <w:spacing w:before="100" w:after="100" w:line="269" w:lineRule="auto"/>
              <w:jc w:val="center"/>
            </w:pPr>
            <w:r>
              <w:rPr>
                <w:sz w:val="21"/>
              </w:rPr>
              <w:t>材料、任务、运行过程、修订与下载</w:t>
            </w:r>
          </w:p>
        </w:tc>
        <w:tc>
          <w:tcPr>
            <w:tcW w:type="dxa" w:w="56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/>
              <w:spacing w:before="100" w:after="100" w:line="269" w:lineRule="auto"/>
              <w:jc w:val="center"/>
            </w:pPr>
            <w:r>
              <w:rPr>
                <w:sz w:val="21"/>
              </w:rPr>
              <w:t>frontend/src/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FastAPI入口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本机请求、工作区、版本及路由约束</w:t>
            </w:r>
          </w:p>
        </w:tc>
        <w:tc>
          <w:tcPr>
            <w:tcW w:type="dxa" w:w="56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workbench/api.py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材料服务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</w:pPr>
            <w:r>
              <w:rPr>
                <w:sz w:val="21"/>
              </w:rPr>
              <w:t>三格式解析、预览映射、校验、冻结版本</w:t>
            </w:r>
          </w:p>
        </w:tc>
        <w:tc>
          <w:tcPr>
            <w:tcW w:type="dxa" w:w="56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</w:pPr>
            <w:r>
              <w:rPr>
                <w:sz w:val="21"/>
              </w:rPr>
              <w:t>workbench/materials.py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统计服务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项目、考勤、成果、满意度及来源</w:t>
            </w:r>
          </w:p>
        </w:tc>
        <w:tc>
          <w:tcPr>
            <w:tcW w:type="dxa" w:w="56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</w:pPr>
            <w:r>
              <w:rPr>
                <w:sz w:val="21"/>
              </w:rPr>
              <w:t>workbench/statistics.py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执行服务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</w:pPr>
            <w:r>
              <w:rPr>
                <w:sz w:val="21"/>
              </w:rPr>
              <w:t>LangGraph、模型、队列、事件、预算与取消</w:t>
            </w:r>
          </w:p>
        </w:tc>
        <w:tc>
          <w:tcPr>
            <w:tcW w:type="dxa" w:w="56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</w:pPr>
            <w:r>
              <w:rPr>
                <w:sz w:val="21"/>
              </w:rPr>
              <w:t>workbench/execution.py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交付服务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</w:pPr>
            <w:r>
              <w:rPr>
                <w:sz w:val="21"/>
              </w:rPr>
              <w:t>不可变修订、重新审核、文件门禁和恢复</w:t>
            </w:r>
          </w:p>
        </w:tc>
        <w:tc>
          <w:tcPr>
            <w:tcW w:type="dxa" w:w="56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</w:pPr>
            <w:r>
              <w:rPr>
                <w:sz w:val="21"/>
              </w:rPr>
              <w:t>workbench/delivery.py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PDF渲染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</w:pPr>
            <w:r>
              <w:rPr>
                <w:sz w:val="21"/>
              </w:rPr>
              <w:t>从冻结Markdown生成嵌字中文PDF</w:t>
            </w:r>
          </w:p>
        </w:tc>
        <w:tc>
          <w:tcPr>
            <w:tcW w:type="dxa" w:w="56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</w:pPr>
            <w:r>
              <w:rPr>
                <w:sz w:val="21"/>
              </w:rPr>
              <w:t>workbench/pdf_export.py</w:t>
            </w:r>
          </w:p>
        </w:tc>
      </w:tr>
    </w:tbl>
    <w:p>
      <w:pPr>
        <w:spacing w:after="40"/>
      </w:pPr>
    </w:p>
    <w:p>
      <w:pPr/>
      <w:r>
        <w:t>表内后端文件均位于src/office_agents/下。Pydantic契约拒绝多余字段和不合法结构，JSON解析及业务规则继续检查模型结果；“返回了JSON”不等于“业务正确”。</w:t>
      </w:r>
    </w:p>
    <w:p>
      <w:pPr>
        <w:pStyle w:val="Heading2"/>
      </w:pPr>
      <w:r>
        <w:t>2 2 角色与传递路径</w:t>
      </w:r>
    </w:p>
    <w:p>
      <w:pPr/>
      <w:r>
        <w:t>主流程为：用户需求及授权材料 → Manager → Planner → Data → Writer → Checker → Manager最终验收 → 冻结报告修订 → Markdown/PDF。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2880"/>
        <w:gridCol w:w="5616"/>
      </w:tblGrid>
      <w:tr>
        <w:trPr>
          <w:cantSplit/>
          <w:tblHeader/>
        </w:trPr>
        <w:tc>
          <w:tcPr>
            <w:tcW w:type="dxa" w:w="1656"/>
            <w:vAlign w:val="center"/>
            <w:shd w:fill="DC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/>
              <w:spacing w:before="100" w:after="100" w:line="269" w:lineRule="auto"/>
              <w:jc w:val="center"/>
            </w:pPr>
            <w:r>
              <w:rPr>
                <w:b/>
                <w:sz w:val="21"/>
              </w:rPr>
              <w:t>角色</w:t>
            </w:r>
          </w:p>
        </w:tc>
        <w:tc>
          <w:tcPr>
            <w:tcW w:type="dxa" w:w="2880"/>
            <w:vAlign w:val="center"/>
            <w:shd w:fill="DC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/>
              <w:spacing w:before="100" w:after="100" w:line="269" w:lineRule="auto"/>
              <w:jc w:val="center"/>
            </w:pPr>
            <w:r>
              <w:rPr>
                <w:b/>
                <w:sz w:val="21"/>
              </w:rPr>
              <w:t>实际输入</w:t>
            </w:r>
          </w:p>
        </w:tc>
        <w:tc>
          <w:tcPr>
            <w:tcW w:type="dxa" w:w="5616"/>
            <w:vAlign w:val="center"/>
            <w:shd w:fill="DC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/>
              <w:spacing w:before="100" w:after="100" w:line="269" w:lineRule="auto"/>
              <w:jc w:val="center"/>
            </w:pPr>
            <w:r>
              <w:rPr>
                <w:b/>
                <w:sz w:val="21"/>
              </w:rPr>
              <w:t>输出与作用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/>
              <w:spacing w:before="100" w:after="100" w:line="269" w:lineRule="auto"/>
              <w:jc w:val="center"/>
            </w:pPr>
            <w:r>
              <w:rPr>
                <w:sz w:val="21"/>
              </w:rPr>
              <w:t>Manager起始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/>
              <w:spacing w:before="100" w:after="100" w:line="269" w:lineRule="auto"/>
            </w:pPr>
            <w:r>
              <w:rPr>
                <w:sz w:val="21"/>
              </w:rPr>
              <w:t>原始需求、已保存范围、材料索引、原文期间提示</w:t>
            </w:r>
          </w:p>
        </w:tc>
        <w:tc>
          <w:tcPr>
            <w:tcW w:type="dxa" w:w="56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/>
              <w:spacing w:before="100" w:after="100" w:line="269" w:lineRule="auto"/>
            </w:pPr>
            <w:r>
              <w:rPr>
                <w:sz w:val="21"/>
              </w:rPr>
              <w:t>主题、部门、期间、重点、章节及任务拆解；缺信息时提问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Planner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</w:pPr>
            <w:r>
              <w:rPr>
                <w:sz w:val="21"/>
              </w:rPr>
              <w:t>Manager实际结果、可用数据类别</w:t>
            </w:r>
          </w:p>
        </w:tc>
        <w:tc>
          <w:tcPr>
            <w:tcW w:type="dxa" w:w="56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</w:pPr>
            <w:r>
              <w:rPr>
                <w:sz w:val="21"/>
              </w:rPr>
              <w:t>章节大纲、每章目的和数据需求，直接驱动Data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Data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</w:pPr>
            <w:r>
              <w:rPr>
                <w:sz w:val="21"/>
              </w:rPr>
              <w:t>需求范围、Planner类别、已选版本与接口授权</w:t>
            </w:r>
          </w:p>
        </w:tc>
        <w:tc>
          <w:tcPr>
            <w:tcW w:type="dxa" w:w="56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</w:pPr>
            <w:r>
              <w:rPr>
                <w:sz w:val="21"/>
              </w:rPr>
              <w:t>权威指标、限制、冻结来源、可引用文字片段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Writer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大纲、事实、片段和上一轮审核</w:t>
            </w:r>
          </w:p>
        </w:tc>
        <w:tc>
          <w:tcPr>
            <w:tcW w:type="dxa" w:w="56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</w:pPr>
            <w:r>
              <w:rPr>
                <w:sz w:val="21"/>
              </w:rPr>
              <w:t>叙述与建议，程序按授权引用渲染数值和Markdown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Checker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</w:pPr>
            <w:r>
              <w:rPr>
                <w:sz w:val="21"/>
              </w:rPr>
              <w:t>实际叙述、大纲、事实、来源及程序问题</w:t>
            </w:r>
          </w:p>
        </w:tc>
        <w:tc>
          <w:tcPr>
            <w:tcW w:type="dxa" w:w="56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</w:pPr>
            <w:r>
              <w:rPr>
                <w:sz w:val="21"/>
              </w:rPr>
              <w:t>程序核验、模型审核、问题位置和修正意见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Manager最终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</w:pPr>
            <w:r>
              <w:rPr>
                <w:sz w:val="21"/>
              </w:rPr>
              <w:t>正文、统计、限制、Checker结论及完整稿哈希</w:t>
            </w:r>
          </w:p>
        </w:tc>
        <w:tc>
          <w:tcPr>
            <w:tcW w:type="dxa" w:w="56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</w:pPr>
            <w:r>
              <w:rPr>
                <w:sz w:val="21"/>
              </w:rPr>
              <w:t>接受或拒绝本次结果；接受后才形成合格交付</w:t>
            </w:r>
          </w:p>
        </w:tc>
      </w:tr>
    </w:tbl>
    <w:p>
      <w:pPr>
        <w:spacing w:after="40"/>
      </w:pPr>
    </w:p>
    <w:p>
      <w:pPr/>
      <w:r>
        <w:t>末尾回到Manager仍是五种角色。Checker未通过且预算允许时回到Writer，Writer接收上一稿及精确问题片段再修改；最多两次返工。缺信息/材料为needs_input，超限不通过为review_failed，模型、数据、预算等异常为failed，不生成假合格报告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355080" cy="5660363"/>
            <wp:docPr id="1" name="Picture 1" descr="正常工作台需求入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rmal-entry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56603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正常工作台需求入口</w:t>
      </w:r>
    </w:p>
    <w:p>
      <w:pPr/>
      <w:r>
        <w:t>图1 正常工作台入口。用户按普通业务操作提交，案例不占据首页，也无需切换独立演示产品。</w:t>
      </w:r>
    </w:p>
    <w:p>
      <w:pPr>
        <w:pStyle w:val="Heading2"/>
      </w:pPr>
      <w:r>
        <w:t>2 3 数据与统计口径</w:t>
      </w:r>
    </w:p>
    <w:p>
      <w:pPr/>
      <w:r>
        <w:t>报告期间统一为[start_date,end_date)，开始日包含、结束日排除。2026年第二季度对应2026-04-01至2026-07-01。Manager的部门与期间须有原文依据；保存过的需求范围和章节不得被模型擅改。季度提示由程序解析并提供给Manager复制，仍重新核验其业务输出。</w:t>
      </w:r>
    </w:p>
    <w:p>
      <w:pPr/>
      <w:r>
        <w:t>材料确认后冻结原始字节、字段映射、分类、部门/期间、版本及SHA256。最多20条预览不影响全量统计。同业务键完全相同的记录合并来源，不重复计数；不同值冲突阻断统计，不用上传顺序决定真值。同名同分类多个历史版本要求选择一个。TXT/DOCX文字中的数字不直接变成权威统计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2880"/>
        <w:gridCol w:w="5616"/>
      </w:tblGrid>
      <w:tr>
        <w:trPr>
          <w:cantSplit/>
          <w:tblHeader/>
        </w:trPr>
        <w:tc>
          <w:tcPr>
            <w:tcW w:type="dxa" w:w="1656"/>
            <w:vAlign w:val="center"/>
            <w:shd w:fill="DC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/>
              <w:spacing w:before="100" w:after="100" w:line="269" w:lineRule="auto"/>
              <w:jc w:val="center"/>
            </w:pPr>
            <w:r>
              <w:rPr>
                <w:b/>
                <w:sz w:val="21"/>
              </w:rPr>
              <w:t>数据类别</w:t>
            </w:r>
          </w:p>
        </w:tc>
        <w:tc>
          <w:tcPr>
            <w:tcW w:type="dxa" w:w="2880"/>
            <w:vAlign w:val="center"/>
            <w:shd w:fill="DC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/>
              <w:spacing w:before="100" w:after="100" w:line="269" w:lineRule="auto"/>
              <w:jc w:val="center"/>
            </w:pPr>
            <w:r>
              <w:rPr>
                <w:b/>
                <w:sz w:val="21"/>
              </w:rPr>
              <w:t>计算规则</w:t>
            </w:r>
          </w:p>
        </w:tc>
        <w:tc>
          <w:tcPr>
            <w:tcW w:type="dxa" w:w="5616"/>
            <w:vAlign w:val="center"/>
            <w:shd w:fill="DC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/>
              <w:spacing w:before="100" w:after="100" w:line="269" w:lineRule="auto"/>
              <w:jc w:val="center"/>
            </w:pPr>
            <w:r>
              <w:rPr>
                <w:b/>
                <w:sz w:val="21"/>
              </w:rPr>
              <w:t>必须保留的限制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/>
              <w:spacing w:before="100" w:after="100" w:line="269" w:lineRule="auto"/>
              <w:jc w:val="center"/>
            </w:pPr>
            <w:r>
              <w:rPr>
                <w:sz w:val="21"/>
              </w:rPr>
              <w:t>项目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/>
              <w:spacing w:before="100" w:after="100" w:line="269" w:lineRule="auto"/>
            </w:pPr>
            <w:r>
              <w:rPr>
                <w:sz w:val="21"/>
              </w:rPr>
              <w:t>取结束日前最新有效快照，按项目ID识别数量、完成状态和比例</w:t>
            </w:r>
          </w:p>
        </w:tc>
        <w:tc>
          <w:tcPr>
            <w:tcW w:type="dxa" w:w="56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/>
              <w:spacing w:before="100" w:after="100" w:line="269" w:lineRule="auto"/>
            </w:pPr>
            <w:r>
              <w:rPr>
                <w:sz w:val="21"/>
              </w:rPr>
              <w:t>只反映所选材料可识别项目；本期完成另依据实际完成日期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考勤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</w:pPr>
            <w:r>
              <w:rPr>
                <w:sz w:val="21"/>
              </w:rPr>
              <w:t>person_id+date唯一；计入工时=min(实际,计划)，超计划另列核对</w:t>
            </w:r>
          </w:p>
        </w:tc>
        <w:tc>
          <w:tcPr>
            <w:tcW w:type="dxa" w:w="56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</w:pPr>
            <w:r>
              <w:rPr>
                <w:sz w:val="21"/>
              </w:rPr>
              <w:t>缺值不当0；无完整声明清单时只有样本比率，没有季度整体率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成果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</w:pPr>
            <w:r>
              <w:rPr>
                <w:sz w:val="21"/>
              </w:rPr>
              <w:t>成果ID去重，按部门、日期和类别汇总</w:t>
            </w:r>
          </w:p>
        </w:tc>
        <w:tc>
          <w:tcPr>
            <w:tcW w:type="dxa" w:w="56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完全重复合并，冲突阻断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满意度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</w:pPr>
            <w:r>
              <w:rPr>
                <w:sz w:val="21"/>
              </w:rPr>
              <w:t>排除明确无效项，按相同上下限量表计算均值与样本数</w:t>
            </w:r>
          </w:p>
        </w:tc>
        <w:tc>
          <w:tcPr>
            <w:tcW w:type="dxa" w:w="56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</w:pPr>
            <w:r>
              <w:rPr>
                <w:sz w:val="21"/>
              </w:rPr>
              <w:t>不跨量表混算，不编造满意百分比或往期提升</w:t>
            </w:r>
          </w:p>
        </w:tc>
      </w:tr>
    </w:tbl>
    <w:p>
      <w:pPr>
        <w:spacing w:after="40"/>
      </w:pPr>
    </w:p>
    <w:p>
      <w:pPr/>
      <w:r>
        <w:t>考勤请假不从计划分母扣除。用户提供唯一人员名单与排班日期时，人员×日期构成声明应有人日；记录完整且计划工时大于0后才可计算该声明范围出勤率。没有清单时显示样本人日与工时，整体率和覆盖率未定义，不推断未声明季度排班。</w:t>
      </w:r>
    </w:p>
    <w:p>
      <w:pPr>
        <w:pStyle w:val="Heading2"/>
      </w:pPr>
      <w:r>
        <w:t>2 4 审核 修订与同源交付</w:t>
      </w:r>
    </w:p>
    <w:p>
      <w:pPr/>
      <w:r>
        <w:t>Writer使用</w:t>
      </w:r>
      <w:r>
        <w:rPr>
          <w:rFonts w:ascii="Liberation Mono" w:hAnsi="Liberation Mono"/>
          <w:sz w:val="20"/>
        </w:rPr>
        <w:t>[[fact:F001]]</w:t>
      </w:r>
      <w:r>
        <w:t>和</w:t>
      </w:r>
      <w:r>
        <w:rPr>
          <w:rFonts w:ascii="Liberation Mono" w:hAnsi="Liberation Mono"/>
          <w:sz w:val="20"/>
        </w:rPr>
        <w:t>[[note:N001]]</w:t>
      </w:r>
      <w:r>
        <w:t>引用授权事实/片段，由程序渲染数值、统计口径表和来源。程序拒绝未授权裸数字、非法引用、章节缺失、HTML及外部链接结构；建议单列为尚未发生。Checker模型认可不能覆盖程序问题，业务语义仍需结合来源判断。</w:t>
      </w:r>
    </w:p>
    <w:p>
      <w:pPr/>
      <w:r>
        <w:t>审核合格快照绑定需求、大纲、事实、来源、正文和内容哈希，并保存同一哈希的Checker与Manager回执。Markdown直接保存快照正文；PDF解析同一冻结Markdown，不另调模型重写。PDF嵌入仓库附带的LXGW WenKai v1.522 OFL字体子集，采用A4、跨页表头和页眉页脚，无需Word或系统中文字体。</w:t>
      </w:r>
    </w:p>
    <w:p>
      <w:pPr/>
      <w:r>
        <w:t>编辑只接叙述与建议，保存产生新修订，旧审核不能直接复用；新稿必须经过Checker→Manager。旧合格版可作为历史下载，明确非当前。需求版本改变后报告状态回draft，旧文件不能冒充新范围。每次下载校验快照、验收凭据和文件SHA；损坏可离线重导出，不重复模型调用。</w:t>
      </w:r>
    </w:p>
    <w:p>
      <w:pPr>
        <w:pStyle w:val="Heading1"/>
      </w:pPr>
      <w:r>
        <w:t>三 环境搭建与运行过程</w:t>
      </w:r>
    </w:p>
    <w:p>
      <w:pPr/>
      <w:r>
        <w:t>开发环境为macOS Apple Silicon。实际核对的工具为Python3.12.15、uv0.12.23、Node24.15.0和npm11.12.1；项目统一以Python3.12复现，依赖以uv.lock和frontend/package-lock.json为准。CI使用Ubuntu及Node22。后台锁采用Unix fcntl、启动脚本采用Bash，现按macOS/Linux运行；Windows使用WSL2，未声明原生Windows已验证。</w:t>
      </w:r>
    </w:p>
    <w:p>
      <w:pPr/>
      <w:r>
        <w:t>首次下载源码、Python和依赖需要网络。正常安装启动命令为：</w:t>
      </w:r>
    </w:p>
    <w:p>
      <w:pPr>
        <w:pStyle w:val="Code"/>
        <w:keepNext w:val="0"/>
      </w:pPr>
      <w:r>
        <w:t>git clone https://github.com/Thedaiyyds/multi-agent-office-lab.git</w:t>
      </w:r>
    </w:p>
    <w:p>
      <w:pPr>
        <w:pStyle w:val="Code"/>
        <w:keepNext w:val="0"/>
      </w:pPr>
      <w:r>
        <w:t>cd multi-agent-office-lab</w:t>
      </w:r>
    </w:p>
    <w:p>
      <w:pPr>
        <w:pStyle w:val="Code"/>
        <w:keepNext w:val="0"/>
      </w:pPr>
      <w:r>
        <w:t>bash scripts/start_workbench.sh</w:t>
      </w:r>
    </w:p>
    <w:p>
      <w:pPr/>
      <w:r>
        <w:t>脚本依次安装锁定Python依赖、运行npm ci、构建前端、启动office-workbench。浏览器打开http://127.0.0.1:8520，保持终端运行，Ctrl+C停止。已有依赖和构建时可用</w:t>
      </w:r>
      <w:r>
        <w:rPr>
          <w:rFonts w:ascii="Liberation Mono" w:hAnsi="Liberation Mono"/>
          <w:sz w:val="20"/>
        </w:rPr>
        <w:t>uv run --locked office-workbench</w:t>
      </w:r>
      <w:r>
        <w:t>再次启动。数据位于outputs/workbench/，包括SQLite、材料与交付文件，不上传Git。</w:t>
      </w:r>
    </w:p>
    <w:p>
      <w:pPr/>
      <w:r>
        <w:t>没有密钥时主动选择“离线模拟（不调用模型）”。真实模式从服务器本地.env读取LLM_BASE_URL、LLM_MODEL、LLM_API_KEY，未配置时不静默模拟。密钥不进入前端、截图、报告或Git。查看、刷新、下载和本地重导出均不重新调用模型。</w:t>
      </w:r>
    </w:p>
    <w:p>
      <w:pPr/>
      <w:r>
        <w:t>独立安装复现先从alpha.5精确源码生成git archive，再从alpha.6候选f016bd9b44f0e530bff1ebcfbb4151ab37b0fb59生成第二个精确副本。副本初始无.env、.venv、node_modules或dist，没有复制正常业务数据库。uv以</w:t>
      </w:r>
      <w:r>
        <w:rPr>
          <w:rFonts w:ascii="Liberation Mono" w:hAnsi="Liberation Mono"/>
          <w:sz w:val="20"/>
        </w:rPr>
        <w:t>--locked --offline --python 3.12</w:t>
      </w:r>
      <w:r>
        <w:t>建立全新环境；npm默认缓存缺Vite时明确ENOTCACHED，改用已有完整包缓存并保持--offline后安装成功。这里复用了依赖缓存，不声称无缓存新机器可以断网首次安装。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776"/>
      </w:tblGrid>
      <w:tr>
        <w:trPr>
          <w:cantSplit/>
          <w:tblHeader/>
        </w:trPr>
        <w:tc>
          <w:tcPr>
            <w:tcW w:type="dxa" w:w="2376"/>
            <w:vAlign w:val="center"/>
            <w:shd w:fill="DC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/>
              <w:spacing w:before="100" w:after="100" w:line="269" w:lineRule="auto"/>
              <w:jc w:val="center"/>
            </w:pPr>
            <w:r>
              <w:rPr>
                <w:b/>
                <w:sz w:val="21"/>
              </w:rPr>
              <w:t>独立副本核验</w:t>
            </w:r>
          </w:p>
        </w:tc>
        <w:tc>
          <w:tcPr>
            <w:tcW w:type="dxa" w:w="7776"/>
            <w:vAlign w:val="center"/>
            <w:shd w:fill="DC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/>
              <w:spacing w:before="100" w:after="100" w:line="269" w:lineRule="auto"/>
              <w:jc w:val="center"/>
            </w:pPr>
            <w:r>
              <w:rPr>
                <w:b/>
                <w:sz w:val="21"/>
              </w:rPr>
              <w:t>实际结果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/>
              <w:spacing w:before="100" w:after="100" w:line="269" w:lineRule="auto"/>
              <w:jc w:val="center"/>
            </w:pPr>
            <w:r>
              <w:rPr>
                <w:sz w:val="21"/>
              </w:rPr>
              <w:t>alpha.5精确副本</w:t>
            </w:r>
          </w:p>
        </w:tc>
        <w:tc>
          <w:tcPr>
            <w:tcW w:type="dxa" w:w="77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/>
              <w:spacing w:before="100" w:after="100" w:line="269" w:lineRule="auto"/>
            </w:pPr>
            <w:r>
              <w:rPr>
                <w:sz w:val="21"/>
              </w:rPr>
              <w:t>两份独立场景套件47项通过、前端13项、生产构建通过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alpha.6精确候选</w:t>
            </w:r>
          </w:p>
        </w:tc>
        <w:tc>
          <w:tcPr>
            <w:tcW w:type="dxa" w:w="77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</w:pPr>
            <w:r>
              <w:rPr>
                <w:sz w:val="21"/>
              </w:rPr>
              <w:t>18项交付/真实本地PDF/重启复审，加2项最新上下文及数字反馈，共20项通过，15.55秒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alpha.6前端</w:t>
            </w:r>
          </w:p>
        </w:tc>
        <w:tc>
          <w:tcPr>
            <w:tcW w:type="dxa" w:w="77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</w:pPr>
            <w:r>
              <w:rPr>
                <w:sz w:val="21"/>
              </w:rPr>
              <w:t>13项通过，TypeScript及Vite生产构建通过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隔离与费用</w:t>
            </w:r>
          </w:p>
        </w:tc>
        <w:tc>
          <w:tcPr>
            <w:tcW w:type="dxa" w:w="77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</w:pPr>
            <w:r>
              <w:rPr>
                <w:sz w:val="21"/>
              </w:rPr>
              <w:t>副本执行后仍无.env；使用MockTransport，新增外部模型请求0</w:t>
            </w:r>
          </w:p>
        </w:tc>
      </w:tr>
    </w:tbl>
    <w:p>
      <w:pPr>
        <w:spacing w:after="40"/>
      </w:pPr>
    </w:p>
    <w:p>
      <w:pPr/>
      <w:r>
        <w:t>复现通过正常API和临时数据库运行真实图与渲染器；新测试验证关闭应用后同库重启，旧双文件字节与账本不变，查看不加调用；编辑后只经Checker与Manager两角色重审。详细命令、锁哈希及边界见docs/validation-v2.0-alpha.6.md。</w:t>
      </w:r>
    </w:p>
    <w:p>
      <w:pPr>
        <w:pStyle w:val="Heading1"/>
      </w:pPr>
      <w:r>
        <w:t>四 实际开发分工与Git过程</w:t>
      </w:r>
    </w:p>
    <w:p>
      <w:pPr/>
      <w:r>
        <w:t>开发采用版本计划、接口确认、独占文件分工、集成、独立审查、PR、CI、合并和标签。AI开发角色与产品运行角色分别记录；主协调者管理共享入口、依赖、集成及发布，用户提供需求、配置及实际Git身份。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776"/>
      </w:tblGrid>
      <w:tr>
        <w:trPr>
          <w:cantSplit/>
          <w:tblHeader/>
        </w:trPr>
        <w:tc>
          <w:tcPr>
            <w:tcW w:type="dxa" w:w="2376"/>
            <w:vAlign w:val="center"/>
            <w:shd w:fill="DC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/>
              <w:spacing w:before="100" w:after="100" w:line="269" w:lineRule="auto"/>
              <w:jc w:val="center"/>
            </w:pPr>
            <w:r>
              <w:rPr>
                <w:b/>
                <w:sz w:val="21"/>
              </w:rPr>
              <w:t>工程角色</w:t>
            </w:r>
          </w:p>
        </w:tc>
        <w:tc>
          <w:tcPr>
            <w:tcW w:type="dxa" w:w="7776"/>
            <w:vAlign w:val="center"/>
            <w:shd w:fill="DC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/>
              <w:spacing w:before="100" w:after="100" w:line="269" w:lineRule="auto"/>
              <w:jc w:val="center"/>
            </w:pPr>
            <w:r>
              <w:rPr>
                <w:b/>
                <w:sz w:val="21"/>
              </w:rPr>
              <w:t>实际工作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/>
              <w:spacing w:before="100" w:after="100" w:line="269" w:lineRule="auto"/>
              <w:jc w:val="center"/>
            </w:pPr>
            <w:r>
              <w:rPr>
                <w:sz w:val="21"/>
              </w:rPr>
              <w:t>后端/数据Agent</w:t>
            </w:r>
          </w:p>
        </w:tc>
        <w:tc>
          <w:tcPr>
            <w:tcW w:type="dxa" w:w="77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/>
              <w:spacing w:before="100" w:after="100" w:line="269" w:lineRule="auto"/>
            </w:pPr>
            <w:r>
              <w:rPr>
                <w:sz w:val="21"/>
              </w:rPr>
              <w:t>材料与统计、五角色执行、持久状态、报告修订和交付门禁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前端Agent</w:t>
            </w:r>
          </w:p>
        </w:tc>
        <w:tc>
          <w:tcPr>
            <w:tcW w:type="dxa" w:w="77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</w:pPr>
            <w:r>
              <w:rPr>
                <w:sz w:val="21"/>
              </w:rPr>
              <w:t>需求入口、材料映射、实际进度、修订/下载、归档与离页保护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独立测试审查Agent</w:t>
            </w:r>
          </w:p>
        </w:tc>
        <w:tc>
          <w:tcPr>
            <w:tcW w:type="dxa" w:w="77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</w:pPr>
            <w:r>
              <w:rPr>
                <w:sz w:val="21"/>
              </w:rPr>
              <w:t>指导书映射、两场景黑盒、预算/取消/哈希、真实本地PDF、新源码副本复现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主协调者</w:t>
            </w:r>
          </w:p>
        </w:tc>
        <w:tc>
          <w:tcPr>
            <w:tcW w:type="dxa" w:w="77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</w:pPr>
            <w:r>
              <w:rPr>
                <w:sz w:val="21"/>
              </w:rPr>
              <w:t>契约、共享文件、PDF字体与版式、浏览器、受限真实模型验收、CI与Git集成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2880"/>
        <w:gridCol w:w="5616"/>
      </w:tblGrid>
      <w:tr>
        <w:trPr>
          <w:cantSplit/>
          <w:tblHeader/>
        </w:trPr>
        <w:tc>
          <w:tcPr>
            <w:tcW w:type="dxa" w:w="1656"/>
            <w:vAlign w:val="center"/>
            <w:shd w:fill="DC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/>
              <w:spacing w:before="100" w:after="100" w:line="269" w:lineRule="auto"/>
              <w:jc w:val="center"/>
            </w:pPr>
            <w:r>
              <w:rPr>
                <w:b/>
                <w:sz w:val="21"/>
              </w:rPr>
              <w:t>版本</w:t>
            </w:r>
          </w:p>
        </w:tc>
        <w:tc>
          <w:tcPr>
            <w:tcW w:type="dxa" w:w="2880"/>
            <w:vAlign w:val="center"/>
            <w:shd w:fill="DC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/>
              <w:spacing w:before="100" w:after="100" w:line="269" w:lineRule="auto"/>
              <w:jc w:val="center"/>
            </w:pPr>
            <w:r>
              <w:rPr>
                <w:b/>
                <w:sz w:val="21"/>
              </w:rPr>
              <w:t>主要成果</w:t>
            </w:r>
          </w:p>
        </w:tc>
        <w:tc>
          <w:tcPr>
            <w:tcW w:type="dxa" w:w="5616"/>
            <w:vAlign w:val="center"/>
            <w:shd w:fill="DC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/>
              <w:spacing w:before="100" w:after="100" w:line="269" w:lineRule="auto"/>
              <w:jc w:val="center"/>
            </w:pPr>
            <w:r>
              <w:rPr>
                <w:b/>
                <w:sz w:val="21"/>
              </w:rPr>
              <w:t>Git记录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/>
              <w:spacing w:before="100" w:after="100" w:line="269" w:lineRule="auto"/>
              <w:jc w:val="center"/>
            </w:pPr>
            <w:r>
              <w:rPr>
                <w:sz w:val="21"/>
              </w:rPr>
              <w:t>alpha.1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/>
              <w:spacing w:before="100" w:after="100" w:line="269" w:lineRule="auto"/>
            </w:pPr>
            <w:r>
              <w:rPr>
                <w:sz w:val="21"/>
              </w:rPr>
              <w:t>React界面、需求草稿、持久化基础</w:t>
            </w:r>
          </w:p>
        </w:tc>
        <w:tc>
          <w:tcPr>
            <w:tcW w:type="dxa" w:w="56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/>
              <w:spacing w:before="100" w:after="100" w:line="269" w:lineRule="auto"/>
              <w:jc w:val="center"/>
            </w:pPr>
            <w:r>
              <w:rPr>
                <w:sz w:val="21"/>
              </w:rPr>
              <w:t>PR #9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alpha.2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</w:pPr>
            <w:r>
              <w:rPr>
                <w:sz w:val="21"/>
              </w:rPr>
              <w:t>TXT/CSV/DOCX导入、映射、不可变材料</w:t>
            </w:r>
          </w:p>
        </w:tc>
        <w:tc>
          <w:tcPr>
            <w:tcW w:type="dxa" w:w="56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</w:pPr>
            <w:r>
              <w:rPr>
                <w:sz w:val="21"/>
              </w:rPr>
              <w:t>PR #10；PR #11纠正普通案例使用约定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alpha.3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四类统计、来源与快照历史</w:t>
            </w:r>
          </w:p>
        </w:tc>
        <w:tc>
          <w:tcPr>
            <w:tcW w:type="dxa" w:w="56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PR #12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alpha.4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</w:pPr>
            <w:r>
              <w:rPr>
                <w:sz w:val="21"/>
              </w:rPr>
              <w:t>五角色图、返工、Manager验收、预算/取消/中断</w:t>
            </w:r>
          </w:p>
        </w:tc>
        <w:tc>
          <w:tcPr>
            <w:tcW w:type="dxa" w:w="56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PR #13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alpha.5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</w:pPr>
            <w:r>
              <w:rPr>
                <w:sz w:val="21"/>
              </w:rPr>
              <w:t>修订重审、同源Markdown/PDF与恢复</w:t>
            </w:r>
          </w:p>
        </w:tc>
        <w:tc>
          <w:tcPr>
            <w:tcW w:type="dxa" w:w="56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</w:pPr>
            <w:r>
              <w:rPr>
                <w:sz w:val="21"/>
              </w:rPr>
              <w:t>PR #14，双CI通过后合并及标签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alpha.6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</w:pPr>
            <w:r>
              <w:rPr>
                <w:sz w:val="21"/>
              </w:rPr>
              <w:t>两真实场景、安装复现、归档及上下文改进</w:t>
            </w:r>
          </w:p>
        </w:tc>
        <w:tc>
          <w:tcPr>
            <w:tcW w:type="dxa" w:w="56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</w:pPr>
            <w:r>
              <w:rPr>
                <w:sz w:val="21"/>
              </w:rPr>
              <w:t>PR #15，双CI通过，合并d60273b，标签v2.0-alpha.6</w:t>
            </w:r>
          </w:p>
        </w:tc>
      </w:tr>
    </w:tbl>
    <w:p>
      <w:pPr>
        <w:spacing w:after="40"/>
      </w:pPr>
    </w:p>
    <w:p>
      <w:pPr/>
      <w:r>
        <w:t>GitHub PR地址为仓库地址加</w:t>
      </w:r>
      <w:r>
        <w:rPr>
          <w:rFonts w:ascii="Liberation Mono" w:hAnsi="Liberation Mono"/>
          <w:sz w:val="20"/>
        </w:rPr>
        <w:t>/pull/编号</w:t>
      </w:r>
      <w:r>
        <w:t>。历史v0.1—v1.0源码、文档和Streamlit证据保留，但不作为新版界面或架构。本报告以alpha.6已验收代码为基线编写v2.0.0课程交付材料，正式发布身份由仓库版本记录标识。</w:t>
      </w:r>
    </w:p>
    <w:p>
      <w:pPr/>
      <w:r>
        <w:t>实际交叉审查关闭了两类集成问题：需求PATCH事务中另开连接读到旧版本，使响应状态滞后，改为复用当前事务；运行先completed而交付回调稍后落地时，前端必须继续读取reviewing修订，避免停留在审核中。alpha.6再以持久修订状态变化通知父列表，避免旧draft缓存。修复均有回归或界面验证。</w:t>
      </w:r>
    </w:p>
    <w:p>
      <w:pPr>
        <w:pStyle w:val="Heading1"/>
      </w:pPr>
      <w:r>
        <w:t>五 两场景真实运行与分析</w:t>
      </w:r>
    </w:p>
    <w:p>
      <w:pPr/>
      <w:r>
        <w:t>案例均为合成办公数据。</w:t>
      </w:r>
      <w:r>
        <w:rPr>
          <w:rFonts w:ascii="Liberation Mono" w:hAnsi="Liberation Mono"/>
          <w:sz w:val="20"/>
        </w:rPr>
        <w:t>mode=live</w:t>
      </w:r>
      <w:r>
        <w:t>表示真实调用DeepSeek，并不表示材料来自真实企业。运行采用同一正常8520工作台，不要求独立演示空间。</w:t>
      </w:r>
    </w:p>
    <w:p>
      <w:pPr>
        <w:pStyle w:val="Heading2"/>
      </w:pPr>
      <w:r>
        <w:t>5 1 技术部2026年第二季度</w:t>
      </w:r>
    </w:p>
    <w:p>
      <w:pPr/>
      <w:r>
        <w:t>用户可在“新建报告”勾选“使用系统本地样例数据（虚构）”，或上传data/demo/technical-q2/下的项目、考勤、成果CSV与TXT/DOCX说明并确认版本，提交：</w:t>
      </w:r>
    </w:p>
    <w:p>
      <w:pPr/>
      <w:r>
        <w:t>生成2026年第二季度技术部工作汇报，包含项目进度、人员考勤、成果统计、问题与后续计划。请根据已授权的材料生成Markdown，并导出PDF。考勤只能说明所提供的样本，不得推断整个季度；不要编造其他事实。</w:t>
      </w:r>
    </w:p>
    <w:p>
      <w:pPr/>
      <w:r>
        <w:t>项目CSV五条快照对应四个项目，取最新有效快照后期末可识别4个、完成状态2个、完成率50%，成果3项。考勤仅两人员×两天，共4个人日，计划32小时、实际28小时、请假4小时，样本比率87.5%；没有完整季度排班，整体出勤率与覆盖率未定义。</w:t>
      </w:r>
    </w:p>
    <w:p>
      <w:pPr/>
      <w:r>
        <w:t>真实run_id为4f7312f49fe24ab4b25cfdf4192cfcd5。实际六节点为Manager→Planner→Data→Writer→Checker→Manager，revision0初稿通过程序、模型Checker与Manager，未发生业务返工；6次请求、输入14019/输出721、合计14740tokens。Markdown16324字节、PDF90324字节，自动ready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355080" cy="5660363"/>
            <wp:docPr id="2" name="Picture 2" descr="技术部真实模型报告交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cal-live-delivery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56603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技术部真实模型报告交付</w:t>
      </w:r>
    </w:p>
    <w:p>
      <w:pPr/>
      <w:r>
        <w:t>图2 技术部真实运行的合格正文与文件交付。项目、成果及考勤样本限制来自本次冻结数据。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355080" cy="5660363"/>
            <wp:docPr id="3" name="Picture 3" descr="五角色与Manager最终验收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cal-live-acceptanc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56603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五角色与Manager最终验收</w:t>
      </w:r>
    </w:p>
    <w:p>
      <w:pPr/>
      <w:r>
        <w:t>图3 实际角色记录及最终Manager验收。末尾再次使用Manager不增加第六种角色。</w:t>
      </w:r>
    </w:p>
    <w:p>
      <w:pPr>
        <w:pStyle w:val="Heading2"/>
      </w:pPr>
      <w:r>
        <w:t>5 2 行政部2026年第一季度</w:t>
      </w:r>
    </w:p>
    <w:p>
      <w:pPr/>
      <w:r>
        <w:t>普通材料位于data/demo/administration-q1/。在正常入口选择满意度与服务记录，或明确授权固定本地接口，提交：</w:t>
      </w:r>
    </w:p>
    <w:p>
      <w:pPr/>
      <w:r>
        <w:t>生成2026年第一季度行政部工作汇报，重点突出行政服务满意度，说明样本数量、量表与数据限制。请生成Markdown，并提供PDF下载。没有往期数据时不要编造同比或提升结论。</w:t>
      </w:r>
    </w:p>
    <w:p>
      <w:pPr/>
      <w:r>
        <w:t>1—5分量表四份反馈得分4、5、3、4，均分4.0、样本数4。不能将4.0分直接写成80%满意率，也没有往期依据说明提升。</w:t>
      </w:r>
    </w:p>
    <w:p>
      <w:pPr/>
      <w:r>
        <w:t>真实run_id为af30feadee5e4c5b9065d241d02f644e。六节点完成，revision0通过程序、模型Checker与Manager；6次请求、输入10465/输出630、合计11095tokens。Markdown5321字节、PDF79700字节，自动ready。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355080" cy="3574732"/>
            <wp:docPr id="4" name="Picture 4" descr="行政部真实模型报告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istration-liv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574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行政部真实模型报告</w:t>
      </w:r>
    </w:p>
    <w:p>
      <w:pPr/>
      <w:r>
        <w:t>图4 行政服务满意度真实结果。样本、量表和来源与技术部场景分别绑定，不能跨报告套用。</w:t>
      </w:r>
    </w:p>
    <w:p>
      <w:pPr>
        <w:pStyle w:val="Heading2"/>
      </w:pPr>
      <w:r>
        <w:t>5 3 产物同源与来源证据</w:t>
      </w:r>
    </w:p>
    <w:p>
      <w:pPr/>
      <w:r>
        <w:t>两场景原始安全运行记录位于evidence/v2.0-alpha.6/live-validation.json，最终当前文件与行政修订2复审记录位于evidence/v2.0.0/validation.json。技术稿保留首次通过修订1；行政稿修订2只修正样本用词，统计与来源不变。对应内容哈希前缀如下（完整值见最终validation.json）：</w:t>
      </w:r>
    </w:p>
    <w:p>
      <w:pPr>
        <w:pStyle w:val="Code"/>
        <w:keepNext w:val="0"/>
      </w:pPr>
      <w:r>
        <w:t>技术部 d64935a65541...</w:t>
      </w:r>
    </w:p>
    <w:p>
      <w:pPr>
        <w:pStyle w:val="Code"/>
        <w:keepNext w:val="0"/>
      </w:pPr>
      <w:r>
        <w:t>行政部 29372cf829be...</w:t>
      </w:r>
    </w:p>
    <w:p>
      <w:pPr/>
      <w:r>
        <w:t>技术部PDF文件SHA256前缀为3c523e25b59c...；行政部PDF前缀为83f1629300f7...。对应MD文件SHA保存在最终validation.json，材料版本、行号与已验证执行源码哈希保存在alpha.6 JSON及安全run文件。MD与PDF文件本身哈希不同，但两种artifact的snapshot_hash相同，表明来自同一审核快照；不能要求不同格式的文件哈希相等。</w:t>
      </w:r>
    </w:p>
    <w:p>
      <w:pPr/>
      <w:r>
        <w:t>技术PDF6页、行政PDF3页已逐页渲染检查中文、长来源、表格、页脚与分页。字体子集嵌入随文件交付，不依赖读者安装中文字体。</w:t>
      </w:r>
    </w:p>
    <w:p>
      <w:pPr>
        <w:pStyle w:val="Heading2"/>
      </w:pPr>
      <w:r>
        <w:t>5 4 修改复审与正常演示</w:t>
      </w:r>
    </w:p>
    <w:p>
      <w:pPr/>
      <w:r>
        <w:t>演示按输入→协作→来源→正文→文件→修订顺序进行。查看时间线和节点输入输出，展示Planner数据需求确实传给Data；核对50%指标的分子分母、CSV行和哈希；打开实际Markdown/PDF。然后修改一段后续计划文字，保存新修订，展示“待审核”及下载门禁，再进行Checker→Manager复审。旧合格修订保留历史标记，不覆盖旧内容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355080" cy="5660363"/>
            <wp:docPr id="5" name="Picture 5" descr="正常报告归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v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56603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正常报告归档</w:t>
      </w:r>
    </w:p>
    <w:p>
      <w:pPr/>
      <w:r>
        <w:t>图5 归档只显示当前合格报告；修改后待审核的报告暂时离开该列表，已有合格历史仍可回看。</w:t>
      </w:r>
    </w:p>
    <w:p>
      <w:pPr/>
      <w:r>
        <w:t>课堂免费演示可主动选择“离线模拟”，其图调度、统计、程序审核与文件渲染实际执行，角色语言回复来自夹具且页面/文件有标识。真实DeepSeek成功记录与离线演练分开说明。操作全文见docs/report-example.md。</w:t>
      </w:r>
    </w:p>
    <w:p>
      <w:pPr>
        <w:pStyle w:val="Heading1"/>
      </w:pPr>
      <w:r>
        <w:t>六 验证 故障与费用记录</w:t>
      </w:r>
    </w:p>
    <w:p>
      <w:pPr>
        <w:pStyle w:val="Heading2"/>
      </w:pPr>
      <w:r>
        <w:t>6 1 验证层次和结果</w:t>
      </w:r>
    </w:p>
    <w:p>
      <w:pPr/>
      <w:r>
        <w:t>已发布alpha.6代码完成846项Python测试、13项前端测试、生产构建、Ruff检查与格式检查；PR #15的Python离线检查和前端检查两个CI任务均成功后合并。它们分别证明代码回归与安装构建，不用测试数量代替业务验收。</w:t>
      </w:r>
    </w:p>
    <w:p>
      <w:pPr/>
      <w:r>
        <w:t>独立审查先对执行、独立场景及本地来源77项专项验证；交付阶段17项黑盒检查，再增加重启闭环成为18项。alpha.6精确候选隔离副本另执行18项交付加2项上下文/反馈回归，共20项通过。各阶段计数是当时范围，不相加为全仓总数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776"/>
      </w:tblGrid>
      <w:tr>
        <w:trPr>
          <w:cantSplit/>
          <w:tblHeader/>
        </w:trPr>
        <w:tc>
          <w:tcPr>
            <w:tcW w:type="dxa" w:w="2376"/>
            <w:vAlign w:val="center"/>
            <w:shd w:fill="DC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/>
              <w:spacing w:before="100" w:after="100" w:line="269" w:lineRule="auto"/>
              <w:jc w:val="center"/>
            </w:pPr>
            <w:r>
              <w:rPr>
                <w:b/>
                <w:sz w:val="21"/>
              </w:rPr>
              <w:t>验证类别</w:t>
            </w:r>
          </w:p>
        </w:tc>
        <w:tc>
          <w:tcPr>
            <w:tcW w:type="dxa" w:w="7776"/>
            <w:vAlign w:val="center"/>
            <w:shd w:fill="DC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/>
              <w:spacing w:before="100" w:after="100" w:line="269" w:lineRule="auto"/>
              <w:jc w:val="center"/>
            </w:pPr>
            <w:r>
              <w:rPr>
                <w:b/>
                <w:sz w:val="21"/>
              </w:rPr>
              <w:t>实际检查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/>
              <w:spacing w:before="100" w:after="100" w:line="269" w:lineRule="auto"/>
              <w:jc w:val="center"/>
            </w:pPr>
            <w:r>
              <w:rPr>
                <w:sz w:val="21"/>
              </w:rPr>
              <w:t>两正常场景</w:t>
            </w:r>
          </w:p>
        </w:tc>
        <w:tc>
          <w:tcPr>
            <w:tcW w:type="dxa" w:w="77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/>
              <w:spacing w:before="100" w:after="100" w:line="269" w:lineRule="auto"/>
            </w:pPr>
            <w:r>
              <w:rPr>
                <w:sz w:val="21"/>
              </w:rPr>
              <w:t>正常API、真实图、全量统计、自动合格修订与真实本地PDF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MD/PDF一致性</w:t>
            </w:r>
          </w:p>
        </w:tc>
        <w:tc>
          <w:tcPr>
            <w:tcW w:type="dxa" w:w="77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</w:pPr>
            <w:r>
              <w:rPr>
                <w:sz w:val="21"/>
              </w:rPr>
              <w:t>正文相同来源、快照/文件独立SHA、PDF文字与嵌入字体流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非法编辑</w:t>
            </w:r>
          </w:p>
        </w:tc>
        <w:tc>
          <w:tcPr>
            <w:tcW w:type="dxa" w:w="77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</w:pPr>
            <w:r>
              <w:rPr>
                <w:sz w:val="21"/>
              </w:rPr>
              <w:t>裸数字、错引用、少章节、HTML、直接覆盖facts/markdown均拒绝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审核与预算</w:t>
            </w:r>
          </w:p>
        </w:tc>
        <w:tc>
          <w:tcPr>
            <w:tcW w:type="dxa" w:w="77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</w:pPr>
            <w:r>
              <w:rPr>
                <w:sz w:val="21"/>
              </w:rPr>
              <w:t>Checker失败不调用Manager；Manager拒绝不发布；请求先预留，同键不重发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版本与空间</w:t>
            </w:r>
          </w:p>
        </w:tc>
        <w:tc>
          <w:tcPr>
            <w:tcW w:type="dxa" w:w="77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</w:pPr>
            <w:r>
              <w:rPr>
                <w:sz w:val="21"/>
              </w:rPr>
              <w:t>需求改变后PATCH/GET/列表/筛选一致回draft；跨空间路由404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取消与错误</w:t>
            </w:r>
          </w:p>
        </w:tc>
        <w:tc>
          <w:tcPr>
            <w:tcW w:type="dxa" w:w="77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</w:pPr>
            <w:r>
              <w:rPr>
                <w:sz w:val="21"/>
              </w:rPr>
              <w:t>在途Manager取消不能发布晚到成功，401 body和凭据不落库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文件与重启</w:t>
            </w:r>
          </w:p>
        </w:tc>
        <w:tc>
          <w:tcPr>
            <w:tcW w:type="dxa" w:w="77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</w:pPr>
            <w:r>
              <w:rPr>
                <w:sz w:val="21"/>
              </w:rPr>
              <w:t>损坏下载409，快照重导出不加模型请求；重启旧文件与账本不变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页面</w:t>
            </w:r>
          </w:p>
        </w:tc>
        <w:tc>
          <w:tcPr>
            <w:tcW w:type="dxa" w:w="77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</w:pPr>
            <w:r>
              <w:rPr>
                <w:sz w:val="21"/>
              </w:rPr>
              <w:t>正常8520输入、真实运行/验收、归档与历史；未增加独立产品演示入口</w:t>
            </w:r>
          </w:p>
        </w:tc>
      </w:tr>
    </w:tbl>
    <w:p>
      <w:pPr>
        <w:spacing w:after="40"/>
      </w:pPr>
    </w:p>
    <w:p>
      <w:pPr>
        <w:pStyle w:val="Heading2"/>
      </w:pPr>
      <w:r>
        <w:t>6 2 实际故障与修复</w:t>
      </w:r>
    </w:p>
    <w:p>
      <w:pPr/>
      <w:r>
        <w:t>首次真实需求范围核验失败，系统没有建立伪报告或继续调用其余角色。修复为原文生成半开期间提示并强化季度结束日；结构合格候选单独保存用于诊断，未通过业务门禁的日期不能写正式requirements。错误6月30日仍被拒绝，不为让案例通过而放宽规则。</w:t>
      </w:r>
    </w:p>
    <w:p>
      <w:pPr/>
      <w:r>
        <w:t>第二次Data在192输出上限处截断，后续角色停止。收紧短角色格式并增加明确截断错误，避免截断JSON假通过。alpha.6首次技术运行经过Writer/Checker返工，日期或“两个工作日”等裸数量转述仍被拒绝，未导出；修复为精确标明章节/数字片段并向Writer传递上一稿。最终两场景在保留数字门禁的情况下通过。</w:t>
      </w:r>
    </w:p>
    <w:p>
      <w:pPr/>
      <w:r>
        <w:t>最终Manager仍读取完整正文、权威表、限制与材料索引，并绑定完整稿SHA；只删除重复发送的逐事实逐行来源附录，完整来源仍保留在快照、程序校验与交付文件中。这样减少重复上下文而不删除审核依据。</w:t>
      </w:r>
    </w:p>
    <w:p>
      <w:pPr/>
      <w:r>
        <w:t>页面和后端均区分生成、审核与文件状态。供应商失败只存安全静态错误，不落原始异常、密钥或用户私有路径；预算在HTTP前持久预留，默认自动重试0，未知usage保留null。取消不保证撤销在途费用，但阻止后续请求及晚到成功。服务重启标记未知在途中断，不自动重放付费操作。</w:t>
      </w:r>
    </w:p>
    <w:p>
      <w:pPr>
        <w:pStyle w:val="Heading2"/>
      </w:pPr>
      <w:r>
        <w:t>6 3 真实调用账本</w:t>
      </w:r>
    </w:p>
    <w:p>
      <w:pPr/>
      <w:r>
        <w:t>模型为deepseek-v4-pro。真实调用由主协调者集中执行，其他Agent使用本地夹具，避免重复费用。成功两场景每场明确上限8次请求、3648预留输出token、最多一次返工，网络自动重试0；实际各6次请求、2368预留输出，预留不是供应商账单用量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1944"/>
        <w:gridCol w:w="1944"/>
        <w:gridCol w:w="4608"/>
      </w:tblGrid>
      <w:tr>
        <w:trPr>
          <w:cantSplit/>
          <w:tblHeader/>
        </w:trPr>
        <w:tc>
          <w:tcPr>
            <w:tcW w:type="dxa" w:w="1656"/>
            <w:vAlign w:val="center"/>
            <w:shd w:fill="DC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/>
              <w:spacing w:before="100" w:after="100" w:line="269" w:lineRule="auto"/>
              <w:jc w:val="center"/>
            </w:pPr>
            <w:r>
              <w:rPr>
                <w:b/>
                <w:sz w:val="21"/>
              </w:rPr>
              <w:t>实际运行</w:t>
            </w:r>
          </w:p>
        </w:tc>
        <w:tc>
          <w:tcPr>
            <w:tcW w:type="dxa" w:w="1944"/>
            <w:vAlign w:val="center"/>
            <w:shd w:fill="DC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/>
              <w:spacing w:before="100" w:after="100" w:line="269" w:lineRule="auto"/>
              <w:jc w:val="center"/>
            </w:pPr>
            <w:r>
              <w:rPr>
                <w:b/>
                <w:sz w:val="21"/>
              </w:rPr>
              <w:t>请求数</w:t>
            </w:r>
          </w:p>
        </w:tc>
        <w:tc>
          <w:tcPr>
            <w:tcW w:type="dxa" w:w="1944"/>
            <w:vAlign w:val="center"/>
            <w:shd w:fill="DC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/>
              <w:spacing w:before="100" w:after="100" w:line="269" w:lineRule="auto"/>
              <w:jc w:val="center"/>
            </w:pPr>
            <w:r>
              <w:rPr>
                <w:b/>
                <w:sz w:val="21"/>
              </w:rPr>
              <w:t>total_tokens</w:t>
            </w:r>
          </w:p>
        </w:tc>
        <w:tc>
          <w:tcPr>
            <w:tcW w:type="dxa" w:w="4608"/>
            <w:vAlign w:val="center"/>
            <w:shd w:fill="DC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/>
              <w:spacing w:before="100" w:after="100" w:line="269" w:lineRule="auto"/>
              <w:jc w:val="center"/>
            </w:pPr>
            <w:r>
              <w:rPr>
                <w:b/>
                <w:sz w:val="21"/>
              </w:rPr>
              <w:t>结果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/>
              <w:spacing w:before="100" w:after="100" w:line="269" w:lineRule="auto"/>
            </w:pPr>
            <w:r>
              <w:rPr>
                <w:sz w:val="21"/>
              </w:rPr>
              <w:t>alpha.4 Manager范围探测</w:t>
            </w:r>
          </w:p>
        </w:tc>
        <w:tc>
          <w:tcPr>
            <w:tcW w:type="dxa" w:w="19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/>
              <w:spacing w:before="100" w:after="100" w:line="269" w:lineRule="auto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type="dxa" w:w="19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/>
              <w:spacing w:before="100" w:after="100" w:line="269" w:lineRule="auto"/>
              <w:jc w:val="center"/>
            </w:pPr>
            <w:r>
              <w:rPr>
                <w:sz w:val="21"/>
              </w:rPr>
              <w:t>1115</w:t>
            </w:r>
          </w:p>
        </w:tc>
        <w:tc>
          <w:tcPr>
            <w:tcW w:type="dxa" w:w="46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/>
              <w:spacing w:before="100" w:after="100" w:line="269" w:lineRule="auto"/>
              <w:jc w:val="center"/>
            </w:pPr>
            <w:r>
              <w:rPr>
                <w:sz w:val="21"/>
              </w:rPr>
              <w:t>范围校验失败停止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alpha.4 Data截断探测</w:t>
            </w:r>
          </w:p>
        </w:tc>
        <w:tc>
          <w:tcPr>
            <w:tcW w:type="dxa" w:w="19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type="dxa" w:w="19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5481</w:t>
            </w:r>
          </w:p>
        </w:tc>
        <w:tc>
          <w:tcPr>
            <w:tcW w:type="dxa" w:w="46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</w:pPr>
            <w:r>
              <w:rPr>
                <w:sz w:val="21"/>
              </w:rPr>
              <w:t>需求/规划通过，Data输出上限停止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alpha.6首次技术审核</w:t>
            </w:r>
          </w:p>
        </w:tc>
        <w:tc>
          <w:tcPr>
            <w:tcW w:type="dxa" w:w="19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7</w:t>
            </w:r>
          </w:p>
        </w:tc>
        <w:tc>
          <w:tcPr>
            <w:tcW w:type="dxa" w:w="19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20374</w:t>
            </w:r>
          </w:p>
        </w:tc>
        <w:tc>
          <w:tcPr>
            <w:tcW w:type="dxa" w:w="46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数量转述规则拒绝，未导出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技术部完整成功</w:t>
            </w:r>
          </w:p>
        </w:tc>
        <w:tc>
          <w:tcPr>
            <w:tcW w:type="dxa" w:w="19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6</w:t>
            </w:r>
          </w:p>
        </w:tc>
        <w:tc>
          <w:tcPr>
            <w:tcW w:type="dxa" w:w="19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14740</w:t>
            </w:r>
          </w:p>
        </w:tc>
        <w:tc>
          <w:tcPr>
            <w:tcW w:type="dxa" w:w="46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</w:pPr>
            <w:r>
              <w:rPr>
                <w:sz w:val="21"/>
              </w:rPr>
              <w:t>六节点完成，MD/PDF ready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行政部完整成功</w:t>
            </w:r>
          </w:p>
        </w:tc>
        <w:tc>
          <w:tcPr>
            <w:tcW w:type="dxa" w:w="19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6</w:t>
            </w:r>
          </w:p>
        </w:tc>
        <w:tc>
          <w:tcPr>
            <w:tcW w:type="dxa" w:w="19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11095</w:t>
            </w:r>
          </w:p>
        </w:tc>
        <w:tc>
          <w:tcPr>
            <w:tcW w:type="dxa" w:w="46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</w:pPr>
            <w:r>
              <w:rPr>
                <w:sz w:val="21"/>
              </w:rPr>
              <w:t>六节点完成，MD/PDF ready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两场景首次全流程及失败探测小计</w:t>
            </w:r>
          </w:p>
        </w:tc>
        <w:tc>
          <w:tcPr>
            <w:tcW w:type="dxa" w:w="19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23</w:t>
            </w:r>
          </w:p>
        </w:tc>
        <w:tc>
          <w:tcPr>
            <w:tcW w:type="dxa" w:w="19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52805</w:t>
            </w:r>
          </w:p>
        </w:tc>
        <w:tc>
          <w:tcPr>
            <w:tcW w:type="dxa" w:w="46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</w:pPr>
            <w:r>
              <w:rPr>
                <w:sz w:val="21"/>
              </w:rPr>
              <w:t>两个成功完整场景12请求25835；失败11请求26970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行政稿修订2真实复审</w:t>
            </w:r>
          </w:p>
        </w:tc>
        <w:tc>
          <w:tcPr>
            <w:tcW w:type="dxa" w:w="19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type="dxa" w:w="19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3942</w:t>
            </w:r>
          </w:p>
        </w:tc>
        <w:tc>
          <w:tcPr>
            <w:tcW w:type="dxa" w:w="46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</w:pPr>
            <w:r>
              <w:rPr>
                <w:sz w:val="21"/>
              </w:rPr>
              <w:t>Checker→Manager通过，仅修改样本用词，事实不变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最终累计</w:t>
            </w:r>
          </w:p>
        </w:tc>
        <w:tc>
          <w:tcPr>
            <w:tcW w:type="dxa" w:w="19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25</w:t>
            </w:r>
          </w:p>
        </w:tc>
        <w:tc>
          <w:tcPr>
            <w:tcW w:type="dxa" w:w="19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56747</w:t>
            </w:r>
          </w:p>
        </w:tc>
        <w:tc>
          <w:tcPr>
            <w:tcW w:type="dxa" w:w="46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</w:pPr>
            <w:r>
              <w:rPr>
                <w:sz w:val="21"/>
              </w:rPr>
              <w:t>包含失败与最终两角色复审，没有隐去费用</w:t>
            </w:r>
          </w:p>
        </w:tc>
      </w:tr>
    </w:tbl>
    <w:p>
      <w:pPr>
        <w:spacing w:after="40"/>
      </w:pPr>
    </w:p>
    <w:p>
      <w:pPr/>
      <w:r>
        <w:t>失败摘要与成功完整安全记录均归档，没有隐藏失败用量。后续检查发现行政稿把反馈样本写成了“排班样本”。修改这一处用词后生成修订2，保留事实与来源，真实Checker和Manager两角色复审通过；新增2次请求、3942tokens。这说明数值门禁不能替代语义复核，也实际验证了人工修改后重新审核的流程。其余查看、截图、下载与报告整理复用既有证据。</w:t>
      </w:r>
    </w:p>
    <w:p>
      <w:pPr>
        <w:pStyle w:val="Heading1"/>
      </w:pPr>
      <w:r>
        <w:t>七 结论与边界</w:t>
      </w:r>
    </w:p>
    <w:p>
      <w:pPr/>
      <w:r>
        <w:t>按代码验收基线，系统已在正常网页贯通需求接收、规划、数据整理、撰写、审核修正、Manager验收及Markdown/PDF交付；技术部与行政部两个合成场景均有实际DeepSeek六节点成功记录。安装复现、程序反例、编辑重审、历史文件和失败恢复形成相互补充的证据，不能以单独安装框架、材料导入或离线回复代替完整业务完成。</w:t>
      </w:r>
    </w:p>
    <w:p>
      <w:pPr/>
      <w:r>
        <w:t>体系结构的主要价值是将语言决策放在受约束角色中，将确定性事实、执行预算和交付权限交给可测试程序。可追溯版本和来源提高了检查能力，但本地SHA不等于有数字签名的对抗性审计，模型审核也不能证明所有业务叙述绝对真实。</w:t>
      </w:r>
    </w:p>
    <w:p>
      <w:pPr/>
      <w:r>
        <w:t>系统定位为本机单用户课程原型：单worker串行，无生产账号与权限体系；接口为固定本地模拟源；DOCX解析正文和普通表格，不承诺OCR、复杂嵌入对象或任意版式；Unix进程锁限定运行平台；排班与材料不完整时保留样本限制。增加企业数据源、多用户及并发调度应在这些明确边界上设计，而不将当前教学原型描述成生产办公平台。</w:t>
      </w:r>
    </w:p>
    <w:p>
      <w:pPr>
        <w:pStyle w:val="Heading1"/>
      </w:pPr>
      <w:r>
        <w:t>八 材料与证据索引</w:t>
      </w:r>
    </w:p>
    <w:p>
      <w:pPr>
        <w:pStyle w:val="ListBullet"/>
      </w:pPr>
      <w:r>
        <w:t>指导书及教师补充；实施说明书：docs/proposals/v2.0-review/implementation-spec-r2.md。</w:t>
      </w:r>
    </w:p>
    <w:p>
      <w:pPr>
        <w:pStyle w:val="ListBullet"/>
      </w:pPr>
      <w:r>
        <w:t>启动与普通案例：docs/deployment-v2.0.md、docs/report-example.md。</w:t>
      </w:r>
    </w:p>
    <w:p>
      <w:pPr>
        <w:pStyle w:val="ListBullet"/>
      </w:pPr>
      <w:r>
        <w:t>架构分析：docs/report/architecture-analysis-v2.md。</w:t>
      </w:r>
    </w:p>
    <w:p>
      <w:pPr>
        <w:pStyle w:val="ListBullet"/>
      </w:pPr>
      <w:r>
        <w:t>隔离复现：docs/validation-v2.0-alpha.6.md；阶段验收：docs/releases/v2.0-alpha.6.md。</w:t>
      </w:r>
    </w:p>
    <w:p>
      <w:pPr>
        <w:pStyle w:val="ListBullet"/>
      </w:pPr>
      <w:r>
        <w:t>真实安全记录、用量、快照/文件哈希：evidence/v2.0-alpha.6/live-validation.json及两个live-run.json。</w:t>
      </w:r>
    </w:p>
    <w:p>
      <w:pPr>
        <w:pStyle w:val="ListBullet"/>
      </w:pPr>
      <w:r>
        <w:t>两种最终业务文件：evidence/v2.0.0/technical-final.md/.pdf、administration-final.md/.pdf。</w:t>
      </w:r>
    </w:p>
    <w:p>
      <w:pPr>
        <w:pStyle w:val="ListBullet"/>
      </w:pPr>
      <w:r>
        <w:t>独立测试：tests/test_workbench_execution_acceptance.py、tests/test_workbench_delivery_acceptance.py。</w:t>
      </w:r>
    </w:p>
    <w:p>
      <w:pPr>
        <w:pStyle w:val="ListBullet"/>
      </w:pPr>
      <w:r>
        <w:t>字体与许可：src/office_agents/workbench/assets/LXGWWenKai-Regular.ttf、OFL.txt。</w:t>
      </w:r>
    </w:p>
    <w:p>
      <w:pPr/>
      <w:r>
        <w:t>报告截图均为实际运行页面，样例均为合成办公材料。身份空栏按用户要求保留；历史v1报告另行保留，不将其Streamlit界面或无PDF等结论混入新版。</w:t>
      </w:r>
    </w:p>
    <w:p>
      <w:r>
        <w:br w:type="page"/>
      </w:r>
    </w:p>
    <w:p>
      <w:pPr>
        <w:pStyle w:val="Heading1"/>
      </w:pPr>
      <w:r>
        <w:t>附录 体系结构分析</w:t>
      </w:r>
    </w:p>
    <w:p>
      <w:pPr/>
      <w:r>
        <w:t>本分析对应正常8520工作台的React、FastAPI、LangGraph和SQLite实现。五个Agent是集中编排的业务角色，共用受控模型适配器；它们不是五台服务器，也不等同于人类开发组员。</w:t>
      </w:r>
    </w:p>
    <w:p>
      <w:pPr>
        <w:pStyle w:val="Heading1"/>
      </w:pPr>
      <w:r>
        <w:t>一 组件职责与依赖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2880"/>
        <w:gridCol w:w="5616"/>
      </w:tblGrid>
      <w:tr>
        <w:trPr>
          <w:cantSplit/>
          <w:tblHeader/>
        </w:trPr>
        <w:tc>
          <w:tcPr>
            <w:tcW w:type="dxa" w:w="1656"/>
            <w:vAlign w:val="center"/>
            <w:shd w:fill="DC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/>
              <w:spacing w:before="100" w:after="100" w:line="269" w:lineRule="auto"/>
              <w:jc w:val="center"/>
            </w:pPr>
            <w:r>
              <w:rPr>
                <w:b/>
                <w:sz w:val="21"/>
              </w:rPr>
              <w:t>层次</w:t>
            </w:r>
          </w:p>
        </w:tc>
        <w:tc>
          <w:tcPr>
            <w:tcW w:type="dxa" w:w="2880"/>
            <w:vAlign w:val="center"/>
            <w:shd w:fill="DC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/>
              <w:spacing w:before="100" w:after="100" w:line="269" w:lineRule="auto"/>
              <w:jc w:val="center"/>
            </w:pPr>
            <w:r>
              <w:rPr>
                <w:b/>
                <w:sz w:val="21"/>
              </w:rPr>
              <w:t>实际组件</w:t>
            </w:r>
          </w:p>
        </w:tc>
        <w:tc>
          <w:tcPr>
            <w:tcW w:type="dxa" w:w="5616"/>
            <w:vAlign w:val="center"/>
            <w:shd w:fill="DC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/>
              <w:spacing w:before="100" w:after="100" w:line="269" w:lineRule="auto"/>
              <w:jc w:val="center"/>
            </w:pPr>
            <w:r>
              <w:rPr>
                <w:b/>
                <w:sz w:val="21"/>
              </w:rPr>
              <w:t>职责与依赖方向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/>
              <w:spacing w:before="100" w:after="100" w:line="269" w:lineRule="auto"/>
              <w:jc w:val="center"/>
            </w:pPr>
            <w:r>
              <w:rPr>
                <w:sz w:val="21"/>
              </w:rPr>
              <w:t>页面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/>
              <w:spacing w:before="100" w:after="100" w:line="269" w:lineRule="auto"/>
            </w:pPr>
            <w:r>
              <w:rPr>
                <w:sz w:val="21"/>
              </w:rPr>
              <w:t>App、Materials、Cooperation、Statistics、Delivery、Archive</w:t>
            </w:r>
          </w:p>
        </w:tc>
        <w:tc>
          <w:tcPr>
            <w:tcW w:type="dxa" w:w="56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/>
              <w:spacing w:before="100" w:after="100" w:line="269" w:lineRule="auto"/>
            </w:pPr>
            <w:r>
              <w:rPr>
                <w:sz w:val="21"/>
              </w:rPr>
              <w:t>通过同源API提交需求和材料；只读轮询，不在浏览器保存模型密钥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API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</w:pPr>
            <w:r>
              <w:rPr>
                <w:sz w:val="21"/>
              </w:rPr>
              <w:t>workbench/api.py及路由</w:t>
            </w:r>
          </w:p>
        </w:tc>
        <w:tc>
          <w:tcPr>
            <w:tcW w:type="dxa" w:w="56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</w:pPr>
            <w:r>
              <w:rPr>
                <w:sz w:val="21"/>
              </w:rPr>
              <w:t>本机访问、工作区、输入契约、幂等和乐观版本校验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编排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</w:pPr>
            <w:r>
              <w:rPr>
                <w:sz w:val="21"/>
              </w:rPr>
              <w:t>workbench/execution.py</w:t>
            </w:r>
          </w:p>
        </w:tc>
        <w:tc>
          <w:tcPr>
            <w:tcW w:type="dxa" w:w="56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</w:pPr>
            <w:r>
              <w:rPr>
                <w:sz w:val="21"/>
              </w:rPr>
              <w:t>Manager→Planner→Data→Writer→Checker→Manager，共享冻结状态与预算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数据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</w:pPr>
            <w:r>
              <w:rPr>
                <w:sz w:val="21"/>
              </w:rPr>
              <w:t>materials.py、statistics.py</w:t>
            </w:r>
          </w:p>
        </w:tc>
        <w:tc>
          <w:tcPr>
            <w:tcW w:type="dxa" w:w="56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</w:pPr>
            <w:r>
              <w:rPr>
                <w:sz w:val="21"/>
              </w:rPr>
              <w:t>三格式全量解析、版本冻结、确定性统计、来源与限制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文档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</w:pPr>
            <w:r>
              <w:rPr>
                <w:sz w:val="21"/>
              </w:rPr>
              <w:t>delivery.py、pdf_export.py</w:t>
            </w:r>
          </w:p>
        </w:tc>
        <w:tc>
          <w:tcPr>
            <w:tcW w:type="dxa" w:w="56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</w:pPr>
            <w:r>
              <w:rPr>
                <w:sz w:val="21"/>
              </w:rPr>
              <w:t>合格快照、不可变修订、两角色复审、MD/PDF及哈希门禁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存储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SQLite和受控文件目录</w:t>
            </w:r>
          </w:p>
        </w:tc>
        <w:tc>
          <w:tcPr>
            <w:tcW w:type="dxa" w:w="56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</w:pPr>
            <w:r>
              <w:rPr>
                <w:sz w:val="21"/>
              </w:rPr>
              <w:t>需求、执行、事件、材料与报告文件在本机持久化</w:t>
            </w:r>
          </w:p>
        </w:tc>
      </w:tr>
    </w:tbl>
    <w:p>
      <w:pPr>
        <w:spacing w:after="40"/>
      </w:pPr>
    </w:p>
    <w:p>
      <w:pPr/>
      <w:r>
        <w:t>模型输出先通过Pydantic结构校验，再经过业务校验。候选结构可以留作诊断，但不能绕过部门、半开日期和报告版本约束。Data使用Planner实际要求的数据类别读取授权版本；统计工具产生事实编号，Writer只能引用这些事实或授权文字。Checker结合程序核验与模型语义检查，Manager最终检查当前需求和审核结果。</w:t>
      </w:r>
    </w:p>
    <w:p>
      <w:pPr>
        <w:pStyle w:val="Heading1"/>
      </w:pPr>
      <w:r>
        <w:t>二 状态与通信</w:t>
      </w:r>
    </w:p>
    <w:p>
      <w:pPr/>
      <w:r>
        <w:t>每次角色调用将实际上游输入、结构化输出、事件与预算写入执行记录。LangGraph条件边根据缺失、审核和终态路由；Checker不通过可返回Writer，初稿后最多两次修正。保存的新正文作为独立修订，事实与来源冻结，后续仅执行Checker和Manager，不能静默重写用户编辑。</w:t>
      </w:r>
    </w:p>
    <w:p>
      <w:pPr/>
      <w:r>
        <w:t>队列使用单worker与进程文件锁，SQLite短事务只处理状态及预算，不把数据库事务包在模型网络等待中。幂等键同内容返回原任务，不同内容冲突；需求版本、工作区与取消状态在最终验收时再次核对。Unix进程锁的取舍适合本机课程规模，原生Windows未验证，应使用WSL2。</w:t>
      </w:r>
    </w:p>
    <w:p>
      <w:pPr>
        <w:pStyle w:val="Heading1"/>
      </w:pPr>
      <w:r>
        <w:t>三 统计可信性</w:t>
      </w:r>
    </w:p>
    <w:p>
      <w:pPr/>
      <w:r>
        <w:t>模型负责语言理解和撰写，程序负责数值与交付权限。项目取结束日前最新有效快照；考勤区分样本、明确排班范围和完整季度；成果按ID去重；满意度按相同量表分别计算。缺失与零不能混同，冲突不按上传顺序覆盖。来源同时记录原始材料、版本、SHA256、字段和行或段落定位。</w:t>
      </w:r>
    </w:p>
    <w:p>
      <w:pPr/>
      <w:r>
        <w:t>这一约束能防止模型改写已建模指标，不能证明全部自然语言都正确。最终行政稿出现样本用词不准确，人工修订后由两角色复审，验证了必要的语义复核与修订机制。模型通过不能覆盖程序错误，程序通过也不能当成所有业务陈述绝对真实。</w:t>
      </w:r>
    </w:p>
    <w:p>
      <w:pPr>
        <w:pStyle w:val="Heading1"/>
      </w:pPr>
      <w:r>
        <w:t>四 失败与成本</w:t>
      </w:r>
    </w:p>
    <w:p>
      <w:pPr/>
      <w:r>
        <w:t>请求前先持久预留请求数与输出上限，自动网络重试为零，供应商usage缺失保持null。模型错误只保存允许的安全代码，不把供应商原始异常或密钥送往页面。取消阻止后续节点和迟到成功发布；在途供应商费用未必能撤销。重启将未知在途执行标为中断，不自动重发付费请求。</w:t>
      </w:r>
    </w:p>
    <w:p>
      <w:pPr/>
      <w:r>
        <w:t>合格内容与文件生成分别处理。导出失败保留合格快照和失败状态，可离线重试；Markdown与PDF均从同一冻结Markdown产生。中文字体随源码分发并嵌入PDF子集，不需要Office或系统字体。下载再次核验快照哈希、绑定该哈希的Checker/Manager凭据、受控路径和文件SHA，旧合格版可保留下载但明确非当前。</w:t>
      </w:r>
    </w:p>
    <w:p>
      <w:pPr>
        <w:pStyle w:val="Heading1"/>
      </w:pPr>
      <w:r>
        <w:t>五 质量证据与适用范围</w:t>
      </w:r>
    </w:p>
    <w:p>
      <w:pPr/>
      <w:r>
        <w:t>确定性统计有手算与边界测试；执行和交付有独立临时数据库及本地HTTP夹具；PDF实际解析字体与正文并进行逐页视觉检查；正常界面实际操作另行记录。两个普通场景使用真实DeepSeek V4 Pro完成六节点和双格式文件，成功与失败的用量分开保留。源码副本在没有.env和业务数据的环境中复现安装、构建、真实本地PDF、重启下载和两角色复审。</w:t>
      </w:r>
    </w:p>
    <w:p>
      <w:pPr/>
      <w:r>
        <w:t>系统面向本机课程实验，采用集中式架构降低部署与跨服务一致性成本。未来若扩展至多人生产环境，应在真实需求出现时补充身份权限、并发任务、业务接口和更严格的语义评估；当前不将这些未实现能力包装为已完成。</w:t>
      </w:r>
    </w:p>
    <w:sectPr w:rsidR="00FC693F" w:rsidRPr="0006063C" w:rsidSect="00034616">
      <w:pgSz w:w="12240" w:h="15840"/>
      <w:pgMar w:top="1037" w:right="1037" w:bottom="1037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93" w:lineRule="auto"/>
    </w:pPr>
    <w:rPr>
      <w:rFonts w:ascii="Arial Unicode MS" w:hAnsi="Arial Unicode MS" w:eastAsia="Arial Unicode MS" w:cs="Arial Unicode MS"/>
      <w:b w:val="0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="Arial Unicode MS" w:hAnsi="Arial Unicode MS" w:eastAsia="Arial Unicode MS" w:cs="Arial Unicode MS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="Arial Unicode MS" w:hAnsi="Arial Unicode MS" w:eastAsia="Arial Unicode MS" w:cs="Arial Unicode MS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40"/>
      <w:outlineLvl w:val="2"/>
    </w:pPr>
    <w:rPr>
      <w:rFonts w:ascii="Arial Unicode MS" w:hAnsi="Arial Unicode MS" w:eastAsia="Arial Unicode MS" w:cs="Arial Unicode MS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 w:before="280"/>
      <w:contextualSpacing/>
    </w:pPr>
    <w:rPr>
      <w:rFonts w:ascii="Arial Unicode MS" w:hAnsi="Arial Unicode MS" w:eastAsia="Arial Unicode MS" w:cs="Arial Unicode MS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80"/>
    </w:pPr>
    <w:rPr>
      <w:rFonts w:ascii="Arial Unicode MS" w:hAnsi="Arial Unicode MS" w:eastAsia="Arial Unicode MS" w:cs="Arial Unicode MS"/>
      <w:b w:val="0"/>
      <w:bCs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line="264" w:lineRule="auto" w:after="80"/>
    </w:pPr>
    <w:rPr>
      <w:rFonts w:ascii="Liberation Mono" w:hAnsi="Liberation Mono" w:eastAsia="Arial Unicode MS" w:cs="Arial Unicode MS"/>
      <w:b w:val="0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多智能体办公协作系统实验报告</dc:title>
  <dc:subject>软件体系结构课程实验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