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b/>
          <w:bCs/>
          <w:color w:val="B8892B"/>
          <w:spacing w:val="40"/>
          <w:sz w:val="24"/>
          <w:szCs w:val="24"/>
        </w:rPr>
        <w:t xml:space="preserve">BRAND BLUEPRINT &amp; POSITIONING</w:t>
      </w:r>
    </w:p>
    <w:p>
      <w:pPr>
        <w:pBdr>
          <w:bottom w:val="single" w:color="0F1B2D" w:sz="18" w:space="10"/>
        </w:pBdr>
        <w:spacing w:before="80"/>
      </w:pPr>
      <w:r>
        <w:rPr>
          <w:rFonts w:ascii="Georgia" w:cs="Georgia" w:eastAsia="Georgia" w:hAnsi="Georgia"/>
          <w:b/>
          <w:bCs/>
          <w:color w:val="0F1B2D"/>
          <w:sz w:val="76"/>
          <w:szCs w:val="76"/>
        </w:rPr>
        <w:t xml:space="preserve">FinPrint</w:t>
      </w:r>
    </w:p>
    <w:p>
      <w:pPr>
        <w:spacing w:before="200"/>
      </w:pPr>
      <w:r>
        <w:rPr>
          <w:rFonts w:ascii="Calibri" w:cs="Calibri" w:eastAsia="Calibri" w:hAnsi="Calibri"/>
          <w:i/>
          <w:iCs/>
          <w:color w:val="45546A"/>
          <w:sz w:val="24"/>
          <w:szCs w:val="24"/>
        </w:rPr>
        <w:t xml:space="preserve">Your personal financial fingerprint — personalised financial intelligence for FCA-regulated advisory firms</w:t>
      </w:r>
    </w:p>
    <w:p>
      <w:pPr>
        <w:spacing w:before="120"/>
      </w:pPr>
      <w:r>
        <w:rPr>
          <w:rFonts w:ascii="Calibri" w:cs="Calibri" w:eastAsia="Calibri" w:hAnsi="Calibri"/>
          <w:color w:val="45546A"/>
          <w:sz w:val="19"/>
          <w:szCs w:val="19"/>
        </w:rPr>
        <w:t xml:space="preserve">The platform brand — a product of Wrigital Ltd (wrigital.com). Explored earlier as “VelocityIQ”; see the name review in Section 03.</w:t>
      </w:r>
    </w:p>
    <w:p>
      <w:pPr>
        <w:spacing w:before="780"/>
      </w:pPr>
      <w:r>
        <w:rPr>
          <w:rFonts w:ascii="Calibri" w:cs="Calibri" w:eastAsia="Calibri" w:hAnsi="Calibri"/>
          <w:color w:val="222A35"/>
          <w:sz w:val="20"/>
          <w:szCs w:val="20"/>
        </w:rPr>
        <w:t xml:space="preserve">Prepared as a working reference for investors, marketing partners and web/brand designers.</w:t>
      </w:r>
    </w:p>
    <w:p>
      <w:pPr>
        <w:spacing w:before="40"/>
      </w:pPr>
      <w:r>
        <w:rPr>
          <w:rFonts w:ascii="Calibri" w:cs="Calibri" w:eastAsia="Calibri" w:hAnsi="Calibri"/>
          <w:color w:val="222A35"/>
          <w:sz w:val="20"/>
          <w:szCs w:val="20"/>
        </w:rPr>
        <w:t xml:space="preserve">Strategic brand, positioning and identity direction — Wrigital Ltd</w:t>
      </w:r>
    </w:p>
    <w:p>
      <w:pPr>
        <w:spacing w:before="900"/>
      </w:pPr>
      <w:r>
        <w:rPr>
          <w:rFonts w:ascii="Calibri" w:cs="Calibri" w:eastAsia="Calibri" w:hAnsi="Calibri"/>
          <w:b/>
          <w:bCs/>
          <w:color w:val="0F1B2D"/>
          <w:spacing w:val="30"/>
          <w:sz w:val="18"/>
          <w:szCs w:val="18"/>
        </w:rPr>
        <w:t xml:space="preserve">CONTENTS</w:t>
      </w:r>
    </w:p>
    <w:p>
      <w:pPr>
        <w:spacing w:after="30"/>
      </w:pPr>
      <w:r>
        <w:rPr>
          <w:rFonts w:ascii="Calibri" w:cs="Calibri" w:eastAsia="Calibri" w:hAnsi="Calibri"/>
          <w:color w:val="45546A"/>
          <w:sz w:val="19"/>
          <w:szCs w:val="19"/>
        </w:rPr>
        <w:t xml:space="preserve">01  Strategic summary &amp; assumptions challenged</w:t>
      </w:r>
    </w:p>
    <w:p>
      <w:pPr>
        <w:spacing w:after="30"/>
      </w:pPr>
      <w:r>
        <w:rPr>
          <w:rFonts w:ascii="Calibri" w:cs="Calibri" w:eastAsia="Calibri" w:hAnsi="Calibri"/>
          <w:color w:val="45546A"/>
          <w:sz w:val="19"/>
          <w:szCs w:val="19"/>
        </w:rPr>
        <w:t xml:space="preserve">02  One-page Brand Blueprint</w:t>
      </w:r>
    </w:p>
    <w:p>
      <w:pPr>
        <w:spacing w:after="30"/>
      </w:pPr>
      <w:r>
        <w:rPr>
          <w:rFonts w:ascii="Calibri" w:cs="Calibri" w:eastAsia="Calibri" w:hAnsi="Calibri"/>
          <w:color w:val="45546A"/>
          <w:sz w:val="19"/>
          <w:szCs w:val="19"/>
        </w:rPr>
        <w:t xml:space="preserve">03  Brand name review — VelocityIQ</w:t>
      </w:r>
    </w:p>
    <w:p>
      <w:pPr>
        <w:spacing w:after="30"/>
      </w:pPr>
      <w:r>
        <w:rPr>
          <w:rFonts w:ascii="Calibri" w:cs="Calibri" w:eastAsia="Calibri" w:hAnsi="Calibri"/>
          <w:color w:val="45546A"/>
          <w:sz w:val="19"/>
          <w:szCs w:val="19"/>
        </w:rPr>
        <w:t xml:space="preserve">04  20 alternative brand names</w:t>
      </w:r>
    </w:p>
    <w:p>
      <w:pPr>
        <w:spacing w:after="30"/>
      </w:pPr>
      <w:r>
        <w:rPr>
          <w:rFonts w:ascii="Calibri" w:cs="Calibri" w:eastAsia="Calibri" w:hAnsi="Calibri"/>
          <w:color w:val="45546A"/>
          <w:sz w:val="19"/>
          <w:szCs w:val="19"/>
        </w:rPr>
        <w:t xml:space="preserve">05  Logo direction — three concepts</w:t>
      </w:r>
    </w:p>
    <w:p>
      <w:pPr>
        <w:spacing w:after="30"/>
      </w:pPr>
      <w:r>
        <w:rPr>
          <w:rFonts w:ascii="Calibri" w:cs="Calibri" w:eastAsia="Calibri" w:hAnsi="Calibri"/>
          <w:color w:val="45546A"/>
          <w:sz w:val="19"/>
          <w:szCs w:val="19"/>
        </w:rPr>
        <w:t xml:space="preserve">06  Brand architecture &amp; positioning for the SaaS future</w:t>
      </w:r>
    </w:p>
    <w:p>
      <w:r>
        <w:br w:type="page"/>
      </w:r>
    </w:p>
    <w:p>
      <w:pPr>
        <w:pStyle w:val="Heading1"/>
        <w:pBdr>
          <w:bottom w:val="single" w:color="B8892B" w:sz="12" w:space="6"/>
        </w:pBdr>
        <w:spacing w:after="120" w:before="360"/>
      </w:pPr>
      <w:r>
        <w:rPr>
          <w:rFonts w:ascii="Calibri" w:cs="Calibri" w:eastAsia="Calibri" w:hAnsi="Calibri"/>
          <w:b/>
          <w:bCs/>
          <w:caps/>
          <w:color w:val="0F1B2D"/>
          <w:sz w:val="30"/>
          <w:szCs w:val="30"/>
        </w:rPr>
        <w:t xml:space="preserve">01 · Strategic summary &amp; assumptions challenged</w:t>
      </w:r>
    </w:p>
    <w:p>
      <w:pPr>
        <w:spacing w:after="120" w:line="276"/>
      </w:pPr>
      <w:r>
        <w:rPr>
          <w:rFonts w:ascii="Calibri" w:cs="Calibri" w:eastAsia="Calibri" w:hAnsi="Calibri"/>
          <w:color w:val="222A35"/>
          <w:sz w:val="21"/>
          <w:szCs w:val="21"/>
        </w:rPr>
        <w:t xml:space="preserve">You asked me to challenge your assumptions where I see a stronger path. Four calls-out matter before the blueprint, because each one shapes the branding and pricing decisions that follow.</w:t>
      </w:r>
    </w:p>
    <w:p>
      <w:pPr>
        <w:spacing w:after="40" w:before="160"/>
      </w:pPr>
      <w:r>
        <w:rPr>
          <w:rFonts w:ascii="Calibri" w:cs="Calibri" w:eastAsia="Calibri" w:hAnsi="Calibri"/>
          <w:b/>
          <w:bCs/>
          <w:color w:val="0F1B2D"/>
          <w:spacing w:val="20"/>
          <w:sz w:val="19"/>
          <w:szCs w:val="19"/>
        </w:rPr>
        <w:t xml:space="preserve">1 · THE BRAND NAME IS NOW A LIABILITY, NOT JUST A COMPROMISE</w:t>
      </w:r>
    </w:p>
    <w:p>
      <w:pPr>
        <w:spacing w:after="120" w:line="276"/>
      </w:pPr>
      <w:r>
        <w:rPr>
          <w:rFonts w:ascii="Calibri" w:cs="Calibri" w:eastAsia="Calibri" w:hAnsi="Calibri"/>
          <w:color w:val="222A35"/>
          <w:sz w:val="21"/>
          <w:szCs w:val="21"/>
        </w:rPr>
        <w:t xml:space="preserve">Previously you kept </w:t>
      </w:r>
      <w:r>
        <w:rPr>
          <w:rFonts w:ascii="Calibri" w:cs="Calibri" w:eastAsia="Calibri" w:hAnsi="Calibri"/>
          <w:b/>
          <w:bCs/>
          <w:color w:val="222A35"/>
          <w:sz w:val="21"/>
          <w:szCs w:val="21"/>
        </w:rPr>
        <w:t xml:space="preserve">VelocityIQ</w:t>
      </w:r>
      <w:r>
        <w:rPr>
          <w:rFonts w:ascii="Calibri" w:cs="Calibri" w:eastAsia="Calibri" w:hAnsi="Calibri"/>
          <w:color w:val="222A35"/>
          <w:sz w:val="21"/>
          <w:szCs w:val="21"/>
        </w:rPr>
        <w:t xml:space="preserve"> despite trademark reservations. The picture is worse than “generic”. </w:t>
      </w:r>
      <w:r>
        <w:rPr>
          <w:rFonts w:ascii="Calibri" w:cs="Calibri" w:eastAsia="Calibri" w:hAnsi="Calibri"/>
          <w:b/>
          <w:bCs/>
          <w:color w:val="222A35"/>
          <w:sz w:val="21"/>
          <w:szCs w:val="21"/>
        </w:rPr>
        <w:t xml:space="preserve">velocityiq.com is already owned</w:t>
      </w:r>
      <w:r>
        <w:rPr>
          <w:rFonts w:ascii="Calibri" w:cs="Calibri" w:eastAsia="Calibri" w:hAnsi="Calibri"/>
          <w:color w:val="222A35"/>
          <w:sz w:val="21"/>
          <w:szCs w:val="21"/>
        </w:rPr>
        <w:t xml:space="preserve"> by a Florida IT/managed-services firm (trading since 1998), which is why you sit on the weaker getvelocityiq.com. More seriously, </w:t>
      </w:r>
      <w:r>
        <w:rPr>
          <w:rFonts w:ascii="Calibri" w:cs="Calibri" w:eastAsia="Calibri" w:hAnsi="Calibri"/>
          <w:b/>
          <w:bCs/>
          <w:color w:val="222A35"/>
          <w:sz w:val="21"/>
          <w:szCs w:val="21"/>
        </w:rPr>
        <w:t xml:space="preserve">VelocityIQ™ / VelocityIQOS™ is an active US sales-intelligence platform</w:t>
      </w:r>
      <w:r>
        <w:rPr>
          <w:rFonts w:ascii="Calibri" w:cs="Calibri" w:eastAsia="Calibri" w:hAnsi="Calibri"/>
          <w:color w:val="222A35"/>
          <w:sz w:val="21"/>
          <w:szCs w:val="21"/>
        </w:rPr>
        <w:t xml:space="preserve"> — “the operating system for modern sales” that “predicts deals before forms are filled”. That is a near-identical name in an adjacent category, already asserting a trademark. Full assessment in Section 03; my recommendation is to rebrand before you scale spend.</w:t>
      </w:r>
    </w:p>
    <w:p>
      <w:pPr>
        <w:spacing w:after="40" w:before="160"/>
      </w:pPr>
      <w:r>
        <w:rPr>
          <w:rFonts w:ascii="Calibri" w:cs="Calibri" w:eastAsia="Calibri" w:hAnsi="Calibri"/>
          <w:b/>
          <w:bCs/>
          <w:color w:val="0F1B2D"/>
          <w:spacing w:val="20"/>
          <w:sz w:val="19"/>
          <w:szCs w:val="19"/>
        </w:rPr>
        <w:t xml:space="preserve">2 · “REPORTS” PRICING UNDERSELLS YOU AND CAPS THE BUSINESS</w:t>
      </w:r>
    </w:p>
    <w:p>
      <w:pPr>
        <w:spacing w:after="120" w:line="276"/>
      </w:pPr>
      <w:r>
        <w:rPr>
          <w:rFonts w:ascii="Calibri" w:cs="Calibri" w:eastAsia="Calibri" w:hAnsi="Calibri"/>
          <w:color w:val="222A35"/>
          <w:sz w:val="21"/>
          <w:szCs w:val="21"/>
        </w:rPr>
        <w:t xml:space="preserve">Your source doc quotes “from £800” in one place and a £1,200 two-report pack elsewhere. Pick one, and anchor high. A number that starts with “from £800” signals a commodity report; £1,200 for a governed, verified client-winning system signals software. Align every asset on the higher, packaged figure.</w:t>
      </w:r>
    </w:p>
    <w:p>
      <w:pPr>
        <w:spacing w:after="40" w:before="160"/>
      </w:pPr>
      <w:r>
        <w:rPr>
          <w:rFonts w:ascii="Calibri" w:cs="Calibri" w:eastAsia="Calibri" w:hAnsi="Calibri"/>
          <w:b/>
          <w:bCs/>
          <w:color w:val="0F1B2D"/>
          <w:spacing w:val="20"/>
          <w:sz w:val="19"/>
          <w:szCs w:val="19"/>
        </w:rPr>
        <w:t xml:space="preserve">3 · SELLING “REPORTS” IS A POSITIONING TRAP</w:t>
      </w:r>
    </w:p>
    <w:p>
      <w:pPr>
        <w:spacing w:after="120" w:line="276"/>
      </w:pPr>
      <w:r>
        <w:rPr>
          <w:rFonts w:ascii="Calibri" w:cs="Calibri" w:eastAsia="Calibri" w:hAnsi="Calibri"/>
          <w:color w:val="222A35"/>
          <w:sz w:val="21"/>
          <w:szCs w:val="21"/>
        </w:rPr>
        <w:t xml:space="preserve">A report is a deliverable. A platform is an asset. Investors, buyers and your own pricing power all respond to the second framing. Even while you deliver manually today, the brand must speak “system / platform / engine / workflow” — never “we write reports”. Section 06 sets out how to hold that line credibly.</w:t>
      </w:r>
    </w:p>
    <w:p>
      <w:pPr>
        <w:spacing w:after="40" w:before="160"/>
      </w:pPr>
      <w:r>
        <w:rPr>
          <w:rFonts w:ascii="Calibri" w:cs="Calibri" w:eastAsia="Calibri" w:hAnsi="Calibri"/>
          <w:b/>
          <w:bCs/>
          <w:color w:val="0F1B2D"/>
          <w:spacing w:val="20"/>
          <w:sz w:val="19"/>
          <w:szCs w:val="19"/>
        </w:rPr>
        <w:t xml:space="preserve">4 · THE MANUAL CAPACITY CEILING IS YOUR REAL ROADMAP</w:t>
      </w:r>
    </w:p>
    <w:p>
      <w:pPr>
        <w:spacing w:after="120" w:line="276"/>
      </w:pPr>
      <w:r>
        <w:rPr>
          <w:rFonts w:ascii="Calibri" w:cs="Calibri" w:eastAsia="Calibri" w:hAnsi="Calibri"/>
          <w:color w:val="222A35"/>
          <w:sz w:val="21"/>
          <w:szCs w:val="21"/>
        </w:rPr>
        <w:t xml:space="preserve">At ~2 hours per report and roughly three per day, you have a services bottleneck that directly contradicts a “scalable software” story. That is fine as a launch model — but the brand should already imply the product roadmap (self-serve generation, adviser dashboard, firm-wide seats). The naming and identity below are chosen to still fit once the human step is largely automated.</w:t>
      </w:r>
    </w:p>
    <w:p>
      <w:pPr>
        <w:spacing w:after="60"/>
      </w:pPr>
      <w:r>
        <w:t xml:space="preserve"/>
      </w:r>
    </w:p>
    <w:tbl>
      <w:tblPr>
        <w:tblW w:type="dxa" w:w="9360"/>
        <w:tblBorders>
          <w:top w:val="none"/>
          <w:left w:val="single" w:color="B8892B" w:sz="24"/>
          <w:bottom w:val="none"/>
          <w:right w:val="none"/>
          <w:insideH w:val="none"/>
          <w:insideV w:val="none"/>
        </w:tblBorders>
      </w:tblPr>
      <w:tblGrid>
        <w:gridCol w:w="9360"/>
      </w:tblGrid>
      <w:tr>
        <w:tc>
          <w:tcPr>
            <w:tcW w:type="dxa" w:w="9360"/>
            <w:shd w:fill="F4F1EA" w:color="auto" w:val="clear"/>
            <w:tcMar>
              <w:top w:type="dxa" w:w="160"/>
              <w:left w:type="dxa" w:w="220"/>
              <w:bottom w:type="dxa" w:w="160"/>
              <w:right w:type="dxa" w:w="220"/>
            </w:tcMar>
          </w:tcPr>
          <w:p>
            <w:pPr>
              <w:spacing w:after="60"/>
            </w:pPr>
            <w:r>
              <w:rPr>
                <w:rFonts w:ascii="Calibri" w:cs="Calibri" w:eastAsia="Calibri" w:hAnsi="Calibri"/>
                <w:b/>
                <w:bCs/>
                <w:color w:val="0F1B2D"/>
                <w:sz w:val="20"/>
                <w:szCs w:val="20"/>
              </w:rPr>
              <w:t xml:space="preserve">Bottom line</w:t>
            </w:r>
          </w:p>
          <w:p>
            <w:r>
              <w:rPr>
                <w:rFonts w:ascii="Calibri" w:cs="Calibri" w:eastAsia="Calibri" w:hAnsi="Calibri"/>
                <w:color w:val="222A35"/>
                <w:sz w:val="20"/>
                <w:szCs w:val="20"/>
              </w:rPr>
              <w:t xml:space="preserve">The strategy is strong and the differentiation is real. The two things holding it back from an investor-grade brand are the name and the “report provider” framing. Fix both now, while you are early and low-cost to change, rather than after you have spent on a name you may have to abandon.</w:t>
            </w:r>
          </w:p>
        </w:tc>
      </w:tr>
    </w:tbl>
    <w:p>
      <w:r>
        <w:br w:type="page"/>
      </w:r>
    </w:p>
    <w:p>
      <w:pPr>
        <w:pStyle w:val="Heading1"/>
        <w:pBdr>
          <w:bottom w:val="single" w:color="B8892B" w:sz="12" w:space="6"/>
        </w:pBdr>
        <w:spacing w:after="120" w:before="360"/>
      </w:pPr>
      <w:r>
        <w:rPr>
          <w:rFonts w:ascii="Calibri" w:cs="Calibri" w:eastAsia="Calibri" w:hAnsi="Calibri"/>
          <w:b/>
          <w:bCs/>
          <w:caps/>
          <w:color w:val="0F1B2D"/>
          <w:sz w:val="30"/>
          <w:szCs w:val="30"/>
        </w:rPr>
        <w:t xml:space="preserve">02 · One-page Brand Blueprint</w:t>
      </w:r>
    </w:p>
    <w:p>
      <w:pPr>
        <w:spacing w:after="120" w:line="276"/>
      </w:pPr>
      <w:r>
        <w:rPr>
          <w:rFonts w:ascii="Calibri" w:cs="Calibri" w:eastAsia="Calibri" w:hAnsi="Calibri"/>
          <w:i/>
          <w:iCs/>
          <w:color w:val="45546A"/>
          <w:sz w:val="20"/>
          <w:szCs w:val="20"/>
        </w:rPr>
        <w:t xml:space="preserve">The single reference every asset should trace back to. Company: </w:t>
      </w:r>
      <w:r>
        <w:rPr>
          <w:rFonts w:ascii="Calibri" w:cs="Calibri" w:eastAsia="Calibri" w:hAnsi="Calibri"/>
          <w:b/>
          <w:bCs/>
          <w:i/>
          <w:iCs/>
          <w:color w:val="45546A"/>
          <w:sz w:val="20"/>
          <w:szCs w:val="20"/>
        </w:rPr>
        <w:t xml:space="preserve">Wrigital Ltd</w:t>
      </w:r>
      <w:r>
        <w:rPr>
          <w:rFonts w:ascii="Calibri" w:cs="Calibri" w:eastAsia="Calibri" w:hAnsi="Calibri"/>
          <w:i/>
          <w:iCs/>
          <w:color w:val="45546A"/>
          <w:sz w:val="20"/>
          <w:szCs w:val="20"/>
        </w:rPr>
        <w:t xml:space="preserve">; customer-facing platform: </w:t>
      </w:r>
      <w:r>
        <w:rPr>
          <w:rFonts w:ascii="Calibri" w:cs="Calibri" w:eastAsia="Calibri" w:hAnsi="Calibri"/>
          <w:b/>
          <w:bCs/>
          <w:i/>
          <w:iCs/>
          <w:color w:val="45546A"/>
          <w:sz w:val="20"/>
          <w:szCs w:val="20"/>
        </w:rPr>
        <w:t xml:space="preserve">FinPrint</w:t>
      </w:r>
      <w:r>
        <w:rPr>
          <w:rFonts w:ascii="Calibri" w:cs="Calibri" w:eastAsia="Calibri" w:hAnsi="Calibri"/>
          <w:i/>
          <w:iCs/>
          <w:color w:val="45546A"/>
          <w:sz w:val="20"/>
          <w:szCs w:val="20"/>
        </w:rPr>
        <w:t xml:space="preserve">. This blueprint describes the FinPrint product brand — the hero in all messaging. (Brand architecture in Section 06.)</w:t>
      </w:r>
    </w:p>
    <w:p>
      <w:pPr>
        <w:pStyle w:val="Heading2"/>
        <w:spacing w:after="80" w:before="240"/>
      </w:pPr>
      <w:r>
        <w:rPr>
          <w:rFonts w:ascii="Calibri" w:cs="Calibri" w:eastAsia="Calibri" w:hAnsi="Calibri"/>
          <w:b/>
          <w:bCs/>
          <w:color w:val="B8892B"/>
          <w:sz w:val="24"/>
          <w:szCs w:val="24"/>
        </w:rPr>
        <w:t xml:space="preserve">Brand purpose</w:t>
      </w:r>
    </w:p>
    <w:p>
      <w:pPr>
        <w:spacing w:after="120" w:line="276"/>
      </w:pPr>
      <w:r>
        <w:rPr>
          <w:rFonts w:ascii="Calibri" w:cs="Calibri" w:eastAsia="Calibri" w:hAnsi="Calibri"/>
          <w:color w:val="222A35"/>
          <w:sz w:val="21"/>
          <w:szCs w:val="21"/>
        </w:rPr>
        <w:t xml:space="preserve">So that the best adviser in the room is the one who wins the client — by making genuine understanding visible, verifiable, and impossible for a prospect to ignore.</w:t>
      </w:r>
    </w:p>
    <w:p>
      <w:pPr>
        <w:pStyle w:val="Heading2"/>
        <w:spacing w:after="80" w:before="240"/>
      </w:pPr>
      <w:r>
        <w:rPr>
          <w:rFonts w:ascii="Calibri" w:cs="Calibri" w:eastAsia="Calibri" w:hAnsi="Calibri"/>
          <w:b/>
          <w:bCs/>
          <w:color w:val="B8892B"/>
          <w:sz w:val="24"/>
          <w:szCs w:val="24"/>
        </w:rPr>
        <w:t xml:space="preserve">The problem we solve</w:t>
      </w:r>
    </w:p>
    <w:p>
      <w:pPr>
        <w:spacing w:after="120" w:line="276"/>
      </w:pPr>
      <w:r>
        <w:rPr>
          <w:rFonts w:ascii="Calibri" w:cs="Calibri" w:eastAsia="Calibri" w:hAnsi="Calibri"/>
          <w:color w:val="222A35"/>
          <w:sz w:val="21"/>
          <w:szCs w:val="21"/>
        </w:rPr>
        <w:t xml:space="preserve">Advisers can’t prove, fast enough, that they understand a high-net-worth prospect better than the competition. So warm leads stall and deals die — not from lost interest, but from lost momentum, because the trust built in the meeting is never reinforced with tangible proof.</w:t>
      </w:r>
    </w:p>
    <w:p>
      <w:pPr>
        <w:pStyle w:val="Heading2"/>
        <w:spacing w:after="80" w:before="240"/>
      </w:pPr>
      <w:r>
        <w:rPr>
          <w:rFonts w:ascii="Calibri" w:cs="Calibri" w:eastAsia="Calibri" w:hAnsi="Calibri"/>
          <w:b/>
          <w:bCs/>
          <w:color w:val="B8892B"/>
          <w:sz w:val="24"/>
          <w:szCs w:val="24"/>
        </w:rPr>
        <w:t xml:space="preserve">Our target customers</w:t>
      </w:r>
    </w:p>
    <w:p>
      <w:pPr>
        <w:pStyle w:val="ListParagraph"/>
        <w:numPr>
          <w:ilvl w:val="0"/>
          <w:numId w:val="2"/>
        </w:numPr>
        <w:spacing w:after="60" w:line="268"/>
      </w:pPr>
      <w:r>
        <w:rPr>
          <w:rFonts w:ascii="Calibri" w:cs="Calibri" w:eastAsia="Calibri" w:hAnsi="Calibri"/>
          <w:b/>
          <w:bCs/>
          <w:color w:val="222A35"/>
          <w:sz w:val="21"/>
          <w:szCs w:val="21"/>
        </w:rPr>
        <w:t xml:space="preserve">Primary: </w:t>
      </w:r>
      <w:r>
        <w:rPr>
          <w:rFonts w:ascii="Calibri" w:cs="Calibri" w:eastAsia="Calibri" w:hAnsi="Calibri"/>
          <w:color w:val="222A35"/>
          <w:sz w:val="21"/>
          <w:szCs w:val="21"/>
        </w:rPr>
        <w:t xml:space="preserve">owner-led, FCA-regulated UK IFA firms of 10–20 advisers serving high-net-worth business-owner clients.</w:t>
      </w:r>
    </w:p>
    <w:p>
      <w:pPr>
        <w:pStyle w:val="ListParagraph"/>
        <w:numPr>
          <w:ilvl w:val="0"/>
          <w:numId w:val="2"/>
        </w:numPr>
        <w:spacing w:after="60" w:line="268"/>
      </w:pPr>
      <w:r>
        <w:rPr>
          <w:rFonts w:ascii="Calibri" w:cs="Calibri" w:eastAsia="Calibri" w:hAnsi="Calibri"/>
          <w:b/>
          <w:bCs/>
          <w:color w:val="222A35"/>
          <w:sz w:val="21"/>
          <w:szCs w:val="21"/>
        </w:rPr>
        <w:t xml:space="preserve">The buyer: </w:t>
      </w:r>
      <w:r>
        <w:rPr>
          <w:rFonts w:ascii="Calibri" w:cs="Calibri" w:eastAsia="Calibri" w:hAnsi="Calibri"/>
          <w:color w:val="222A35"/>
          <w:sz w:val="21"/>
          <w:szCs w:val="21"/>
        </w:rPr>
        <w:t xml:space="preserve">the “Growth-Minded Founder-Adviser” — ambitious, technology-curious, focused on winning clients rather than trimming admin, and acutely aware the AI advantage window is open now.</w:t>
      </w:r>
    </w:p>
    <w:p>
      <w:pPr>
        <w:pStyle w:val="ListParagraph"/>
        <w:numPr>
          <w:ilvl w:val="0"/>
          <w:numId w:val="2"/>
        </w:numPr>
        <w:spacing w:after="60" w:line="268"/>
      </w:pPr>
      <w:r>
        <w:rPr>
          <w:rFonts w:ascii="Calibri" w:cs="Calibri" w:eastAsia="Calibri" w:hAnsi="Calibri"/>
          <w:b/>
          <w:bCs/>
          <w:color w:val="222A35"/>
          <w:sz w:val="21"/>
          <w:szCs w:val="21"/>
        </w:rPr>
        <w:t xml:space="preserve">Highest-value early customer: </w:t>
      </w:r>
      <w:r>
        <w:rPr>
          <w:rFonts w:ascii="Calibri" w:cs="Calibri" w:eastAsia="Calibri" w:hAnsi="Calibri"/>
          <w:color w:val="222A35"/>
          <w:sz w:val="21"/>
          <w:szCs w:val="21"/>
        </w:rPr>
        <w:t xml:space="preserve">the specialist adviser who has niched down (medical, dental, legal, agricultural, and so on). Generic tools fail this segment hardest, it is the fastest-growing part of the advice market, and it is precisely where an exclusive niche pack is worth the most.</w:t>
      </w:r>
    </w:p>
    <w:p>
      <w:pPr>
        <w:pStyle w:val="Heading2"/>
        <w:spacing w:after="80" w:before="240"/>
      </w:pPr>
      <w:r>
        <w:rPr>
          <w:rFonts w:ascii="Calibri" w:cs="Calibri" w:eastAsia="Calibri" w:hAnsi="Calibri"/>
          <w:b/>
          <w:bCs/>
          <w:color w:val="B8892B"/>
          <w:sz w:val="24"/>
          <w:szCs w:val="24"/>
        </w:rPr>
        <w:t xml:space="preserve">Unique value proposition</w:t>
      </w:r>
    </w:p>
    <w:tbl>
      <w:tblPr>
        <w:tblW w:type="dxa" w:w="9360"/>
        <w:tblBorders>
          <w:top w:val="none"/>
          <w:left w:val="single" w:color="0F1B2D" w:sz="24"/>
          <w:bottom w:val="none"/>
          <w:right w:val="none"/>
          <w:insideH w:val="none"/>
          <w:insideV w:val="none"/>
        </w:tblBorders>
      </w:tblPr>
      <w:tblGrid>
        <w:gridCol w:w="9360"/>
      </w:tblGrid>
      <w:tr>
        <w:tc>
          <w:tcPr>
            <w:tcW w:type="dxa" w:w="9360"/>
            <w:shd w:fill="EEF1F5" w:color="auto" w:val="clear"/>
            <w:tcMar>
              <w:top w:type="dxa" w:w="160"/>
              <w:left w:type="dxa" w:w="220"/>
              <w:bottom w:type="dxa" w:w="160"/>
              <w:right w:type="dxa" w:w="220"/>
            </w:tcMar>
          </w:tcPr>
          <w:p>
            <w:r>
              <w:rPr>
                <w:rFonts w:ascii="Calibri" w:cs="Calibri" w:eastAsia="Calibri" w:hAnsi="Calibri"/>
                <w:color w:val="0F1B2D"/>
                <w:sz w:val="22"/>
                <w:szCs w:val="22"/>
              </w:rPr>
              <w:t xml:space="preserve">The only system that hands an adviser a complete, quantified, narrative intelligence picture of a prospect — every figure verified — </w:t>
            </w:r>
            <w:r>
              <w:rPr>
                <w:rFonts w:ascii="Calibri" w:cs="Calibri" w:eastAsia="Calibri" w:hAnsi="Calibri"/>
                <w:b/>
                <w:bCs/>
                <w:color w:val="0F1B2D"/>
                <w:sz w:val="22"/>
                <w:szCs w:val="22"/>
              </w:rPr>
              <w:t xml:space="preserve">before the first meeting</w:t>
            </w:r>
            <w:r>
              <w:rPr>
                <w:rFonts w:ascii="Calibri" w:cs="Calibri" w:eastAsia="Calibri" w:hAnsi="Calibri"/>
                <w:color w:val="0F1B2D"/>
                <w:sz w:val="22"/>
                <w:szCs w:val="22"/>
              </w:rPr>
              <w:t xml:space="preserve">, so they win high-value clients on proof, not pitch.</w:t>
            </w:r>
          </w:p>
        </w:tc>
      </w:tr>
    </w:tbl>
    <w:p>
      <w:pPr>
        <w:pStyle w:val="Heading2"/>
        <w:spacing w:after="80" w:before="240"/>
      </w:pPr>
      <w:r>
        <w:rPr>
          <w:rFonts w:ascii="Calibri" w:cs="Calibri" w:eastAsia="Calibri" w:hAnsi="Calibri"/>
          <w:b/>
          <w:bCs/>
          <w:color w:val="B8892B"/>
          <w:sz w:val="24"/>
          <w:szCs w:val="24"/>
        </w:rPr>
        <w:t xml:space="preserve">Key differentiators</w:t>
      </w:r>
    </w:p>
    <w:p>
      <w:pPr>
        <w:pStyle w:val="ListParagraph"/>
        <w:numPr>
          <w:ilvl w:val="0"/>
          <w:numId w:val="2"/>
        </w:numPr>
        <w:spacing w:after="60" w:line="268"/>
      </w:pPr>
      <w:r>
        <w:rPr>
          <w:rFonts w:ascii="Calibri" w:cs="Calibri" w:eastAsia="Calibri" w:hAnsi="Calibri"/>
          <w:b/>
          <w:bCs/>
          <w:color w:val="222A35"/>
          <w:sz w:val="21"/>
          <w:szCs w:val="21"/>
        </w:rPr>
        <w:t xml:space="preserve">Prospect-first, pre-onboarding. </w:t>
      </w:r>
      <w:r>
        <w:rPr>
          <w:rFonts w:ascii="Calibri" w:cs="Calibri" w:eastAsia="Calibri" w:hAnsi="Calibri"/>
          <w:color w:val="222A35"/>
          <w:sz w:val="21"/>
          <w:szCs w:val="21"/>
        </w:rPr>
        <w:t xml:space="preserve">Every rival tool analyses existing clients, informs the adviser, or automates outreach. None deliver prospect intelligence before the relationship begins.</w:t>
      </w:r>
    </w:p>
    <w:p>
      <w:pPr>
        <w:pStyle w:val="ListParagraph"/>
        <w:numPr>
          <w:ilvl w:val="0"/>
          <w:numId w:val="2"/>
        </w:numPr>
        <w:spacing w:after="60" w:line="268"/>
      </w:pPr>
      <w:r>
        <w:rPr>
          <w:rFonts w:ascii="Calibri" w:cs="Calibri" w:eastAsia="Calibri" w:hAnsi="Calibri"/>
          <w:b/>
          <w:bCs/>
          <w:color w:val="222A35"/>
          <w:sz w:val="21"/>
          <w:szCs w:val="21"/>
        </w:rPr>
        <w:t xml:space="preserve">Deterministic verification. </w:t>
      </w:r>
      <w:r>
        <w:rPr>
          <w:rFonts w:ascii="Calibri" w:cs="Calibri" w:eastAsia="Calibri" w:hAnsi="Calibri"/>
          <w:color w:val="222A35"/>
          <w:sz w:val="21"/>
          <w:szCs w:val="21"/>
        </w:rPr>
        <w:t xml:space="preserve">Every figure is independently number-checked — not “AI-plausible”, but audited. No silent failures.</w:t>
      </w:r>
    </w:p>
    <w:p>
      <w:pPr>
        <w:pStyle w:val="ListParagraph"/>
        <w:numPr>
          <w:ilvl w:val="0"/>
          <w:numId w:val="2"/>
        </w:numPr>
        <w:spacing w:after="60" w:line="268"/>
      </w:pPr>
      <w:r>
        <w:rPr>
          <w:rFonts w:ascii="Calibri" w:cs="Calibri" w:eastAsia="Calibri" w:hAnsi="Calibri"/>
          <w:b/>
          <w:bCs/>
          <w:color w:val="222A35"/>
          <w:sz w:val="21"/>
          <w:szCs w:val="21"/>
        </w:rPr>
        <w:t xml:space="preserve">Governed &amp; auditable. </w:t>
      </w:r>
      <w:r>
        <w:rPr>
          <w:rFonts w:ascii="Calibri" w:cs="Calibri" w:eastAsia="Calibri" w:hAnsi="Calibri"/>
          <w:color w:val="222A35"/>
          <w:sz w:val="21"/>
          <w:szCs w:val="21"/>
        </w:rPr>
        <w:t xml:space="preserve">Full audit trail plus an adviser-approval workflow — the compliance posture an FCA-regulated firm actually needs.</w:t>
      </w:r>
    </w:p>
    <w:p>
      <w:pPr>
        <w:pStyle w:val="ListParagraph"/>
        <w:numPr>
          <w:ilvl w:val="0"/>
          <w:numId w:val="2"/>
        </w:numPr>
        <w:spacing w:after="60" w:line="268"/>
      </w:pPr>
      <w:r>
        <w:rPr>
          <w:rFonts w:ascii="Calibri" w:cs="Calibri" w:eastAsia="Calibri" w:hAnsi="Calibri"/>
          <w:b/>
          <w:bCs/>
          <w:color w:val="222A35"/>
          <w:sz w:val="21"/>
          <w:szCs w:val="21"/>
        </w:rPr>
        <w:t xml:space="preserve">Tells the numbers as a story. </w:t>
      </w:r>
      <w:r>
        <w:rPr>
          <w:rFonts w:ascii="Calibri" w:cs="Calibri" w:eastAsia="Calibri" w:hAnsi="Calibri"/>
          <w:color w:val="222A35"/>
          <w:sz w:val="21"/>
          <w:szCs w:val="21"/>
        </w:rPr>
        <w:t xml:space="preserve">A human “Your Story” narrative the client can read, hold and share — personal insight that makes them feel seen, not another dashboard the adviser has to interpret.</w:t>
      </w:r>
    </w:p>
    <w:p>
      <w:pPr>
        <w:pStyle w:val="ListParagraph"/>
        <w:numPr>
          <w:ilvl w:val="0"/>
          <w:numId w:val="2"/>
        </w:numPr>
        <w:spacing w:after="60" w:line="268"/>
      </w:pPr>
      <w:r>
        <w:rPr>
          <w:rFonts w:ascii="Calibri" w:cs="Calibri" w:eastAsia="Calibri" w:hAnsi="Calibri"/>
          <w:b/>
          <w:bCs/>
          <w:color w:val="222A35"/>
          <w:sz w:val="21"/>
          <w:szCs w:val="21"/>
        </w:rPr>
        <w:t xml:space="preserve">Universal core, contextual by design. </w:t>
      </w:r>
      <w:r>
        <w:rPr>
          <w:rFonts w:ascii="Calibri" w:cs="Calibri" w:eastAsia="Calibri" w:hAnsi="Calibri"/>
          <w:color w:val="222A35"/>
          <w:sz w:val="21"/>
          <w:szCs w:val="21"/>
        </w:rPr>
        <w:t xml:space="preserve">Never “generic”. The engine works across any HNW business owner and selects the right financial frameworks for each individual client — breadth plus contextual intelligence, out of the box.</w:t>
      </w:r>
    </w:p>
    <w:p>
      <w:pPr>
        <w:pStyle w:val="ListParagraph"/>
        <w:numPr>
          <w:ilvl w:val="0"/>
          <w:numId w:val="2"/>
        </w:numPr>
        <w:spacing w:after="60" w:line="268"/>
      </w:pPr>
      <w:r>
        <w:rPr>
          <w:rFonts w:ascii="Calibri" w:cs="Calibri" w:eastAsia="Calibri" w:hAnsi="Calibri"/>
          <w:b/>
          <w:bCs/>
          <w:color w:val="222A35"/>
          <w:sz w:val="21"/>
          <w:szCs w:val="21"/>
        </w:rPr>
        <w:t xml:space="preserve">Verified depth, in two hours. </w:t>
      </w:r>
      <w:r>
        <w:rPr>
          <w:rFonts w:ascii="Calibri" w:cs="Calibri" w:eastAsia="Calibri" w:hAnsi="Calibri"/>
          <w:color w:val="222A35"/>
          <w:sz w:val="21"/>
          <w:szCs w:val="21"/>
        </w:rPr>
        <w:t xml:space="preserve">A complete, number-checked report delivered within two hours of the meeting. Speed, depth and verification together is the combination rivals can’t match — and the reason follow-up momentum never breaks.</w:t>
      </w:r>
    </w:p>
    <w:p>
      <w:pPr>
        <w:pStyle w:val="ListParagraph"/>
        <w:numPr>
          <w:ilvl w:val="0"/>
          <w:numId w:val="2"/>
        </w:numPr>
        <w:spacing w:after="60" w:line="268"/>
      </w:pPr>
      <w:r>
        <w:rPr>
          <w:rFonts w:ascii="Calibri" w:cs="Calibri" w:eastAsia="Calibri" w:hAnsi="Calibri"/>
          <w:b/>
          <w:bCs/>
          <w:color w:val="222A35"/>
          <w:sz w:val="21"/>
          <w:szCs w:val="21"/>
        </w:rPr>
        <w:t xml:space="preserve">Exclusive niche packs (the platform moat). </w:t>
      </w:r>
      <w:r>
        <w:rPr>
          <w:rFonts w:ascii="Calibri" w:cs="Calibri" w:eastAsia="Calibri" w:hAnsi="Calibri"/>
          <w:color w:val="222A35"/>
          <w:sz w:val="21"/>
          <w:szCs w:val="21"/>
        </w:rPr>
        <w:t xml:space="preserve">Optional deep vertical intelligence for a chosen segment — sold as an exclusive right, one owner per niche definition — giving a specialist a conversion edge no rival can match on that patch. Advisers can fold in their own proprietary data, turning the pack into a durable, inheritable asset. Detailed in Section 06.</w:t>
      </w:r>
    </w:p>
    <w:p>
      <w:pPr>
        <w:pStyle w:val="ListParagraph"/>
        <w:numPr>
          <w:ilvl w:val="0"/>
          <w:numId w:val="2"/>
        </w:numPr>
        <w:spacing w:after="60" w:line="268"/>
      </w:pPr>
      <w:r>
        <w:rPr>
          <w:rFonts w:ascii="Calibri" w:cs="Calibri" w:eastAsia="Calibri" w:hAnsi="Calibri"/>
          <w:b/>
          <w:bCs/>
          <w:color w:val="222A35"/>
          <w:sz w:val="21"/>
          <w:szCs w:val="21"/>
        </w:rPr>
        <w:t xml:space="preserve">A revenue tool, not a cost tool. </w:t>
      </w:r>
      <w:r>
        <w:rPr>
          <w:rFonts w:ascii="Calibri" w:cs="Calibri" w:eastAsia="Calibri" w:hAnsi="Calibri"/>
          <w:color w:val="222A35"/>
          <w:sz w:val="21"/>
          <w:szCs w:val="21"/>
        </w:rPr>
        <w:t xml:space="preserve">The market uses AI to cut admin. This uses it to win clients — the higher-value, harder-to-copy use case.</w:t>
      </w:r>
    </w:p>
    <w:p>
      <w:pPr>
        <w:pStyle w:val="ListParagraph"/>
        <w:numPr>
          <w:ilvl w:val="0"/>
          <w:numId w:val="2"/>
        </w:numPr>
        <w:spacing w:after="60" w:line="268"/>
      </w:pPr>
      <w:r>
        <w:rPr>
          <w:rFonts w:ascii="Calibri" w:cs="Calibri" w:eastAsia="Calibri" w:hAnsi="Calibri"/>
          <w:b/>
          <w:bCs/>
          <w:color w:val="222A35"/>
          <w:sz w:val="21"/>
          <w:szCs w:val="21"/>
        </w:rPr>
        <w:t xml:space="preserve">The warnings file. </w:t>
      </w:r>
      <w:r>
        <w:rPr>
          <w:rFonts w:ascii="Calibri" w:cs="Calibri" w:eastAsia="Calibri" w:hAnsi="Calibri"/>
          <w:color w:val="222A35"/>
          <w:sz w:val="21"/>
          <w:szCs w:val="21"/>
        </w:rPr>
        <w:t xml:space="preserve">Surfaces urgent issues and opportunities an adviser cannot afford to miss — a built-in reason to re-engage.</w:t>
      </w:r>
    </w:p>
    <w:p>
      <w:pPr>
        <w:pStyle w:val="Heading2"/>
        <w:spacing w:after="80" w:before="240"/>
      </w:pPr>
      <w:r>
        <w:rPr>
          <w:rFonts w:ascii="Calibri" w:cs="Calibri" w:eastAsia="Calibri" w:hAnsi="Calibri"/>
          <w:b/>
          <w:bCs/>
          <w:color w:val="B8892B"/>
          <w:sz w:val="24"/>
          <w:szCs w:val="24"/>
        </w:rPr>
        <w:t xml:space="preserve">Core messaging (the spine)</w:t>
      </w:r>
    </w:p>
    <w:p>
      <w:pPr>
        <w:spacing w:after="120" w:line="276"/>
      </w:pPr>
      <w:r>
        <w:rPr>
          <w:rFonts w:ascii="Calibri" w:cs="Calibri" w:eastAsia="Calibri" w:hAnsi="Calibri"/>
          <w:color w:val="222A35"/>
          <w:sz w:val="21"/>
          <w:szCs w:val="21"/>
        </w:rPr>
        <w:t xml:space="preserve">Three lines carry everything else:</w:t>
      </w:r>
    </w:p>
    <w:p>
      <w:pPr>
        <w:pStyle w:val="ListParagraph"/>
        <w:numPr>
          <w:ilvl w:val="0"/>
          <w:numId w:val="2"/>
        </w:numPr>
        <w:spacing w:after="60" w:line="268"/>
      </w:pPr>
      <w:r>
        <w:rPr>
          <w:rFonts w:ascii="Calibri" w:cs="Calibri" w:eastAsia="Calibri" w:hAnsi="Calibri"/>
          <w:b/>
          <w:bCs/>
          <w:color w:val="0F1B2D"/>
          <w:sz w:val="21"/>
          <w:szCs w:val="21"/>
        </w:rPr>
        <w:t xml:space="preserve">“Everyone else uses AI to cut costs. We use it to win clients.”</w:t>
      </w:r>
    </w:p>
    <w:p>
      <w:pPr>
        <w:pStyle w:val="ListParagraph"/>
        <w:numPr>
          <w:ilvl w:val="0"/>
          <w:numId w:val="2"/>
        </w:numPr>
        <w:spacing w:after="60" w:line="268"/>
      </w:pPr>
      <w:r>
        <w:rPr>
          <w:rFonts w:ascii="Calibri" w:cs="Calibri" w:eastAsia="Calibri" w:hAnsi="Calibri"/>
          <w:b/>
          <w:bCs/>
          <w:color w:val="0F1B2D"/>
          <w:sz w:val="21"/>
          <w:szCs w:val="21"/>
        </w:rPr>
        <w:t xml:space="preserve">“Proof, not pitch.”</w:t>
      </w:r>
    </w:p>
    <w:p>
      <w:pPr>
        <w:pStyle w:val="ListParagraph"/>
        <w:numPr>
          <w:ilvl w:val="0"/>
          <w:numId w:val="2"/>
        </w:numPr>
        <w:spacing w:after="60" w:line="268"/>
      </w:pPr>
      <w:r>
        <w:rPr>
          <w:rFonts w:ascii="Calibri" w:cs="Calibri" w:eastAsia="Calibri" w:hAnsi="Calibri"/>
          <w:b/>
          <w:bCs/>
          <w:color w:val="0F1B2D"/>
          <w:sz w:val="21"/>
          <w:szCs w:val="21"/>
        </w:rPr>
        <w:t xml:space="preserve">“Understanding, made visible — and verified.”</w:t>
      </w:r>
    </w:p>
    <w:p>
      <w:pPr>
        <w:pStyle w:val="Heading2"/>
        <w:spacing w:after="80" w:before="240"/>
      </w:pPr>
      <w:r>
        <w:rPr>
          <w:rFonts w:ascii="Calibri" w:cs="Calibri" w:eastAsia="Calibri" w:hAnsi="Calibri"/>
          <w:b/>
          <w:bCs/>
          <w:color w:val="B8892B"/>
          <w:sz w:val="24"/>
          <w:szCs w:val="24"/>
        </w:rPr>
        <w:t xml:space="preserve">Elevator pitch (30 seconds)</w:t>
      </w:r>
    </w:p>
    <w:tbl>
      <w:tblPr>
        <w:tblW w:type="dxa" w:w="9360"/>
        <w:tblBorders>
          <w:top w:val="none"/>
          <w:left w:val="single" w:color="B8892B" w:sz="24"/>
          <w:bottom w:val="none"/>
          <w:right w:val="none"/>
          <w:insideH w:val="none"/>
          <w:insideV w:val="none"/>
        </w:tblBorders>
      </w:tblPr>
      <w:tblGrid>
        <w:gridCol w:w="9360"/>
      </w:tblGrid>
      <w:tr>
        <w:tc>
          <w:tcPr>
            <w:tcW w:type="dxa" w:w="9360"/>
            <w:shd w:fill="F4F1EA" w:color="auto" w:val="clear"/>
            <w:tcMar>
              <w:top w:type="dxa" w:w="160"/>
              <w:left w:type="dxa" w:w="220"/>
              <w:bottom w:type="dxa" w:w="160"/>
              <w:right w:type="dxa" w:w="220"/>
            </w:tcMar>
          </w:tcPr>
          <w:p>
            <w:r>
              <w:rPr>
                <w:rFonts w:ascii="Calibri" w:cs="Calibri" w:eastAsia="Calibri" w:hAnsi="Calibri"/>
                <w:i/>
                <w:iCs/>
                <w:color w:val="222A35"/>
                <w:sz w:val="21"/>
                <w:szCs w:val="21"/>
              </w:rPr>
              <w:t xml:space="preserve">“Advisers lose high-value prospects not because they’re worse, but because they can’t prove they understand the client fast enough. FinPrint turns the little you know before a first meeting into a complete, verified intelligence report on that prospect — their numbers, their story, the risks they’re carrying — delivered before you sit down. You walk in already trusted, follow up with proof you listened, and win clients your competitors are still trying to impress. Everyone else is using AI to cut costs. We use it to win business.”</w:t>
            </w:r>
          </w:p>
        </w:tc>
      </w:tr>
    </w:tbl>
    <w:p>
      <w:pPr>
        <w:pStyle w:val="Heading2"/>
        <w:spacing w:after="80" w:before="240"/>
      </w:pPr>
      <w:r>
        <w:rPr>
          <w:rFonts w:ascii="Calibri" w:cs="Calibri" w:eastAsia="Calibri" w:hAnsi="Calibri"/>
          <w:b/>
          <w:bCs/>
          <w:color w:val="B8892B"/>
          <w:sz w:val="24"/>
          <w:szCs w:val="24"/>
        </w:rPr>
        <w:t xml:space="preserve">One-sentence positioning statement</w:t>
      </w:r>
    </w:p>
    <w:p>
      <w:pPr>
        <w:spacing w:after="120" w:line="276"/>
      </w:pPr>
      <w:r>
        <w:rPr>
          <w:rFonts w:ascii="Calibri" w:cs="Calibri" w:eastAsia="Calibri" w:hAnsi="Calibri"/>
          <w:color w:val="222A35"/>
          <w:sz w:val="21"/>
          <w:szCs w:val="21"/>
        </w:rPr>
        <w:t xml:space="preserve">For growth-minded FCA-regulated advisory firms winning high-net-worth clients, </w:t>
      </w:r>
      <w:r>
        <w:rPr>
          <w:rFonts w:ascii="Calibri" w:cs="Calibri" w:eastAsia="Calibri" w:hAnsi="Calibri"/>
          <w:b/>
          <w:bCs/>
          <w:color w:val="222A35"/>
          <w:sz w:val="21"/>
          <w:szCs w:val="21"/>
        </w:rPr>
        <w:t xml:space="preserve">FinPrint</w:t>
      </w:r>
      <w:r>
        <w:rPr>
          <w:rFonts w:ascii="Calibri" w:cs="Calibri" w:eastAsia="Calibri" w:hAnsi="Calibri"/>
          <w:color w:val="222A35"/>
          <w:sz w:val="21"/>
          <w:szCs w:val="21"/>
        </w:rPr>
        <w:t xml:space="preserve"> is the client-winning intelligence platform that proves an adviser understands a prospect before the first meeting — unlike client-reporting or admin-automation tools, because it delivers verified, prospect-first intelligence built for conversion, not cost-cutting.</w:t>
      </w:r>
    </w:p>
    <w:p>
      <w:pPr>
        <w:pStyle w:val="Heading2"/>
        <w:spacing w:after="80" w:before="240"/>
      </w:pPr>
      <w:r>
        <w:rPr>
          <w:rFonts w:ascii="Calibri" w:cs="Calibri" w:eastAsia="Calibri" w:hAnsi="Calibri"/>
          <w:b/>
          <w:bCs/>
          <w:color w:val="B8892B"/>
          <w:sz w:val="24"/>
          <w:szCs w:val="24"/>
        </w:rPr>
        <w:t xml:space="preserve">Brand personality &amp; tone of voice</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3120"/>
        <w:gridCol w:w="3120"/>
        <w:gridCol w:w="3120"/>
      </w:tblGrid>
      <w:tr>
        <w:trPr>
          <w:tblHeader/>
        </w:trPr>
        <w:tc>
          <w:tcPr>
            <w:tcW w:type="dxa" w:w="312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We are</w:t>
            </w:r>
          </w:p>
        </w:tc>
        <w:tc>
          <w:tcPr>
            <w:tcW w:type="dxa" w:w="312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We are not</w:t>
            </w:r>
          </w:p>
        </w:tc>
        <w:tc>
          <w:tcPr>
            <w:tcW w:type="dxa" w:w="312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So the voice sounds like</w:t>
            </w:r>
          </w:p>
        </w:tc>
      </w:tr>
      <w:tr>
        <w:tc>
          <w:tcPr>
            <w:tcW w:type="dxa" w:w="312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Precise &amp; evidence-led</w:t>
            </w:r>
          </w:p>
        </w:tc>
        <w:tc>
          <w:tcPr>
            <w:tcW w:type="dxa" w:w="312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Hypey or hand-wavy</w:t>
            </w:r>
          </w:p>
        </w:tc>
        <w:tc>
          <w:tcPr>
            <w:tcW w:type="dxa" w:w="312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A sharp senior partner: direct, specific, allergic to buzzwords</w:t>
            </w:r>
          </w:p>
        </w:tc>
      </w:tr>
      <w:tr>
        <w:tc>
          <w:tcPr>
            <w:tcW w:type="dxa" w:w="312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Quietly premium</w:t>
            </w:r>
          </w:p>
        </w:tc>
        <w:tc>
          <w:tcPr>
            <w:tcW w:type="dxa" w:w="312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Flashy or salesy</w:t>
            </w:r>
          </w:p>
        </w:tc>
        <w:tc>
          <w:tcPr>
            <w:tcW w:type="dxa" w:w="312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Confident understatement — lets the proof do the talking</w:t>
            </w:r>
          </w:p>
        </w:tc>
      </w:tr>
      <w:tr>
        <w:tc>
          <w:tcPr>
            <w:tcW w:type="dxa" w:w="312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Rigorous &amp; governed</w:t>
            </w:r>
          </w:p>
        </w:tc>
        <w:tc>
          <w:tcPr>
            <w:tcW w:type="dxa" w:w="312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“Move fast, break things”</w:t>
            </w:r>
          </w:p>
        </w:tc>
        <w:tc>
          <w:tcPr>
            <w:tcW w:type="dxa" w:w="312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Trustworthy under scrutiny; comfortable with compliance</w:t>
            </w:r>
          </w:p>
        </w:tc>
      </w:tr>
      <w:tr>
        <w:tc>
          <w:tcPr>
            <w:tcW w:type="dxa" w:w="312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Ambitious &amp; modern</w:t>
            </w:r>
          </w:p>
        </w:tc>
        <w:tc>
          <w:tcPr>
            <w:tcW w:type="dxa" w:w="312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Corporate or stuffy</w:t>
            </w:r>
          </w:p>
        </w:tc>
        <w:tc>
          <w:tcPr>
            <w:tcW w:type="dxa" w:w="312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Forward-leaning, plain-English, respects the reader’s intelligence</w:t>
            </w:r>
          </w:p>
        </w:tc>
      </w:tr>
    </w:tbl>
    <w:p>
      <w:pPr>
        <w:spacing w:after="60"/>
      </w:pPr>
      <w:r>
        <w:t xml:space="preserve"/>
      </w:r>
    </w:p>
    <w:p>
      <w:pPr>
        <w:spacing w:after="120" w:line="276"/>
      </w:pPr>
      <w:r>
        <w:rPr>
          <w:rFonts w:ascii="Calibri" w:cs="Calibri" w:eastAsia="Calibri" w:hAnsi="Calibri"/>
          <w:b/>
          <w:bCs/>
          <w:color w:val="0F1B2D"/>
          <w:sz w:val="20"/>
          <w:szCs w:val="20"/>
        </w:rPr>
        <w:t xml:space="preserve">Rules of voice: </w:t>
      </w:r>
      <w:r>
        <w:rPr>
          <w:rFonts w:ascii="Calibri" w:cs="Calibri" w:eastAsia="Calibri" w:hAnsi="Calibri"/>
          <w:color w:val="222A35"/>
          <w:sz w:val="20"/>
          <w:szCs w:val="20"/>
        </w:rPr>
        <w:t xml:space="preserve">lead with the customer’s outcome, not the technology. Prefer verbs to adjectives. Ban “cutting-edge”, “revolutionary”, “game-changing” and bare “AI-powered”. Never say “we write reports” — say “the platform generates…”.</w:t>
      </w:r>
    </w:p>
    <w:p>
      <w:r>
        <w:br w:type="page"/>
      </w:r>
    </w:p>
    <w:p>
      <w:pPr>
        <w:pStyle w:val="Heading2"/>
        <w:spacing w:after="80" w:before="240"/>
      </w:pPr>
      <w:r>
        <w:rPr>
          <w:rFonts w:ascii="Calibri" w:cs="Calibri" w:eastAsia="Calibri" w:hAnsi="Calibri"/>
          <w:b/>
          <w:bCs/>
          <w:color w:val="B8892B"/>
          <w:sz w:val="24"/>
          <w:szCs w:val="24"/>
        </w:rPr>
        <w:t xml:space="preserve">Key marketing messages (reusable across web, decks, email, LinkedIn)</w:t>
      </w:r>
    </w:p>
    <w:p>
      <w:pPr>
        <w:spacing w:after="120" w:line="276"/>
      </w:pPr>
      <w:r>
        <w:rPr>
          <w:rFonts w:ascii="Calibri" w:cs="Calibri" w:eastAsia="Calibri" w:hAnsi="Calibri"/>
          <w:i/>
          <w:iCs/>
          <w:color w:val="45546A"/>
          <w:sz w:val="20"/>
          <w:szCs w:val="20"/>
        </w:rPr>
        <w:t xml:space="preserve">Copy-ready lines. Mix long and short depending on the channel.</w:t>
      </w:r>
    </w:p>
    <w:p>
      <w:pPr>
        <w:pStyle w:val="ListParagraph"/>
        <w:numPr>
          <w:ilvl w:val="0"/>
          <w:numId w:val="3"/>
        </w:numPr>
        <w:spacing w:after="60" w:line="268"/>
      </w:pPr>
      <w:r>
        <w:rPr>
          <w:rFonts w:ascii="Calibri" w:cs="Calibri" w:eastAsia="Calibri" w:hAnsi="Calibri"/>
          <w:color w:val="222A35"/>
          <w:sz w:val="21"/>
          <w:szCs w:val="21"/>
        </w:rPr>
        <w:t xml:space="preserve">Win the client before the meeting starts.</w:t>
      </w:r>
    </w:p>
    <w:p>
      <w:pPr>
        <w:pStyle w:val="ListParagraph"/>
        <w:numPr>
          <w:ilvl w:val="0"/>
          <w:numId w:val="3"/>
        </w:numPr>
        <w:spacing w:after="60" w:line="268"/>
      </w:pPr>
      <w:r>
        <w:rPr>
          <w:rFonts w:ascii="Calibri" w:cs="Calibri" w:eastAsia="Calibri" w:hAnsi="Calibri"/>
          <w:color w:val="222A35"/>
          <w:sz w:val="21"/>
          <w:szCs w:val="21"/>
        </w:rPr>
        <w:t xml:space="preserve">Everyone else uses AI to cut costs. We use it to win clients.</w:t>
      </w:r>
    </w:p>
    <w:p>
      <w:pPr>
        <w:pStyle w:val="ListParagraph"/>
        <w:numPr>
          <w:ilvl w:val="0"/>
          <w:numId w:val="3"/>
        </w:numPr>
        <w:spacing w:after="60" w:line="268"/>
      </w:pPr>
      <w:r>
        <w:rPr>
          <w:rFonts w:ascii="Calibri" w:cs="Calibri" w:eastAsia="Calibri" w:hAnsi="Calibri"/>
          <w:color w:val="222A35"/>
          <w:sz w:val="21"/>
          <w:szCs w:val="21"/>
        </w:rPr>
        <w:t xml:space="preserve">Walk in already trusted. Follow up with proof you listened.</w:t>
      </w:r>
    </w:p>
    <w:p>
      <w:pPr>
        <w:pStyle w:val="ListParagraph"/>
        <w:numPr>
          <w:ilvl w:val="0"/>
          <w:numId w:val="3"/>
        </w:numPr>
        <w:spacing w:after="60" w:line="268"/>
      </w:pPr>
      <w:r>
        <w:rPr>
          <w:rFonts w:ascii="Calibri" w:cs="Calibri" w:eastAsia="Calibri" w:hAnsi="Calibri"/>
          <w:color w:val="222A35"/>
          <w:sz w:val="21"/>
          <w:szCs w:val="21"/>
        </w:rPr>
        <w:t xml:space="preserve">Empathy doesn’t convert. Proof does.</w:t>
      </w:r>
    </w:p>
    <w:p>
      <w:pPr>
        <w:pStyle w:val="ListParagraph"/>
        <w:numPr>
          <w:ilvl w:val="0"/>
          <w:numId w:val="3"/>
        </w:numPr>
        <w:spacing w:after="60" w:line="268"/>
      </w:pPr>
      <w:r>
        <w:rPr>
          <w:rFonts w:ascii="Calibri" w:cs="Calibri" w:eastAsia="Calibri" w:hAnsi="Calibri"/>
          <w:color w:val="222A35"/>
          <w:sz w:val="21"/>
          <w:szCs w:val="21"/>
        </w:rPr>
        <w:t xml:space="preserve">Turn the little you know into intelligence they can’t ignore.</w:t>
      </w:r>
    </w:p>
    <w:p>
      <w:pPr>
        <w:pStyle w:val="ListParagraph"/>
        <w:numPr>
          <w:ilvl w:val="0"/>
          <w:numId w:val="3"/>
        </w:numPr>
        <w:spacing w:after="60" w:line="268"/>
      </w:pPr>
      <w:r>
        <w:rPr>
          <w:rFonts w:ascii="Calibri" w:cs="Calibri" w:eastAsia="Calibri" w:hAnsi="Calibri"/>
          <w:color w:val="222A35"/>
          <w:sz w:val="21"/>
          <w:szCs w:val="21"/>
        </w:rPr>
        <w:t xml:space="preserve">Every figure verified. Every narrative governed. No silent failures.</w:t>
      </w:r>
    </w:p>
    <w:p>
      <w:pPr>
        <w:pStyle w:val="ListParagraph"/>
        <w:numPr>
          <w:ilvl w:val="0"/>
          <w:numId w:val="3"/>
        </w:numPr>
        <w:spacing w:after="60" w:line="268"/>
      </w:pPr>
      <w:r>
        <w:rPr>
          <w:rFonts w:ascii="Calibri" w:cs="Calibri" w:eastAsia="Calibri" w:hAnsi="Calibri"/>
          <w:color w:val="222A35"/>
          <w:sz w:val="21"/>
          <w:szCs w:val="21"/>
        </w:rPr>
        <w:t xml:space="preserve">The report your competitor can’t produce.</w:t>
      </w:r>
    </w:p>
    <w:p>
      <w:pPr>
        <w:pStyle w:val="ListParagraph"/>
        <w:numPr>
          <w:ilvl w:val="0"/>
          <w:numId w:val="3"/>
        </w:numPr>
        <w:spacing w:after="60" w:line="268"/>
      </w:pPr>
      <w:r>
        <w:rPr>
          <w:rFonts w:ascii="Calibri" w:cs="Calibri" w:eastAsia="Calibri" w:hAnsi="Calibri"/>
          <w:color w:val="222A35"/>
          <w:sz w:val="21"/>
          <w:szCs w:val="21"/>
        </w:rPr>
        <w:t xml:space="preserve">Warm leads don’t die from lost interest — they die from lost momentum. Close the gap.</w:t>
      </w:r>
    </w:p>
    <w:p>
      <w:pPr>
        <w:pStyle w:val="ListParagraph"/>
        <w:numPr>
          <w:ilvl w:val="0"/>
          <w:numId w:val="3"/>
        </w:numPr>
        <w:spacing w:after="60" w:line="268"/>
      </w:pPr>
      <w:r>
        <w:rPr>
          <w:rFonts w:ascii="Calibri" w:cs="Calibri" w:eastAsia="Calibri" w:hAnsi="Calibri"/>
          <w:color w:val="222A35"/>
          <w:sz w:val="21"/>
          <w:szCs w:val="21"/>
        </w:rPr>
        <w:t xml:space="preserve">The AI advantage window is open now. It will not stay open.</w:t>
      </w:r>
    </w:p>
    <w:p>
      <w:pPr>
        <w:pStyle w:val="ListParagraph"/>
        <w:numPr>
          <w:ilvl w:val="0"/>
          <w:numId w:val="3"/>
        </w:numPr>
        <w:spacing w:after="60" w:line="268"/>
      </w:pPr>
      <w:r>
        <w:rPr>
          <w:rFonts w:ascii="Calibri" w:cs="Calibri" w:eastAsia="Calibri" w:hAnsi="Calibri"/>
          <w:color w:val="222A35"/>
          <w:sz w:val="21"/>
          <w:szCs w:val="21"/>
        </w:rPr>
        <w:t xml:space="preserve">Not a tool you add to your stack — the system you build client acquisition around.</w:t>
      </w:r>
    </w:p>
    <w:p>
      <w:r>
        <w:br w:type="page"/>
      </w:r>
    </w:p>
    <w:p>
      <w:pPr>
        <w:pStyle w:val="Heading1"/>
        <w:pBdr>
          <w:bottom w:val="single" w:color="B8892B" w:sz="12" w:space="6"/>
        </w:pBdr>
        <w:spacing w:after="120" w:before="360"/>
      </w:pPr>
      <w:r>
        <w:rPr>
          <w:rFonts w:ascii="Calibri" w:cs="Calibri" w:eastAsia="Calibri" w:hAnsi="Calibri"/>
          <w:b/>
          <w:bCs/>
          <w:caps/>
          <w:color w:val="0F1B2D"/>
          <w:sz w:val="30"/>
          <w:szCs w:val="30"/>
        </w:rPr>
        <w:t xml:space="preserve">03 · Brand name review — VelocityIQ</w:t>
      </w:r>
    </w:p>
    <w:p>
      <w:pPr>
        <w:pStyle w:val="Heading2"/>
        <w:spacing w:after="80" w:before="240"/>
      </w:pPr>
      <w:r>
        <w:rPr>
          <w:rFonts w:ascii="Calibri" w:cs="Calibri" w:eastAsia="Calibri" w:hAnsi="Calibri"/>
          <w:b/>
          <w:bCs/>
          <w:color w:val="B8892B"/>
          <w:sz w:val="24"/>
          <w:szCs w:val="24"/>
        </w:rPr>
        <w:t xml:space="preserve">Does it communicate what the business does?</w:t>
      </w:r>
    </w:p>
    <w:p>
      <w:pPr>
        <w:spacing w:after="120" w:line="276"/>
      </w:pPr>
      <w:r>
        <w:rPr>
          <w:rFonts w:ascii="Calibri" w:cs="Calibri" w:eastAsia="Calibri" w:hAnsi="Calibri"/>
          <w:color w:val="222A35"/>
          <w:sz w:val="21"/>
          <w:szCs w:val="21"/>
        </w:rPr>
        <w:t xml:space="preserve">Partly — and that is the problem. </w:t>
      </w:r>
      <w:r>
        <w:rPr>
          <w:rFonts w:ascii="Calibri" w:cs="Calibri" w:eastAsia="Calibri" w:hAnsi="Calibri"/>
          <w:b/>
          <w:bCs/>
          <w:color w:val="222A35"/>
          <w:sz w:val="21"/>
          <w:szCs w:val="21"/>
        </w:rPr>
        <w:t xml:space="preserve">“Velocity”</w:t>
      </w:r>
      <w:r>
        <w:rPr>
          <w:rFonts w:ascii="Calibri" w:cs="Calibri" w:eastAsia="Calibri" w:hAnsi="Calibri"/>
          <w:color w:val="222A35"/>
          <w:sz w:val="21"/>
          <w:szCs w:val="21"/>
        </w:rPr>
        <w:t xml:space="preserve"> implies speed and momentum; </w:t>
      </w:r>
      <w:r>
        <w:rPr>
          <w:rFonts w:ascii="Calibri" w:cs="Calibri" w:eastAsia="Calibri" w:hAnsi="Calibri"/>
          <w:b/>
          <w:bCs/>
          <w:color w:val="222A35"/>
          <w:sz w:val="21"/>
          <w:szCs w:val="21"/>
        </w:rPr>
        <w:t xml:space="preserve">“IQ”</w:t>
      </w:r>
      <w:r>
        <w:rPr>
          <w:rFonts w:ascii="Calibri" w:cs="Calibri" w:eastAsia="Calibri" w:hAnsi="Calibri"/>
          <w:color w:val="222A35"/>
          <w:sz w:val="21"/>
          <w:szCs w:val="21"/>
        </w:rPr>
        <w:t xml:space="preserve"> implies intelligence. Together they read as “fast smart software” — which could be sales tooling, analytics, martech, fintech or IT services. Nothing in the name signals financial advice, prospects, trust, or winning clients. A founder-adviser scanning LinkedIn cannot tell what you do from the name alone.</w:t>
      </w:r>
    </w:p>
    <w:p>
      <w:pPr>
        <w:pStyle w:val="Heading2"/>
        <w:spacing w:after="80" w:before="240"/>
      </w:pPr>
      <w:r>
        <w:rPr>
          <w:rFonts w:ascii="Calibri" w:cs="Calibri" w:eastAsia="Calibri" w:hAnsi="Calibri"/>
          <w:b/>
          <w:bCs/>
          <w:color w:val="B8892B"/>
          <w:sz w:val="24"/>
          <w:szCs w:val="24"/>
        </w:rPr>
        <w:t xml:space="preserve">Strengths</w:t>
      </w:r>
    </w:p>
    <w:p>
      <w:pPr>
        <w:pStyle w:val="ListParagraph"/>
        <w:numPr>
          <w:ilvl w:val="0"/>
          <w:numId w:val="2"/>
        </w:numPr>
        <w:spacing w:after="60" w:line="268"/>
      </w:pPr>
      <w:r>
        <w:rPr>
          <w:rFonts w:ascii="Calibri" w:cs="Calibri" w:eastAsia="Calibri" w:hAnsi="Calibri"/>
          <w:color w:val="222A35"/>
          <w:sz w:val="21"/>
          <w:szCs w:val="21"/>
        </w:rPr>
        <w:t xml:space="preserve">Easy to say and spell; two clean, familiar morphemes.</w:t>
      </w:r>
    </w:p>
    <w:p>
      <w:pPr>
        <w:pStyle w:val="ListParagraph"/>
        <w:numPr>
          <w:ilvl w:val="0"/>
          <w:numId w:val="2"/>
        </w:numPr>
        <w:spacing w:after="60" w:line="268"/>
      </w:pPr>
      <w:r>
        <w:rPr>
          <w:rFonts w:ascii="Calibri" w:cs="Calibri" w:eastAsia="Calibri" w:hAnsi="Calibri"/>
          <w:color w:val="222A35"/>
          <w:sz w:val="21"/>
          <w:szCs w:val="21"/>
        </w:rPr>
        <w:t xml:space="preserve">“IQ” lands the intelligence/analytics cue instantly.</w:t>
      </w:r>
    </w:p>
    <w:p>
      <w:pPr>
        <w:pStyle w:val="ListParagraph"/>
        <w:numPr>
          <w:ilvl w:val="0"/>
          <w:numId w:val="2"/>
        </w:numPr>
        <w:spacing w:after="60" w:line="268"/>
      </w:pPr>
      <w:r>
        <w:rPr>
          <w:rFonts w:ascii="Calibri" w:cs="Calibri" w:eastAsia="Calibri" w:hAnsi="Calibri"/>
          <w:color w:val="222A35"/>
          <w:sz w:val="21"/>
          <w:szCs w:val="21"/>
        </w:rPr>
        <w:t xml:space="preserve">“Velocity” carries useful growth/momentum energy that fits a revenue-not-cost story.</w:t>
      </w:r>
    </w:p>
    <w:p>
      <w:pPr>
        <w:pStyle w:val="ListParagraph"/>
        <w:numPr>
          <w:ilvl w:val="0"/>
          <w:numId w:val="2"/>
        </w:numPr>
        <w:spacing w:after="60" w:line="268"/>
      </w:pPr>
      <w:r>
        <w:rPr>
          <w:rFonts w:ascii="Calibri" w:cs="Calibri" w:eastAsia="Calibri" w:hAnsi="Calibri"/>
          <w:color w:val="222A35"/>
          <w:sz w:val="21"/>
          <w:szCs w:val="21"/>
        </w:rPr>
        <w:t xml:space="preserve">Sounds like software, not a consultancy — which is the right instinct.</w:t>
      </w:r>
    </w:p>
    <w:p>
      <w:pPr>
        <w:pStyle w:val="Heading2"/>
        <w:spacing w:after="80" w:before="240"/>
      </w:pPr>
      <w:r>
        <w:rPr>
          <w:rFonts w:ascii="Calibri" w:cs="Calibri" w:eastAsia="Calibri" w:hAnsi="Calibri"/>
          <w:b/>
          <w:bCs/>
          <w:color w:val="B8892B"/>
          <w:sz w:val="24"/>
          <w:szCs w:val="24"/>
        </w:rPr>
        <w:t xml:space="preserve">Weaknesses (the deciding factors)</w:t>
      </w:r>
    </w:p>
    <w:p>
      <w:pPr>
        <w:pStyle w:val="ListParagraph"/>
        <w:numPr>
          <w:ilvl w:val="0"/>
          <w:numId w:val="2"/>
        </w:numPr>
        <w:spacing w:after="60" w:line="268"/>
      </w:pPr>
      <w:r>
        <w:rPr>
          <w:rFonts w:ascii="Calibri" w:cs="Calibri" w:eastAsia="Calibri" w:hAnsi="Calibri"/>
          <w:b/>
          <w:bCs/>
          <w:color w:val="222A35"/>
          <w:sz w:val="21"/>
          <w:szCs w:val="21"/>
        </w:rPr>
        <w:t xml:space="preserve">The .com is gone. </w:t>
      </w:r>
      <w:r>
        <w:rPr>
          <w:rFonts w:ascii="Calibri" w:cs="Calibri" w:eastAsia="Calibri" w:hAnsi="Calibri"/>
          <w:color w:val="222A35"/>
          <w:sz w:val="21"/>
          <w:szCs w:val="21"/>
        </w:rPr>
        <w:t xml:space="preserve">velocityiq.com belongs to an established Florida IT firm. getvelocityiq.com is a permanent second-best that quietly signals “someone got here first”.</w:t>
      </w:r>
    </w:p>
    <w:p>
      <w:pPr>
        <w:pStyle w:val="ListParagraph"/>
        <w:numPr>
          <w:ilvl w:val="0"/>
          <w:numId w:val="2"/>
        </w:numPr>
        <w:spacing w:after="60" w:line="268"/>
      </w:pPr>
      <w:r>
        <w:rPr>
          <w:rFonts w:ascii="Calibri" w:cs="Calibri" w:eastAsia="Calibri" w:hAnsi="Calibri"/>
          <w:b/>
          <w:bCs/>
          <w:color w:val="222A35"/>
          <w:sz w:val="21"/>
          <w:szCs w:val="21"/>
        </w:rPr>
        <w:t xml:space="preserve">A near-identical name already operates in an adjacent category. </w:t>
      </w:r>
      <w:r>
        <w:rPr>
          <w:rFonts w:ascii="Calibri" w:cs="Calibri" w:eastAsia="Calibri" w:hAnsi="Calibri"/>
          <w:color w:val="222A35"/>
          <w:sz w:val="21"/>
          <w:szCs w:val="21"/>
        </w:rPr>
        <w:t xml:space="preserve">VelocityIQ™ / VelocityIQOS™ is a live US sales-intelligence platform asserting a trademark — “predicts deals before forms are filled”. This is close enough to your space to create confusion and real trademark exposure.</w:t>
      </w:r>
    </w:p>
    <w:p>
      <w:pPr>
        <w:pStyle w:val="ListParagraph"/>
        <w:numPr>
          <w:ilvl w:val="0"/>
          <w:numId w:val="2"/>
        </w:numPr>
        <w:spacing w:after="60" w:line="268"/>
      </w:pPr>
      <w:r>
        <w:rPr>
          <w:rFonts w:ascii="Calibri" w:cs="Calibri" w:eastAsia="Calibri" w:hAnsi="Calibri"/>
          <w:b/>
          <w:bCs/>
          <w:color w:val="222A35"/>
          <w:sz w:val="21"/>
          <w:szCs w:val="21"/>
        </w:rPr>
        <w:t xml:space="preserve">“-IQ” is a saturated suffix. </w:t>
      </w:r>
      <w:r>
        <w:rPr>
          <w:rFonts w:ascii="Calibri" w:cs="Calibri" w:eastAsia="Calibri" w:hAnsi="Calibri"/>
          <w:color w:val="222A35"/>
          <w:sz w:val="21"/>
          <w:szCs w:val="21"/>
        </w:rPr>
        <w:t xml:space="preserve">There are hundreds of X-IQ SaaS brands (and a data firm literally called LeadIQ). It has crossed from “smart” into “template” — the opposite of the distinctive, premium signal you want with HNW-facing firms.</w:t>
      </w:r>
    </w:p>
    <w:p>
      <w:pPr>
        <w:pStyle w:val="ListParagraph"/>
        <w:numPr>
          <w:ilvl w:val="0"/>
          <w:numId w:val="2"/>
        </w:numPr>
        <w:spacing w:after="60" w:line="268"/>
      </w:pPr>
      <w:r>
        <w:rPr>
          <w:rFonts w:ascii="Calibri" w:cs="Calibri" w:eastAsia="Calibri" w:hAnsi="Calibri"/>
          <w:b/>
          <w:bCs/>
          <w:color w:val="222A35"/>
          <w:sz w:val="21"/>
          <w:szCs w:val="21"/>
        </w:rPr>
        <w:t xml:space="preserve">It doesn’t own your actual USP. </w:t>
      </w:r>
      <w:r>
        <w:rPr>
          <w:rFonts w:ascii="Calibri" w:cs="Calibri" w:eastAsia="Calibri" w:hAnsi="Calibri"/>
          <w:color w:val="222A35"/>
          <w:sz w:val="21"/>
          <w:szCs w:val="21"/>
        </w:rPr>
        <w:t xml:space="preserve">Your edge is “verified understanding, before the meeting”. “Velocity” points at speed, which is the least defensible part of your story.</w:t>
      </w:r>
    </w:p>
    <w:p>
      <w:pPr>
        <w:spacing w:after="60"/>
      </w:pPr>
      <w:r>
        <w:t xml:space="preserve"/>
      </w:r>
    </w:p>
    <w:tbl>
      <w:tblPr>
        <w:tblW w:type="dxa" w:w="9360"/>
        <w:tblBorders>
          <w:top w:val="none"/>
          <w:left w:val="single" w:color="B8892B" w:sz="24"/>
          <w:bottom w:val="none"/>
          <w:right w:val="none"/>
          <w:insideH w:val="none"/>
          <w:insideV w:val="none"/>
        </w:tblBorders>
      </w:tblPr>
      <w:tblGrid>
        <w:gridCol w:w="9360"/>
      </w:tblGrid>
      <w:tr>
        <w:tc>
          <w:tcPr>
            <w:tcW w:type="dxa" w:w="9360"/>
            <w:shd w:fill="F4F1EA" w:color="auto" w:val="clear"/>
            <w:tcMar>
              <w:top w:type="dxa" w:w="160"/>
              <w:left w:type="dxa" w:w="220"/>
              <w:bottom w:type="dxa" w:w="160"/>
              <w:right w:type="dxa" w:w="220"/>
            </w:tcMar>
          </w:tcPr>
          <w:p>
            <w:pPr>
              <w:spacing w:after="60"/>
            </w:pPr>
            <w:r>
              <w:rPr>
                <w:rFonts w:ascii="Calibri" w:cs="Calibri" w:eastAsia="Calibri" w:hAnsi="Calibri"/>
                <w:b/>
                <w:bCs/>
                <w:color w:val="0F1B2D"/>
                <w:sz w:val="20"/>
                <w:szCs w:val="20"/>
              </w:rPr>
              <w:t xml:space="preserve">Verdict</w:t>
            </w:r>
          </w:p>
          <w:p>
            <w:r>
              <w:rPr>
                <w:rFonts w:ascii="Calibri" w:cs="Calibri" w:eastAsia="Calibri" w:hAnsi="Calibri"/>
                <w:color w:val="222A35"/>
                <w:sz w:val="20"/>
                <w:szCs w:val="20"/>
              </w:rPr>
              <w:t xml:space="preserve">Rebrand — and do it before you scale outreach spend. The name is functional but crowded, the premium .com is unavailable, and there is a same-name competitor in an adjacent category with a trademark claim. You are early enough that switching is cheap; every month of LinkedIn equity you build on “VelocityIQ” raises the future cost of moving. If you keep it for now for continuity, treat it as a working title, not a decision.</w:t>
            </w:r>
          </w:p>
        </w:tc>
      </w:tr>
    </w:tbl>
    <w:p>
      <w:pPr>
        <w:spacing w:after="40"/>
      </w:pPr>
      <w:r>
        <w:t xml:space="preserve"/>
      </w:r>
    </w:p>
    <w:p>
      <w:pPr>
        <w:spacing w:after="120" w:line="276"/>
      </w:pPr>
      <w:r>
        <w:rPr>
          <w:rFonts w:ascii="Calibri" w:cs="Calibri" w:eastAsia="Calibri" w:hAnsi="Calibri"/>
          <w:b/>
          <w:bCs/>
          <w:color w:val="0F1B2D"/>
          <w:sz w:val="20"/>
          <w:szCs w:val="20"/>
        </w:rPr>
        <w:t xml:space="preserve">Counter-argument, fairly stated: </w:t>
      </w:r>
      <w:r>
        <w:rPr>
          <w:rFonts w:ascii="Calibri" w:cs="Calibri" w:eastAsia="Calibri" w:hAnsi="Calibri"/>
          <w:color w:val="222A35"/>
          <w:sz w:val="20"/>
          <w:szCs w:val="20"/>
        </w:rPr>
        <w:t xml:space="preserve">you already have 1,500–1,800 relevant connections and some content equity under this name, and a UK financial-services micro-brand is unlikely to be sued by a US IT firm tomorrow. If speed to first revenue matters more than brand durability right now, keeping VelocityIQ short-term is defensible — provided you decide consciously and register the eventual name early.</w:t>
      </w:r>
    </w:p>
    <w:p>
      <w:r>
        <w:br w:type="page"/>
      </w:r>
    </w:p>
    <w:p>
      <w:pPr>
        <w:pStyle w:val="Heading1"/>
        <w:pBdr>
          <w:bottom w:val="single" w:color="B8892B" w:sz="12" w:space="6"/>
        </w:pBdr>
        <w:spacing w:after="120" w:before="360"/>
      </w:pPr>
      <w:r>
        <w:rPr>
          <w:rFonts w:ascii="Calibri" w:cs="Calibri" w:eastAsia="Calibri" w:hAnsi="Calibri"/>
          <w:b/>
          <w:bCs/>
          <w:caps/>
          <w:color w:val="0F1B2D"/>
          <w:sz w:val="30"/>
          <w:szCs w:val="30"/>
        </w:rPr>
        <w:t xml:space="preserve">04 · 20 alternative brand names</w:t>
      </w:r>
    </w:p>
    <w:p>
      <w:pPr>
        <w:spacing w:after="120" w:line="276"/>
      </w:pPr>
      <w:r>
        <w:rPr>
          <w:rFonts w:ascii="Calibri" w:cs="Calibri" w:eastAsia="Calibri" w:hAnsi="Calibri"/>
          <w:color w:val="222A35"/>
          <w:sz w:val="20"/>
          <w:szCs w:val="20"/>
        </w:rPr>
        <w:t xml:space="preserve">Chosen to be pronounceable, ownable and software-flavoured — and deliberately coined or compounded to improve the odds of an available .com and a clearer trademark path. They avoid the tired “-IQ / -AI / Smart / Sense / Mind” suffixes. </w:t>
      </w:r>
      <w:r>
        <w:rPr>
          <w:rFonts w:ascii="Calibri" w:cs="Calibri" w:eastAsia="Calibri" w:hAnsi="Calibri"/>
          <w:b/>
          <w:bCs/>
          <w:color w:val="0F1B2D"/>
          <w:sz w:val="20"/>
          <w:szCs w:val="20"/>
        </w:rPr>
        <w:t xml:space="preserve">Availability is not guaranteed:</w:t>
      </w:r>
      <w:r>
        <w:rPr>
          <w:rFonts w:ascii="Calibri" w:cs="Calibri" w:eastAsia="Calibri" w:hAnsi="Calibri"/>
          <w:color w:val="222A35"/>
          <w:sz w:val="20"/>
          <w:szCs w:val="20"/>
        </w:rPr>
        <w:t xml:space="preserve"> verify each .com and run a UK/EU trademark check before committing. Flags note collisions I’m already aware of.</w:t>
      </w:r>
    </w:p>
    <w:p>
      <w:pPr>
        <w:spacing w:after="20"/>
      </w:pPr>
      <w:r>
        <w:t xml:space="preserve"/>
      </w:r>
    </w:p>
    <w:tbl>
      <w:tblPr>
        <w:tblW w:type="dxa" w:w="9360"/>
        <w:tblBorders>
          <w:top w:val="none"/>
          <w:left w:val="single" w:color="B8892B" w:sz="24"/>
          <w:bottom w:val="none"/>
          <w:right w:val="none"/>
          <w:insideH w:val="none"/>
          <w:insideV w:val="none"/>
        </w:tblBorders>
      </w:tblPr>
      <w:tblGrid>
        <w:gridCol w:w="9360"/>
      </w:tblGrid>
      <w:tr>
        <w:tc>
          <w:tcPr>
            <w:tcW w:type="dxa" w:w="9360"/>
            <w:shd w:fill="F4F1EA" w:color="auto" w:val="clear"/>
            <w:tcMar>
              <w:top w:type="dxa" w:w="160"/>
              <w:left w:type="dxa" w:w="220"/>
              <w:bottom w:type="dxa" w:w="160"/>
              <w:right w:type="dxa" w:w="220"/>
            </w:tcMar>
          </w:tcPr>
          <w:p>
            <w:r>
              <w:rPr>
                <w:rFonts w:ascii="Calibri" w:cs="Calibri" w:eastAsia="Calibri" w:hAnsi="Calibri"/>
                <w:b/>
                <w:bCs/>
                <w:color w:val="0F1B2D"/>
                <w:sz w:val="20"/>
                <w:szCs w:val="20"/>
              </w:rPr>
              <w:t xml:space="preserve">Register matters here. </w:t>
            </w:r>
            <w:r>
              <w:rPr>
                <w:rFonts w:ascii="Calibri" w:cs="Calibri" w:eastAsia="Calibri" w:hAnsi="Calibri"/>
                <w:color w:val="222A35"/>
                <w:sz w:val="20"/>
                <w:szCs w:val="20"/>
              </w:rPr>
              <w:t xml:space="preserve">The product tells the numbers as a </w:t>
            </w:r>
            <w:r>
              <w:rPr>
                <w:rFonts w:ascii="Calibri" w:cs="Calibri" w:eastAsia="Calibri" w:hAnsi="Calibri"/>
                <w:b/>
                <w:bCs/>
                <w:color w:val="222A35"/>
                <w:sz w:val="20"/>
                <w:szCs w:val="20"/>
              </w:rPr>
              <w:t xml:space="preserve">story</w:t>
            </w:r>
            <w:r>
              <w:rPr>
                <w:rFonts w:ascii="Calibri" w:cs="Calibri" w:eastAsia="Calibri" w:hAnsi="Calibri"/>
                <w:color w:val="222A35"/>
                <w:sz w:val="20"/>
                <w:szCs w:val="20"/>
              </w:rPr>
              <w:t xml:space="preserve"> and delivers </w:t>
            </w:r>
            <w:r>
              <w:rPr>
                <w:rFonts w:ascii="Calibri" w:cs="Calibri" w:eastAsia="Calibri" w:hAnsi="Calibri"/>
                <w:b/>
                <w:bCs/>
                <w:color w:val="222A35"/>
                <w:sz w:val="20"/>
                <w:szCs w:val="20"/>
              </w:rPr>
              <w:t xml:space="preserve">personal insight</w:t>
            </w:r>
            <w:r>
              <w:rPr>
                <w:rFonts w:ascii="Calibri" w:cs="Calibri" w:eastAsia="Calibri" w:hAnsi="Calibri"/>
                <w:color w:val="222A35"/>
                <w:sz w:val="20"/>
                <w:szCs w:val="20"/>
              </w:rPr>
              <w:t xml:space="preserve"> — it makes a client feel seen. It is warm, not a cold intelligence file. So names lean into story, insight, clarity and foresight; the “dossier/brief” direction is retired, because “dossier” reads as surveillance compiled </w:t>
            </w:r>
            <w:r>
              <w:rPr>
                <w:rFonts w:ascii="Calibri" w:cs="Calibri" w:eastAsia="Calibri" w:hAnsi="Calibri"/>
                <w:i/>
                <w:iCs/>
                <w:color w:val="222A35"/>
                <w:sz w:val="20"/>
                <w:szCs w:val="20"/>
              </w:rPr>
              <w:t xml:space="preserve">on</w:t>
            </w:r>
            <w:r>
              <w:rPr>
                <w:rFonts w:ascii="Calibri" w:cs="Calibri" w:eastAsia="Calibri" w:hAnsi="Calibri"/>
                <w:color w:val="222A35"/>
                <w:sz w:val="20"/>
                <w:szCs w:val="20"/>
              </w:rPr>
              <w:t xml:space="preserve"> someone — exactly the wrong feeling.</w:t>
            </w:r>
          </w:p>
        </w:tc>
      </w:tr>
    </w:tbl>
    <w:p>
      <w:pPr>
        <w:pStyle w:val="Heading2"/>
        <w:spacing w:after="80" w:before="240"/>
      </w:pPr>
      <w:r>
        <w:rPr>
          <w:rFonts w:ascii="Calibri" w:cs="Calibri" w:eastAsia="Calibri" w:hAnsi="Calibri"/>
          <w:b/>
          <w:bCs/>
          <w:color w:val="B8892B"/>
          <w:sz w:val="24"/>
          <w:szCs w:val="24"/>
        </w:rPr>
        <w:t xml:space="preserve">Theme A — “Before the meeting” (foresight &amp; readiness)</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560"/>
        <w:gridCol w:w="7800"/>
      </w:tblGrid>
      <w:tr>
        <w:trPr>
          <w:tblHeader/>
        </w:trPr>
        <w:tc>
          <w:tcPr>
            <w:tcW w:type="dxa" w:w="15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Name</w:t>
            </w:r>
          </w:p>
        </w:tc>
        <w:tc>
          <w:tcPr>
            <w:tcW w:type="dxa" w:w="78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Rationale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Priora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From “prior” — the intelligence that arrives before you meet. Premium, modern SaaS feel (cf. Prisma, Miro). Main collision is automotive (Lada Priora), a different class.</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Foreknow</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Plain-English but almost unused as a brand: says exactly what you sell — know the prospect before you meet them. Sticky and easy to say.</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Preavis</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French for “advance notice”, and hides “avis” (advice) — sophisticated, apt for a financial-advice audience, likely available.</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Anteris</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From Latin “ante” (before). Short, confident, tech-forward. Flag: a US medical-device firm uses this — different sector, but check the mark.</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Preludia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The report is the prelude to the meeting; the “-ia” ending protects the .com where bare “Prelude” is taken.</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Theme B — The story &amp; the insight (numbers, told as a story)</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560"/>
        <w:gridCol w:w="7800"/>
      </w:tblGrid>
      <w:tr>
        <w:trPr>
          <w:tblHeader/>
        </w:trPr>
        <w:tc>
          <w:tcPr>
            <w:tcW w:type="dxa" w:w="15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Name</w:t>
            </w:r>
          </w:p>
        </w:tc>
        <w:tc>
          <w:tcPr>
            <w:tcW w:type="dxa" w:w="78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Rationale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Narrata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From “narrate” — the platform that tells the numbers as a story. Sits directly on your USP, warm rather than clinical, and reads as premium software.</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Storyproof</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“Your Story” turned into something proven and real — bridges the narrative surface and the verification underneath. Benefit-led and distinctive.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Evincia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From “evince” (to reveal clearly). The insight that shows a client you understand them. Elegant, premium, very likely ownable.</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Understory</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The story beneath the numbers — and it hides “understand”. Evocative and human. Flag: check Understory (analytics) for the mark.</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Theme C — Verification &amp; rigour (the compliance moat)</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560"/>
        <w:gridCol w:w="7800"/>
      </w:tblGrid>
      <w:tr>
        <w:trPr>
          <w:tblHeader/>
        </w:trPr>
        <w:tc>
          <w:tcPr>
            <w:tcW w:type="dxa" w:w="15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Name</w:t>
            </w:r>
          </w:p>
        </w:tc>
        <w:tc>
          <w:tcPr>
            <w:tcW w:type="dxa" w:w="78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Rationale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Proveno</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Coined from “proven / provenance” — audit-trail and proof DNA baked in. Latinate and premium; strong for an FCA audience.</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Attestic</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From “attest” — every figure attested and verified. Serious, distinctive, compliance-flavoured without sounding dull.</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Veritel</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“Verity” (truth) + “tel” — truth you can hand over. The coinage sidesteps the taken “Verity” marks.</w:t>
            </w:r>
          </w:p>
        </w:tc>
      </w:tr>
    </w:tbl>
    <w:p>
      <w:r>
        <w:br w:type="page"/>
      </w:r>
    </w:p>
    <w:p>
      <w:pPr>
        <w:pStyle w:val="Heading2"/>
        <w:spacing w:after="80" w:before="240"/>
      </w:pPr>
      <w:r>
        <w:rPr>
          <w:rFonts w:ascii="Calibri" w:cs="Calibri" w:eastAsia="Calibri" w:hAnsi="Calibri"/>
          <w:b/>
          <w:bCs/>
          <w:color w:val="B8892B"/>
          <w:sz w:val="24"/>
          <w:szCs w:val="24"/>
        </w:rPr>
        <w:t xml:space="preserve">Theme D — Clarity &amp; signal (insight without the cliché)</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560"/>
        <w:gridCol w:w="7800"/>
      </w:tblGrid>
      <w:tr>
        <w:trPr>
          <w:tblHeader/>
        </w:trPr>
        <w:tc>
          <w:tcPr>
            <w:tcW w:type="dxa" w:w="15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Name</w:t>
            </w:r>
          </w:p>
        </w:tc>
        <w:tc>
          <w:tcPr>
            <w:tcW w:type="dxa" w:w="78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Rationale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Lucida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From “lucid” — clarity and insight without saying “insight”. Soft “-a” ending is ownable and reads as modern software.</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Cleara</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“Clear” — the clarity you bring to a first meeting. Short, clean, benefit-led; easy to say and remember.</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Salient</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The salient facts that make you look like you understand. Coin the spelling (Salience-style) to secure the domain.</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Theme E — Conviction &amp; momentum (energy &amp; forward motion)</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560"/>
        <w:gridCol w:w="7800"/>
      </w:tblGrid>
      <w:tr>
        <w:trPr>
          <w:tblHeader/>
        </w:trPr>
        <w:tc>
          <w:tcPr>
            <w:tcW w:type="dxa" w:w="15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Name</w:t>
            </w:r>
          </w:p>
        </w:tc>
        <w:tc>
          <w:tcPr>
            <w:tcW w:type="dxa" w:w="78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Rationale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Convela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From “conviction / convert” — the tool that converts prospects. Warm, brandable, keeps the growth energy without “velocity”.</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Cadova</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“Cadence” + “nova” — the repeatable rhythm of a client-winning workflow. Software-modern, distinctive.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Overtura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From “overture” — the opening move that sets up everything that follows. Premium and confident; the “-a” protects the .com.</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Theme F — Understanding &amp; relationship (the emotional core)</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560"/>
        <w:gridCol w:w="7800"/>
      </w:tblGrid>
      <w:tr>
        <w:trPr>
          <w:tblHeader/>
        </w:trPr>
        <w:tc>
          <w:tcPr>
            <w:tcW w:type="dxa" w:w="15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Name</w:t>
            </w:r>
          </w:p>
        </w:tc>
        <w:tc>
          <w:tcPr>
            <w:tcW w:type="dxa" w:w="78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Rationale</w:t>
            </w:r>
          </w:p>
        </w:tc>
      </w:tr>
      <w:tr>
        <w:tc>
          <w:tcPr>
            <w:tcW w:type="dxa" w:w="15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Kenna</w:t>
            </w:r>
          </w:p>
        </w:tc>
        <w:tc>
          <w:tcPr>
            <w:tcW w:type="dxa" w:w="78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From “ken” — to know a person deeply (“beyond my ken”). Warm and on-meaning, but ruled out: the mark is already registered multiple times.</w:t>
            </w:r>
          </w:p>
        </w:tc>
      </w:tr>
      <w:tr>
        <w:tc>
          <w:tcPr>
            <w:tcW w:type="dxa" w:w="15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Adepta</w:t>
            </w:r>
          </w:p>
        </w:tc>
        <w:tc>
          <w:tcPr>
            <w:tcW w:type="dxa" w:w="78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From “adept” — the adviser walks in prepared and capable. Short, confident, benefit-led; unmistakably software.</w:t>
            </w:r>
          </w:p>
        </w:tc>
      </w:tr>
    </w:tbl>
    <w:p>
      <w:pPr>
        <w:spacing w:after="100"/>
      </w:pPr>
      <w:r>
        <w:t xml:space="preserve"/>
      </w:r>
    </w:p>
    <w:tbl>
      <w:tblPr>
        <w:tblW w:type="dxa" w:w="9360"/>
        <w:tblBorders>
          <w:top w:val="none"/>
          <w:left w:val="single" w:color="0F1B2D" w:sz="24"/>
          <w:bottom w:val="none"/>
          <w:right w:val="none"/>
          <w:insideH w:val="none"/>
          <w:insideV w:val="none"/>
        </w:tblBorders>
      </w:tblPr>
      <w:tblGrid>
        <w:gridCol w:w="9360"/>
      </w:tblGrid>
      <w:tr>
        <w:tc>
          <w:tcPr>
            <w:tcW w:type="dxa" w:w="9360"/>
            <w:shd w:fill="EEF1F5" w:color="auto" w:val="clear"/>
            <w:tcMar>
              <w:top w:type="dxa" w:w="160"/>
              <w:left w:type="dxa" w:w="220"/>
              <w:bottom w:type="dxa" w:w="160"/>
              <w:right w:type="dxa" w:w="220"/>
            </w:tcMar>
          </w:tcPr>
          <w:p>
            <w:pPr>
              <w:spacing w:after="80"/>
            </w:pPr>
            <w:r>
              <w:rPr>
                <w:rFonts w:ascii="Calibri" w:cs="Calibri" w:eastAsia="Calibri" w:hAnsi="Calibri"/>
                <w:b/>
                <w:bCs/>
                <w:color w:val="0F1B2D"/>
                <w:sz w:val="22"/>
                <w:szCs w:val="22"/>
              </w:rPr>
              <w:t xml:space="preserve">Working decision: product = FinPrint, company = Wrigital Ltd</w:t>
            </w:r>
          </w:p>
          <w:p>
            <w:pPr>
              <w:spacing w:after="80"/>
            </w:pPr>
            <w:r>
              <w:rPr>
                <w:rFonts w:ascii="Calibri" w:cs="Calibri" w:eastAsia="Calibri" w:hAnsi="Calibri"/>
                <w:b/>
                <w:bCs/>
                <w:color w:val="222A35"/>
                <w:sz w:val="20"/>
                <w:szCs w:val="20"/>
              </w:rPr>
              <w:t xml:space="preserve">Chosen direction. </w:t>
            </w:r>
            <w:r>
              <w:rPr>
                <w:rFonts w:ascii="Calibri" w:cs="Calibri" w:eastAsia="Calibri" w:hAnsi="Calibri"/>
                <w:b/>
                <w:bCs/>
                <w:color w:val="222A35"/>
                <w:sz w:val="20"/>
                <w:szCs w:val="20"/>
              </w:rPr>
              <w:t xml:space="preserve">“Fin”</w:t>
            </w:r>
            <w:r>
              <w:rPr>
                <w:rFonts w:ascii="Calibri" w:cs="Calibri" w:eastAsia="Calibri" w:hAnsi="Calibri"/>
                <w:color w:val="222A35"/>
                <w:sz w:val="20"/>
                <w:szCs w:val="20"/>
              </w:rPr>
              <w:t xml:space="preserve"> plants the brand in finance instantly — no strapline needed to decode it, which was the weakness of the coined options. </w:t>
            </w:r>
            <w:r>
              <w:rPr>
                <w:rFonts w:ascii="Calibri" w:cs="Calibri" w:eastAsia="Calibri" w:hAnsi="Calibri"/>
                <w:b/>
                <w:bCs/>
                <w:color w:val="222A35"/>
                <w:sz w:val="20"/>
                <w:szCs w:val="20"/>
              </w:rPr>
              <w:t xml:space="preserve">“FinPrint”</w:t>
            </w:r>
            <w:r>
              <w:rPr>
                <w:rFonts w:ascii="Calibri" w:cs="Calibri" w:eastAsia="Calibri" w:hAnsi="Calibri"/>
                <w:color w:val="222A35"/>
                <w:sz w:val="20"/>
                <w:szCs w:val="20"/>
              </w:rPr>
              <w:t xml:space="preserve"> carries a strong, ownable metaphor: every client’s financial situation is as unique and identifying as a fingerprint. It hands you an obvious, distinctive logo for free, and it speaks directly to the personalised, verified insight the product delivers.</w:t>
            </w:r>
          </w:p>
          <w:p>
            <w:pPr>
              <w:spacing w:after="40"/>
            </w:pPr>
            <w:r>
              <w:rPr>
                <w:rFonts w:ascii="Calibri" w:cs="Calibri" w:eastAsia="Calibri" w:hAnsi="Calibri"/>
                <w:b/>
                <w:bCs/>
                <w:color w:val="B8892B"/>
                <w:spacing w:val="10"/>
                <w:sz w:val="19"/>
                <w:szCs w:val="19"/>
              </w:rPr>
              <w:t xml:space="preserve">Tagline &amp; descriptor</w:t>
            </w:r>
          </w:p>
          <w:p>
            <w:pPr>
              <w:spacing w:after="20"/>
            </w:pPr>
            <w:r>
              <w:rPr>
                <w:rFonts w:ascii="Georgia" w:cs="Georgia" w:eastAsia="Georgia" w:hAnsi="Georgia"/>
                <w:b/>
                <w:bCs/>
                <w:color w:val="0F1B2D"/>
                <w:sz w:val="24"/>
                <w:szCs w:val="24"/>
              </w:rPr>
              <w:t xml:space="preserve">FinPrint. </w:t>
            </w:r>
            <w:r>
              <w:rPr>
                <w:rFonts w:ascii="Georgia" w:cs="Georgia" w:eastAsia="Georgia" w:hAnsi="Georgia"/>
                <w:i/>
                <w:iCs/>
                <w:color w:val="0F1B2D"/>
                <w:sz w:val="24"/>
                <w:szCs w:val="24"/>
              </w:rPr>
              <w:t xml:space="preserve">Your personal financial fingerprint.</w:t>
            </w:r>
          </w:p>
          <w:p>
            <w:pPr>
              <w:spacing w:after="80"/>
            </w:pPr>
            <w:r>
              <w:rPr>
                <w:rFonts w:ascii="Calibri" w:cs="Calibri" w:eastAsia="Calibri" w:hAnsi="Calibri"/>
                <w:color w:val="45546A"/>
                <w:sz w:val="19"/>
                <w:szCs w:val="19"/>
              </w:rPr>
              <w:t xml:space="preserve">Descriptor for context: </w:t>
            </w:r>
            <w:r>
              <w:rPr>
                <w:rFonts w:ascii="Calibri" w:cs="Calibri" w:eastAsia="Calibri" w:hAnsi="Calibri"/>
                <w:i/>
                <w:iCs/>
                <w:color w:val="222A35"/>
                <w:sz w:val="19"/>
                <w:szCs w:val="19"/>
              </w:rPr>
              <w:t xml:space="preserve">“FinPrint — personalised financial intelligence.”</w:t>
            </w:r>
            <w:r>
              <w:rPr>
                <w:rFonts w:ascii="Calibri" w:cs="Calibri" w:eastAsia="Calibri" w:hAnsi="Calibri"/>
                <w:color w:val="45546A"/>
                <w:sz w:val="19"/>
                <w:szCs w:val="19"/>
              </w:rPr>
              <w:t xml:space="preserve">  Adviser-facing functional line: </w:t>
            </w:r>
            <w:r>
              <w:rPr>
                <w:rFonts w:ascii="Calibri" w:cs="Calibri" w:eastAsia="Calibri" w:hAnsi="Calibri"/>
                <w:i/>
                <w:iCs/>
                <w:color w:val="222A35"/>
                <w:sz w:val="19"/>
                <w:szCs w:val="19"/>
              </w:rPr>
              <w:t xml:space="preserve">“Know your client before you meet them.”</w:t>
            </w:r>
          </w:p>
          <w:p>
            <w:pPr>
              <w:spacing w:after="40"/>
            </w:pPr>
            <w:r>
              <w:rPr>
                <w:rFonts w:ascii="Calibri" w:cs="Calibri" w:eastAsia="Calibri" w:hAnsi="Calibri"/>
                <w:b/>
                <w:bCs/>
                <w:color w:val="B8892B"/>
                <w:spacing w:val="10"/>
                <w:sz w:val="19"/>
                <w:szCs w:val="19"/>
              </w:rPr>
              <w:t xml:space="preserve">Clearance — checked</w:t>
            </w:r>
          </w:p>
          <w:p>
            <w:pPr>
              <w:spacing w:after="20"/>
            </w:pPr>
            <w:r>
              <w:rPr>
                <w:rFonts w:ascii="Calibri" w:cs="Calibri" w:eastAsia="Calibri" w:hAnsi="Calibri"/>
                <w:b/>
                <w:bCs/>
                <w:color w:val="222A35"/>
                <w:sz w:val="19"/>
                <w:szCs w:val="19"/>
              </w:rPr>
              <w:t xml:space="preserve">Confirmed available on a UK trademark search in the relevant classes (9 / 36 / 42). </w:t>
            </w:r>
            <w:r>
              <w:rPr>
                <w:rFonts w:ascii="Calibri" w:cs="Calibri" w:eastAsia="Calibri" w:hAnsi="Calibri"/>
                <w:color w:val="222A35"/>
                <w:sz w:val="19"/>
                <w:szCs w:val="19"/>
              </w:rPr>
              <w:t xml:space="preserve">FinePrint (fineprint.com) exists as document/printing software, but it is a distinct name — spelt differently and read differently (“fine-print” vs “fin-print”) — not a phonetic clash. Worth staying aware of as an adjacent software mark, no more.</w:t>
            </w:r>
          </w:p>
          <w:p>
            <w:pPr>
              <w:spacing w:after="20"/>
            </w:pPr>
            <w:r>
              <w:rPr>
                <w:rFonts w:ascii="Calibri" w:cs="Calibri" w:eastAsia="Calibri" w:hAnsi="Calibri"/>
                <w:b/>
                <w:bCs/>
                <w:color w:val="222A35"/>
                <w:sz w:val="19"/>
                <w:szCs w:val="19"/>
              </w:rPr>
              <w:t xml:space="preserve">Two light notes, not blockers: </w:t>
            </w:r>
            <w:r>
              <w:rPr>
                <w:rFonts w:ascii="Calibri" w:cs="Calibri" w:eastAsia="Calibri" w:hAnsi="Calibri"/>
                <w:color w:val="222A35"/>
                <w:sz w:val="19"/>
                <w:szCs w:val="19"/>
              </w:rPr>
              <w:t xml:space="preserve">“Fin-” is the most saturated prefix in fintech, so your distinctiveness comes from the fingerprint metaphor doing the heavy lifting — lean into it in the mark and messaging. And finprint.com is held by a financial-data project, but the Wrigital subdomain (finprint.wrigital.com) means that doesn’t block launch. If you later want the exact domain, keep an eye on it or use a clean variant.</w:t>
            </w:r>
          </w:p>
        </w:tc>
      </w:tr>
    </w:tbl>
    <w:p>
      <w:r>
        <w:br w:type="page"/>
      </w:r>
    </w:p>
    <w:p>
      <w:pPr>
        <w:pStyle w:val="Heading1"/>
        <w:pBdr>
          <w:bottom w:val="single" w:color="B8892B" w:sz="12" w:space="6"/>
        </w:pBdr>
        <w:spacing w:after="120" w:before="360"/>
      </w:pPr>
      <w:r>
        <w:rPr>
          <w:rFonts w:ascii="Calibri" w:cs="Calibri" w:eastAsia="Calibri" w:hAnsi="Calibri"/>
          <w:b/>
          <w:bCs/>
          <w:caps/>
          <w:color w:val="0F1B2D"/>
          <w:sz w:val="30"/>
          <w:szCs w:val="30"/>
        </w:rPr>
        <w:t xml:space="preserve">05 · Logo direction — three concepts</w:t>
      </w:r>
    </w:p>
    <w:p>
      <w:pPr>
        <w:spacing w:after="120" w:line="276"/>
      </w:pPr>
      <w:r>
        <w:rPr>
          <w:rFonts w:ascii="Calibri" w:cs="Calibri" w:eastAsia="Calibri" w:hAnsi="Calibri"/>
          <w:color w:val="222A35"/>
          <w:sz w:val="20"/>
          <w:szCs w:val="20"/>
        </w:rPr>
        <w:t xml:space="preserve">Direction built for the chosen name (</w:t>
      </w:r>
      <w:r>
        <w:rPr>
          <w:rFonts w:ascii="Calibri" w:cs="Calibri" w:eastAsia="Calibri" w:hAnsi="Calibri"/>
          <w:b/>
          <w:bCs/>
          <w:color w:val="0F1B2D"/>
          <w:sz w:val="20"/>
          <w:szCs w:val="20"/>
        </w:rPr>
        <w:t xml:space="preserve">FinPrint</w:t>
      </w:r>
      <w:r>
        <w:rPr>
          <w:rFonts w:ascii="Calibri" w:cs="Calibri" w:eastAsia="Calibri" w:hAnsi="Calibri"/>
          <w:color w:val="222A35"/>
          <w:sz w:val="20"/>
          <w:szCs w:val="20"/>
        </w:rPr>
        <w:t xml:space="preserve">). The name hands you the mark: a fingerprint. Shared brand feel across all three: </w:t>
      </w:r>
      <w:r>
        <w:rPr>
          <w:rFonts w:ascii="Calibri" w:cs="Calibri" w:eastAsia="Calibri" w:hAnsi="Calibri"/>
          <w:i/>
          <w:iCs/>
          <w:color w:val="222A35"/>
          <w:sz w:val="20"/>
          <w:szCs w:val="20"/>
        </w:rPr>
        <w:t xml:space="preserve">quietly premium, precise, trustworthy, unmistakably software</w:t>
      </w:r>
      <w:r>
        <w:rPr>
          <w:rFonts w:ascii="Calibri" w:cs="Calibri" w:eastAsia="Calibri" w:hAnsi="Calibri"/>
          <w:color w:val="222A35"/>
          <w:sz w:val="20"/>
          <w:szCs w:val="20"/>
        </w:rPr>
        <w:t xml:space="preserve"> — a brand an FCA-regulated firm is comfortable putting in front of a high-net-worth client, that still feels modern enough to be an ambitious platform.</w:t>
      </w:r>
    </w:p>
    <w:p>
      <w:pPr>
        <w:spacing w:after="40"/>
      </w:pPr>
      <w:r>
        <w:t xml:space="preserve"/>
      </w:r>
    </w:p>
    <w:tbl>
      <w:tblPr>
        <w:tblW w:type="dxa" w:w="9360"/>
        <w:tblBorders>
          <w:top w:val="none"/>
          <w:left w:val="single" w:color="B8892B" w:sz="24"/>
          <w:bottom w:val="none"/>
          <w:right w:val="none"/>
          <w:insideH w:val="none"/>
          <w:insideV w:val="none"/>
        </w:tblBorders>
      </w:tblPr>
      <w:tblGrid>
        <w:gridCol w:w="9360"/>
      </w:tblGrid>
      <w:tr>
        <w:tc>
          <w:tcPr>
            <w:tcW w:type="dxa" w:w="9360"/>
            <w:shd w:fill="F4F1EA" w:color="auto" w:val="clear"/>
            <w:tcMar>
              <w:top w:type="dxa" w:w="160"/>
              <w:left w:type="dxa" w:w="220"/>
              <w:bottom w:type="dxa" w:w="160"/>
              <w:right w:type="dxa" w:w="220"/>
            </w:tcMar>
          </w:tcPr>
          <w:p>
            <w:pPr>
              <w:spacing w:after="60"/>
            </w:pPr>
            <w:r>
              <w:rPr>
                <w:rFonts w:ascii="Calibri" w:cs="Calibri" w:eastAsia="Calibri" w:hAnsi="Calibri"/>
                <w:b/>
                <w:bCs/>
                <w:color w:val="0F1B2D"/>
                <w:sz w:val="20"/>
                <w:szCs w:val="20"/>
              </w:rPr>
              <w:t xml:space="preserve">Core palette (shared)</w:t>
            </w:r>
          </w:p>
          <w:p>
            <w:pPr>
              <w:spacing w:after="30"/>
            </w:pPr>
            <w:r>
              <w:rPr>
                <w:rFonts w:ascii="Calibri" w:cs="Calibri" w:eastAsia="Calibri" w:hAnsi="Calibri"/>
                <w:color w:val="222A35"/>
                <w:sz w:val="20"/>
                <w:szCs w:val="20"/>
              </w:rPr>
              <w:t xml:space="preserve">Ink Navy #0F1B2D · Refined Gold #B8892B · Slate #45546A · Warm Paper #F4F1EA · Cool Mist #EEF1F5</w:t>
            </w:r>
          </w:p>
          <w:p>
            <w:r>
              <w:rPr>
                <w:rFonts w:ascii="Calibri" w:cs="Calibri" w:eastAsia="Calibri" w:hAnsi="Calibri"/>
                <w:i/>
                <w:iCs/>
                <w:color w:val="45546A"/>
                <w:sz w:val="19"/>
                <w:szCs w:val="19"/>
              </w:rPr>
              <w:t xml:space="preserve">Navy carries trust and seriousness; a single restrained gold accent signals premium and money without being loud; the warm/cool neutrals keep it human rather than cold-fintech.</w:t>
            </w:r>
          </w:p>
        </w:tc>
      </w:tr>
    </w:tbl>
    <w:p>
      <w:pPr>
        <w:pStyle w:val="Heading2"/>
        <w:spacing w:after="80" w:before="240"/>
      </w:pPr>
      <w:r>
        <w:rPr>
          <w:rFonts w:ascii="Calibri" w:cs="Calibri" w:eastAsia="Calibri" w:hAnsi="Calibri"/>
          <w:b/>
          <w:bCs/>
          <w:color w:val="B8892B"/>
          <w:sz w:val="24"/>
          <w:szCs w:val="24"/>
        </w:rPr>
        <w:t xml:space="preserve">Concept A — The Fingerprint Mark  (recommended)</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700"/>
        <w:gridCol w:w="7660"/>
      </w:tblGrid>
      <w:tr>
        <w:trPr>
          <w:tblHeader/>
        </w:trPr>
        <w:tc>
          <w:tcPr>
            <w:tcW w:type="dxa" w:w="17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Element</w:t>
            </w:r>
          </w:p>
        </w:tc>
        <w:tc>
          <w:tcPr>
            <w:tcW w:type="dxa" w:w="76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Direction</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Visual style</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A minimal, abstracted fingerprint — a few concentric ridge-lines, not a literal forensic print — optionally resolving at its core into an “F” or a subtle upward data-line. Instantly reads as “unique to you” and scales cleanly to a favicon.</w:t>
            </w:r>
          </w:p>
        </w:tc>
      </w:tr>
      <w:tr>
        <w:tc>
          <w:tcPr>
            <w:tcW w:type="dxa" w:w="17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Colour palette</w:t>
            </w:r>
          </w:p>
        </w:tc>
        <w:tc>
          <w:tcPr>
            <w:tcW w:type="dxa" w:w="76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Ink Navy ridges on paper; a single gold ridge (or the gold core) as the one accent, so the eye lands on the centre. Mono navy and reversed white versions for compliance-heavy documents.</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Typography</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Wordmark in a modern geometric-humanist sans (Aeonik / Söhne / Neue Haas Grotesk feel), medium weight, slightly tightened tracking. “Fin” and “Print” can share a weight, or “Print” sit slightly lighter to keep it calm, not gimmicky.</w:t>
            </w:r>
          </w:p>
        </w:tc>
      </w:tr>
      <w:tr>
        <w:tc>
          <w:tcPr>
            <w:tcW w:type="dxa" w:w="17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Icon concept</w:t>
            </w:r>
          </w:p>
        </w:tc>
        <w:tc>
          <w:tcPr>
            <w:tcW w:type="dxa" w:w="76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Every client’s financial life is unique and identifying — a fingerprint. The gold core = the personal insight only this adviser brings.</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Overall feel</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Distinctive, premium, unmistakably a platform. The metaphor is legible at a glance and hard for a rival to copy.</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Concept B — The Verified Line</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700"/>
        <w:gridCol w:w="7660"/>
      </w:tblGrid>
      <w:tr>
        <w:trPr>
          <w:tblHeader/>
        </w:trPr>
        <w:tc>
          <w:tcPr>
            <w:tcW w:type="dxa" w:w="17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Element</w:t>
            </w:r>
          </w:p>
        </w:tc>
        <w:tc>
          <w:tcPr>
            <w:tcW w:type="dxa" w:w="76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Direction</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Visual style</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A single underscore or underline stroke beneath the wordmark, resolving into a small tick — the gesture of a truth confirmed and a point made. No document or file imagery; the mark is about a verified insight, not a folder.</w:t>
            </w:r>
          </w:p>
        </w:tc>
      </w:tr>
      <w:tr>
        <w:tc>
          <w:tcPr>
            <w:tcW w:type="dxa" w:w="17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Colour palette</w:t>
            </w:r>
          </w:p>
        </w:tc>
        <w:tc>
          <w:tcPr>
            <w:tcW w:type="dxa" w:w="76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Navy wordmark, gold underline-and-tick as the single accent. Works as a repeatable motif (the “verified line”) across decks and the product UI.</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Typography</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Sharp neo-grotesque wordmark (Inter / Basis Grotesque feel) for a precise, credible tone. Tabular-figure numerals echoed in the product UI to reinforce “every figure verified”.</w:t>
            </w:r>
          </w:p>
        </w:tc>
      </w:tr>
      <w:tr>
        <w:tc>
          <w:tcPr>
            <w:tcW w:type="dxa" w:w="17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Icon concept</w:t>
            </w:r>
          </w:p>
        </w:tc>
        <w:tc>
          <w:tcPr>
            <w:tcW w:type="dxa" w:w="76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A truth, underlined and confirmed — the verification moat expressed without any cold “intelligence-file” connotation.</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Overall feel</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Rigorous and trustworthy, but still human. Best if you lean the brand toward the verification moat (or choose Proveno).</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Concept C — The Signal</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700"/>
        <w:gridCol w:w="7660"/>
      </w:tblGrid>
      <w:tr>
        <w:trPr>
          <w:tblHeader/>
        </w:trPr>
        <w:tc>
          <w:tcPr>
            <w:tcW w:type="dxa" w:w="17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Element</w:t>
            </w:r>
          </w:p>
        </w:tc>
        <w:tc>
          <w:tcPr>
            <w:tcW w:type="dxa" w:w="766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Direction</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Visual style</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A concentric aperture / focusing mark — rings drawing into a single sharp point, or a lens bringing a blur into focus. Suggests turning scattered, partial information into one clear, sharp picture.</w:t>
            </w:r>
          </w:p>
        </w:tc>
      </w:tr>
      <w:tr>
        <w:tc>
          <w:tcPr>
            <w:tcW w:type="dxa" w:w="17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Colour palette</w:t>
            </w:r>
          </w:p>
        </w:tc>
        <w:tc>
          <w:tcPr>
            <w:tcW w:type="dxa" w:w="76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Navy rings graduating to a gold focal point. Works as an animated loader in-product (rings resolving to focus) — useful for the SaaS UI later.</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Typography</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Warm geometric sans with subtly humanist terminals (Aeonik / Object Sans feel) to avoid cold-tech sterility; generous letterspacing in the wordmark for a calm, premium cadence.</w:t>
            </w:r>
          </w:p>
        </w:tc>
      </w:tr>
      <w:tr>
        <w:tc>
          <w:tcPr>
            <w:tcW w:type="dxa" w:w="17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Icon concept</w:t>
            </w:r>
          </w:p>
        </w:tc>
        <w:tc>
          <w:tcPr>
            <w:tcW w:type="dxa" w:w="766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Clarity from noise: partial pre-meeting information resolved into one precise, verified view of the prospect.</w:t>
            </w:r>
          </w:p>
        </w:tc>
      </w:tr>
      <w:tr>
        <w:tc>
          <w:tcPr>
            <w:tcW w:type="dxa" w:w="17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Overall feel</w:t>
            </w:r>
          </w:p>
        </w:tc>
        <w:tc>
          <w:tcPr>
            <w:tcW w:type="dxa" w:w="766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Insightful, calm, intelligent. The most “platform-native” of the three and the most flexible as the product grows.</w:t>
            </w:r>
          </w:p>
        </w:tc>
      </w:tr>
    </w:tbl>
    <w:p>
      <w:pPr>
        <w:spacing w:after="80"/>
      </w:pPr>
      <w:r>
        <w:t xml:space="preserve"/>
      </w:r>
    </w:p>
    <w:tbl>
      <w:tblPr>
        <w:tblW w:type="dxa" w:w="9360"/>
        <w:tblBorders>
          <w:top w:val="none"/>
          <w:left w:val="single" w:color="B8892B" w:sz="24"/>
          <w:bottom w:val="none"/>
          <w:right w:val="none"/>
          <w:insideH w:val="none"/>
          <w:insideV w:val="none"/>
        </w:tblBorders>
      </w:tblPr>
      <w:tblGrid>
        <w:gridCol w:w="9360"/>
      </w:tblGrid>
      <w:tr>
        <w:tc>
          <w:tcPr>
            <w:tcW w:type="dxa" w:w="9360"/>
            <w:shd w:fill="F4F1EA" w:color="auto" w:val="clear"/>
            <w:tcMar>
              <w:top w:type="dxa" w:w="160"/>
              <w:left w:type="dxa" w:w="220"/>
              <w:bottom w:type="dxa" w:w="160"/>
              <w:right w:type="dxa" w:w="220"/>
            </w:tcMar>
          </w:tcPr>
          <w:p>
            <w:r>
              <w:rPr>
                <w:rFonts w:ascii="Calibri" w:cs="Calibri" w:eastAsia="Calibri" w:hAnsi="Calibri"/>
                <w:b/>
                <w:bCs/>
                <w:color w:val="0F1B2D"/>
                <w:sz w:val="20"/>
                <w:szCs w:val="20"/>
              </w:rPr>
              <w:t xml:space="preserve">Recommendation: </w:t>
            </w:r>
            <w:r>
              <w:rPr>
                <w:rFonts w:ascii="Calibri" w:cs="Calibri" w:eastAsia="Calibri" w:hAnsi="Calibri"/>
                <w:color w:val="222A35"/>
                <w:sz w:val="20"/>
                <w:szCs w:val="20"/>
              </w:rPr>
              <w:t xml:space="preserve">lead with Concept A (The Fingerprint Mark). The name gives you the metaphor for free, it’s distinctive and hard to copy, and it scales from favicon to signage without losing meaning.</w:t>
            </w:r>
          </w:p>
        </w:tc>
      </w:tr>
    </w:tbl>
    <w:p>
      <w:r>
        <w:br w:type="page"/>
      </w:r>
    </w:p>
    <w:p>
      <w:pPr>
        <w:pStyle w:val="Heading1"/>
        <w:pBdr>
          <w:bottom w:val="single" w:color="B8892B" w:sz="12" w:space="6"/>
        </w:pBdr>
        <w:spacing w:after="120" w:before="360"/>
      </w:pPr>
      <w:r>
        <w:rPr>
          <w:rFonts w:ascii="Calibri" w:cs="Calibri" w:eastAsia="Calibri" w:hAnsi="Calibri"/>
          <w:b/>
          <w:bCs/>
          <w:caps/>
          <w:color w:val="0F1B2D"/>
          <w:sz w:val="30"/>
          <w:szCs w:val="30"/>
        </w:rPr>
        <w:t xml:space="preserve">06 · Positioning for the SaaS future</w:t>
      </w:r>
    </w:p>
    <w:p>
      <w:pPr>
        <w:pStyle w:val="Heading2"/>
        <w:spacing w:after="80" w:before="240"/>
      </w:pPr>
      <w:r>
        <w:rPr>
          <w:rFonts w:ascii="Calibri" w:cs="Calibri" w:eastAsia="Calibri" w:hAnsi="Calibri"/>
          <w:b/>
          <w:bCs/>
          <w:color w:val="B8892B"/>
          <w:sz w:val="24"/>
          <w:szCs w:val="24"/>
        </w:rPr>
        <w:t xml:space="preserve">Brand architecture: one company, many products</w:t>
      </w:r>
    </w:p>
    <w:p>
      <w:pPr>
        <w:spacing w:after="120" w:line="276"/>
      </w:pPr>
      <w:r>
        <w:rPr>
          <w:rFonts w:ascii="Calibri" w:cs="Calibri" w:eastAsia="Calibri" w:hAnsi="Calibri"/>
          <w:color w:val="222A35"/>
          <w:sz w:val="21"/>
          <w:szCs w:val="21"/>
        </w:rPr>
        <w:t xml:space="preserve">The structural decision that unlocks everything else: separate the </w:t>
      </w:r>
      <w:r>
        <w:rPr>
          <w:rFonts w:ascii="Calibri" w:cs="Calibri" w:eastAsia="Calibri" w:hAnsi="Calibri"/>
          <w:b/>
          <w:bCs/>
          <w:color w:val="222A35"/>
          <w:sz w:val="21"/>
          <w:szCs w:val="21"/>
        </w:rPr>
        <w:t xml:space="preserve">company</w:t>
      </w:r>
      <w:r>
        <w:rPr>
          <w:rFonts w:ascii="Calibri" w:cs="Calibri" w:eastAsia="Calibri" w:hAnsi="Calibri"/>
          <w:color w:val="222A35"/>
          <w:sz w:val="21"/>
          <w:szCs w:val="21"/>
        </w:rPr>
        <w:t xml:space="preserve"> from the </w:t>
      </w:r>
      <w:r>
        <w:rPr>
          <w:rFonts w:ascii="Calibri" w:cs="Calibri" w:eastAsia="Calibri" w:hAnsi="Calibri"/>
          <w:b/>
          <w:bCs/>
          <w:color w:val="222A35"/>
          <w:sz w:val="21"/>
          <w:szCs w:val="21"/>
        </w:rPr>
        <w:t xml:space="preserve">product</w:t>
      </w:r>
      <w:r>
        <w:rPr>
          <w:rFonts w:ascii="Calibri" w:cs="Calibri" w:eastAsia="Calibri" w:hAnsi="Calibri"/>
          <w:color w:val="222A35"/>
          <w:sz w:val="21"/>
          <w:szCs w:val="21"/>
        </w:rPr>
        <w:t xml:space="preserve">. </w:t>
      </w:r>
      <w:r>
        <w:rPr>
          <w:rFonts w:ascii="Calibri" w:cs="Calibri" w:eastAsia="Calibri" w:hAnsi="Calibri"/>
          <w:b/>
          <w:bCs/>
          <w:color w:val="222A35"/>
          <w:sz w:val="21"/>
          <w:szCs w:val="21"/>
        </w:rPr>
        <w:t xml:space="preserve">Wrigital Ltd</w:t>
      </w:r>
      <w:r>
        <w:rPr>
          <w:rFonts w:ascii="Calibri" w:cs="Calibri" w:eastAsia="Calibri" w:hAnsi="Calibri"/>
          <w:color w:val="222A35"/>
          <w:sz w:val="21"/>
          <w:szCs w:val="21"/>
        </w:rPr>
        <w:t xml:space="preserve"> is the parent — the entity on the contract, the Companies House record, the footer. </w:t>
      </w:r>
      <w:r>
        <w:rPr>
          <w:rFonts w:ascii="Calibri" w:cs="Calibri" w:eastAsia="Calibri" w:hAnsi="Calibri"/>
          <w:b/>
          <w:bCs/>
          <w:color w:val="222A35"/>
          <w:sz w:val="21"/>
          <w:szCs w:val="21"/>
        </w:rPr>
        <w:t xml:space="preserve">FinPrint</w:t>
      </w:r>
      <w:r>
        <w:rPr>
          <w:rFonts w:ascii="Calibri" w:cs="Calibri" w:eastAsia="Calibri" w:hAnsi="Calibri"/>
          <w:color w:val="222A35"/>
          <w:sz w:val="21"/>
          <w:szCs w:val="21"/>
        </w:rPr>
        <w:t xml:space="preserve"> is the hero product customers actually meet. The company owns one sensible domain (wrigital.com); the product lives on a subdomain or path until it earns its own, so you never pay premium-domain prices to name the thing you sell.</w:t>
      </w:r>
    </w:p>
    <w:p>
      <w:pPr>
        <w:pStyle w:val="ListParagraph"/>
        <w:numPr>
          <w:ilvl w:val="0"/>
          <w:numId w:val="2"/>
        </w:numPr>
        <w:spacing w:after="60" w:line="268"/>
      </w:pPr>
      <w:r>
        <w:rPr>
          <w:rFonts w:ascii="Calibri" w:cs="Calibri" w:eastAsia="Calibri" w:hAnsi="Calibri"/>
          <w:b/>
          <w:bCs/>
          <w:color w:val="222A35"/>
          <w:sz w:val="21"/>
          <w:szCs w:val="21"/>
        </w:rPr>
        <w:t xml:space="preserve">Keep the product the hero. </w:t>
      </w:r>
      <w:r>
        <w:rPr>
          <w:rFonts w:ascii="Calibri" w:cs="Calibri" w:eastAsia="Calibri" w:hAnsi="Calibri"/>
          <w:color w:val="222A35"/>
          <w:sz w:val="21"/>
          <w:szCs w:val="21"/>
        </w:rPr>
        <w:t xml:space="preserve">LinkedIn, the pitch, the landing page all lead with FinPrint; Wrigital stays quiet in the background, so the company’s older digital-marketing associations never touch the platform’s positioning.</w:t>
      </w:r>
    </w:p>
    <w:p>
      <w:pPr>
        <w:pStyle w:val="ListParagraph"/>
        <w:numPr>
          <w:ilvl w:val="0"/>
          <w:numId w:val="2"/>
        </w:numPr>
        <w:spacing w:after="60" w:line="268"/>
      </w:pPr>
      <w:r>
        <w:rPr>
          <w:rFonts w:ascii="Calibri" w:cs="Calibri" w:eastAsia="Calibri" w:hAnsi="Calibri"/>
          <w:b/>
          <w:bCs/>
          <w:color w:val="222A35"/>
          <w:sz w:val="21"/>
          <w:szCs w:val="21"/>
        </w:rPr>
        <w:t xml:space="preserve">It makes room for more than one product. </w:t>
      </w:r>
      <w:r>
        <w:rPr>
          <w:rFonts w:ascii="Calibri" w:cs="Calibri" w:eastAsia="Calibri" w:hAnsi="Calibri"/>
          <w:color w:val="222A35"/>
          <w:sz w:val="21"/>
          <w:szCs w:val="21"/>
        </w:rPr>
        <w:t xml:space="preserve">A parent company can hold FinPrint and a lead-generation service and whatever comes next — each named on its own merits, all under one trading entity. That is a genuine strategic asset, not just tidiness.</w:t>
      </w:r>
    </w:p>
    <w:p>
      <w:pPr>
        <w:pStyle w:val="ListParagraph"/>
        <w:numPr>
          <w:ilvl w:val="0"/>
          <w:numId w:val="2"/>
        </w:numPr>
        <w:spacing w:after="60" w:line="268"/>
      </w:pPr>
      <w:r>
        <w:rPr>
          <w:rFonts w:ascii="Calibri" w:cs="Calibri" w:eastAsia="Calibri" w:hAnsi="Calibri"/>
          <w:b/>
          <w:bCs/>
          <w:color w:val="222A35"/>
          <w:sz w:val="21"/>
          <w:szCs w:val="21"/>
        </w:rPr>
        <w:t xml:space="preserve">The two lines reinforce each other. </w:t>
      </w:r>
      <w:r>
        <w:rPr>
          <w:rFonts w:ascii="Calibri" w:cs="Calibri" w:eastAsia="Calibri" w:hAnsi="Calibri"/>
          <w:color w:val="222A35"/>
          <w:sz w:val="21"/>
          <w:szCs w:val="21"/>
        </w:rPr>
        <w:t xml:space="preserve">Lead gen brings prospects in; FinPrint is what converts them. Offered together under Wrigital, “we find your next high-value client, and give you the intelligence to win them” is a stronger proposition than either half alone — a natural cross-sell and a reason advisers stay.</w:t>
      </w:r>
    </w:p>
    <w:p>
      <w:pPr>
        <w:spacing w:after="40"/>
      </w:pPr>
      <w:r>
        <w:t xml:space="preserve"/>
      </w:r>
    </w:p>
    <w:p>
      <w:pPr>
        <w:spacing w:after="120" w:line="276"/>
      </w:pPr>
      <w:r>
        <w:rPr>
          <w:rFonts w:ascii="Calibri" w:cs="Calibri" w:eastAsia="Calibri" w:hAnsi="Calibri"/>
          <w:color w:val="222A35"/>
          <w:sz w:val="21"/>
          <w:szCs w:val="21"/>
        </w:rPr>
        <w:t xml:space="preserve">You sell reports today; you intend to sell a platform. The brand has to be written for the destination now, so you never have to re-educate the market later. Practical rules:</w:t>
      </w:r>
    </w:p>
    <w:p>
      <w:pPr>
        <w:pStyle w:val="Heading2"/>
        <w:spacing w:after="80" w:before="240"/>
      </w:pPr>
      <w:r>
        <w:rPr>
          <w:rFonts w:ascii="Calibri" w:cs="Calibri" w:eastAsia="Calibri" w:hAnsi="Calibri"/>
          <w:b/>
          <w:bCs/>
          <w:color w:val="B8892B"/>
          <w:sz w:val="24"/>
          <w:szCs w:val="24"/>
        </w:rPr>
        <w:t xml:space="preserve">Language: platform words only</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4680"/>
        <w:gridCol w:w="4680"/>
      </w:tblGrid>
      <w:tr>
        <w:trPr>
          <w:tblHeader/>
        </w:trPr>
        <w:tc>
          <w:tcPr>
            <w:tcW w:type="dxa" w:w="468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Stop saying</w:t>
            </w:r>
          </w:p>
        </w:tc>
        <w:tc>
          <w:tcPr>
            <w:tcW w:type="dxa" w:w="468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Start saying</w:t>
            </w:r>
          </w:p>
        </w:tc>
      </w:tr>
      <w:tr>
        <w:tc>
          <w:tcPr>
            <w:tcW w:type="dxa" w:w="468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“We write / produce reports”</w:t>
            </w:r>
          </w:p>
        </w:tc>
        <w:tc>
          <w:tcPr>
            <w:tcW w:type="dxa" w:w="468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“The platform generates…” / “the engine produces…”</w:t>
            </w:r>
          </w:p>
        </w:tc>
      </w:tr>
      <w:tr>
        <w:tc>
          <w:tcPr>
            <w:tcW w:type="dxa" w:w="468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“Report service” / “report pack”</w:t>
            </w:r>
          </w:p>
        </w:tc>
        <w:tc>
          <w:tcPr>
            <w:tcW w:type="dxa" w:w="468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“Client-winning intelligence system” / “intelligence workspace”</w:t>
            </w:r>
          </w:p>
        </w:tc>
      </w:tr>
      <w:tr>
        <w:tc>
          <w:tcPr>
            <w:tcW w:type="dxa" w:w="468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“I deliver it by email”</w:t>
            </w:r>
          </w:p>
        </w:tc>
        <w:tc>
          <w:tcPr>
            <w:tcW w:type="dxa" w:w="468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“Intelligence is delivered through the platform” (email is just today’s channel)</w:t>
            </w:r>
          </w:p>
        </w:tc>
      </w:tr>
      <w:tr>
        <w:tc>
          <w:tcPr>
            <w:tcW w:type="dxa" w:w="468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“Per report” pricing framing</w:t>
            </w:r>
          </w:p>
        </w:tc>
        <w:tc>
          <w:tcPr>
            <w:tcW w:type="dxa" w:w="468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Packages, seats, and firm-wide plans — priced on outcome, not output</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Structure: make the manual step invisible to the story</w:t>
      </w:r>
    </w:p>
    <w:p>
      <w:pPr>
        <w:spacing w:after="120" w:line="276"/>
      </w:pPr>
      <w:r>
        <w:rPr>
          <w:rFonts w:ascii="Calibri" w:cs="Calibri" w:eastAsia="Calibri" w:hAnsi="Calibri"/>
          <w:color w:val="222A35"/>
          <w:sz w:val="21"/>
          <w:szCs w:val="21"/>
        </w:rPr>
        <w:t xml:space="preserve">The human review and deterministic check are a </w:t>
      </w:r>
      <w:r>
        <w:rPr>
          <w:rFonts w:ascii="Calibri" w:cs="Calibri" w:eastAsia="Calibri" w:hAnsi="Calibri"/>
          <w:b/>
          <w:bCs/>
          <w:color w:val="222A35"/>
          <w:sz w:val="21"/>
          <w:szCs w:val="21"/>
        </w:rPr>
        <w:t xml:space="preserve">feature</w:t>
      </w:r>
      <w:r>
        <w:rPr>
          <w:rFonts w:ascii="Calibri" w:cs="Calibri" w:eastAsia="Calibri" w:hAnsi="Calibri"/>
          <w:color w:val="222A35"/>
          <w:sz w:val="21"/>
          <w:szCs w:val="21"/>
        </w:rPr>
        <w:t xml:space="preserve"> (adviser-approved, governed), not a confession of manual labour. Describe the workflow as the product — “generate → verify → adviser-approve → deliver” — so that when generation becomes self-serve, nothing about the brand needs to change. The audit trail and approval step are exactly what let you say “platform” truthfully today.</w:t>
      </w:r>
    </w:p>
    <w:p>
      <w:pPr>
        <w:pStyle w:val="Heading2"/>
        <w:spacing w:after="80" w:before="240"/>
      </w:pPr>
      <w:r>
        <w:rPr>
          <w:rFonts w:ascii="Calibri" w:cs="Calibri" w:eastAsia="Calibri" w:hAnsi="Calibri"/>
          <w:b/>
          <w:bCs/>
          <w:color w:val="B8892B"/>
          <w:sz w:val="24"/>
          <w:szCs w:val="24"/>
        </w:rPr>
        <w:t xml:space="preserve">Architecture: a category you can own</w:t>
      </w:r>
    </w:p>
    <w:p>
      <w:pPr>
        <w:spacing w:after="120" w:line="276"/>
      </w:pPr>
      <w:r>
        <w:rPr>
          <w:rFonts w:ascii="Calibri" w:cs="Calibri" w:eastAsia="Calibri" w:hAnsi="Calibri"/>
          <w:color w:val="222A35"/>
          <w:sz w:val="21"/>
          <w:szCs w:val="21"/>
        </w:rPr>
        <w:t xml:space="preserve">Avoid the crowded “financial intelligence platform” descriptor. Coin and consistently repeat a sharper category: </w:t>
      </w:r>
      <w:r>
        <w:rPr>
          <w:rFonts w:ascii="Calibri" w:cs="Calibri" w:eastAsia="Calibri" w:hAnsi="Calibri"/>
          <w:b/>
          <w:bCs/>
          <w:color w:val="222A35"/>
          <w:sz w:val="21"/>
          <w:szCs w:val="21"/>
        </w:rPr>
        <w:t xml:space="preserve">“prospect intelligence”</w:t>
      </w:r>
      <w:r>
        <w:rPr>
          <w:rFonts w:ascii="Calibri" w:cs="Calibri" w:eastAsia="Calibri" w:hAnsi="Calibri"/>
          <w:color w:val="222A35"/>
          <w:sz w:val="21"/>
          <w:szCs w:val="21"/>
        </w:rPr>
        <w:t xml:space="preserve"> or </w:t>
      </w:r>
      <w:r>
        <w:rPr>
          <w:rFonts w:ascii="Calibri" w:cs="Calibri" w:eastAsia="Calibri" w:hAnsi="Calibri"/>
          <w:b/>
          <w:bCs/>
          <w:color w:val="222A35"/>
          <w:sz w:val="21"/>
          <w:szCs w:val="21"/>
        </w:rPr>
        <w:t xml:space="preserve">“client-winning intelligence”</w:t>
      </w:r>
      <w:r>
        <w:rPr>
          <w:rFonts w:ascii="Calibri" w:cs="Calibri" w:eastAsia="Calibri" w:hAnsi="Calibri"/>
          <w:color w:val="222A35"/>
          <w:sz w:val="21"/>
          <w:szCs w:val="21"/>
        </w:rPr>
        <w:t xml:space="preserve">. Owning a category name is worth more than any feature claim — it makes every competitor sound like a workaround.</w:t>
      </w:r>
    </w:p>
    <w:p>
      <w:r>
        <w:br w:type="page"/>
      </w:r>
    </w:p>
    <w:p>
      <w:pPr>
        <w:pStyle w:val="Heading2"/>
        <w:spacing w:after="80" w:before="240"/>
      </w:pPr>
      <w:r>
        <w:rPr>
          <w:rFonts w:ascii="Calibri" w:cs="Calibri" w:eastAsia="Calibri" w:hAnsi="Calibri"/>
          <w:b/>
          <w:bCs/>
          <w:color w:val="B8892B"/>
          <w:sz w:val="24"/>
          <w:szCs w:val="24"/>
        </w:rPr>
        <w:t xml:space="preserve">The product model: universal core + exclusive niche packs</w:t>
      </w:r>
    </w:p>
    <w:p>
      <w:pPr>
        <w:spacing w:after="120" w:line="276"/>
      </w:pPr>
      <w:r>
        <w:rPr>
          <w:rFonts w:ascii="Calibri" w:cs="Calibri" w:eastAsia="Calibri" w:hAnsi="Calibri"/>
          <w:color w:val="222A35"/>
          <w:sz w:val="21"/>
          <w:szCs w:val="21"/>
        </w:rPr>
        <w:t xml:space="preserve">Two tiers, cleanly separated. The universal report is the fast default everyone gets; niche depth is a distinct, higher-value asset sold to firms — never bundled on demand, because building a new niche takes ~24 hours and would break the two-hour turnaround that makes the report impressive.</w:t>
      </w:r>
    </w:p>
    <w:tbl>
      <w:tblPr>
        <w:tblW w:type="dxa" w:w="9360"/>
        <w:tblBorders>
          <w:top w:val="single" w:color="D9DEE6" w:sz="4"/>
          <w:left w:val="single" w:color="D9DEE6" w:sz="4"/>
          <w:bottom w:val="single" w:color="D9DEE6" w:sz="4"/>
          <w:right w:val="single" w:color="D9DEE6" w:sz="4"/>
          <w:insideH w:val="single" w:color="D9DEE6" w:sz="4"/>
          <w:insideV w:val="single" w:color="D9DEE6" w:sz="4"/>
        </w:tblBorders>
      </w:tblPr>
      <w:tblGrid>
        <w:gridCol w:w="1500"/>
        <w:gridCol w:w="3930"/>
        <w:gridCol w:w="3930"/>
      </w:tblGrid>
      <w:tr>
        <w:trPr>
          <w:tblHeader/>
        </w:trPr>
        <w:tc>
          <w:tcPr>
            <w:tcW w:type="dxa" w:w="150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
            </w:r>
          </w:p>
        </w:tc>
        <w:tc>
          <w:tcPr>
            <w:tcW w:type="dxa" w:w="393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Universal report</w:t>
            </w:r>
          </w:p>
        </w:tc>
        <w:tc>
          <w:tcPr>
            <w:tcW w:type="dxa" w:w="3930"/>
            <w:shd w:fill="0F1B2D" w:color="auto" w:val="clear"/>
            <w:tcMar>
              <w:top w:type="dxa" w:w="90"/>
              <w:left w:type="dxa" w:w="130"/>
              <w:bottom w:type="dxa" w:w="90"/>
              <w:right w:type="dxa" w:w="130"/>
            </w:tcMar>
          </w:tcPr>
          <w:p>
            <w:r>
              <w:rPr>
                <w:rFonts w:ascii="Calibri" w:cs="Calibri" w:eastAsia="Calibri" w:hAnsi="Calibri"/>
                <w:b/>
                <w:bCs/>
                <w:color w:val="FFFFFF"/>
                <w:sz w:val="18"/>
                <w:szCs w:val="18"/>
              </w:rPr>
              <w:t xml:space="preserve">Exclusive niche pack</w:t>
            </w:r>
          </w:p>
        </w:tc>
      </w:tr>
      <w:tr>
        <w:tc>
          <w:tcPr>
            <w:tcW w:type="dxa" w:w="15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What it is</w:t>
            </w:r>
          </w:p>
        </w:tc>
        <w:tc>
          <w:tcPr>
            <w:tcW w:type="dxa" w:w="393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Verified intelligence for any HNW business owner, with per-client framework selection.</w:t>
            </w:r>
          </w:p>
        </w:tc>
        <w:tc>
          <w:tcPr>
            <w:tcW w:type="dxa" w:w="393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Deep vertical intelligence for a specific segment — sold as an exclusive right to that definition. About depth, not client allocation.</w:t>
            </w:r>
          </w:p>
        </w:tc>
      </w:tr>
      <w:tr>
        <w:tc>
          <w:tcPr>
            <w:tcW w:type="dxa" w:w="15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Buyer</w:t>
            </w:r>
          </w:p>
        </w:tc>
        <w:tc>
          <w:tcPr>
            <w:tcW w:type="dxa" w:w="393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The individual adviser — as a conversion tool.</w:t>
            </w:r>
          </w:p>
        </w:tc>
        <w:tc>
          <w:tcPr>
            <w:tcW w:type="dxa" w:w="393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The firm / specialist adviser — as a conversion edge and a durable, inheritable asset.</w:t>
            </w:r>
          </w:p>
        </w:tc>
      </w:tr>
      <w:tr>
        <w:tc>
          <w:tcPr>
            <w:tcW w:type="dxa" w:w="150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Delivery</w:t>
            </w:r>
          </w:p>
        </w:tc>
        <w:tc>
          <w:tcPr>
            <w:tcW w:type="dxa" w:w="393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Within two hours of the meeting. Ready now, bundled in the report price.</w:t>
            </w:r>
          </w:p>
        </w:tc>
        <w:tc>
          <w:tcPr>
            <w:tcW w:type="dxa" w:w="3930"/>
            <w:shd w:fill="FFFFFF" w:color="auto" w:val="clear"/>
            <w:tcMar>
              <w:top w:type="dxa" w:w="80"/>
              <w:left w:type="dxa" w:w="130"/>
              <w:bottom w:type="dxa" w:w="80"/>
              <w:right w:type="dxa" w:w="130"/>
            </w:tcMar>
          </w:tcPr>
          <w:p>
            <w:r>
              <w:rPr>
                <w:rFonts w:ascii="Calibri" w:cs="Calibri" w:eastAsia="Calibri" w:hAnsi="Calibri"/>
                <w:color w:val="222A35"/>
                <w:sz w:val="18"/>
                <w:szCs w:val="18"/>
              </w:rPr>
              <w:t xml:space="preserve">Built once (~24h), then reusable; that niche then delivers at the same two-hour speed.</w:t>
            </w:r>
          </w:p>
        </w:tc>
      </w:tr>
      <w:tr>
        <w:tc>
          <w:tcPr>
            <w:tcW w:type="dxa" w:w="150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Price posture</w:t>
            </w:r>
          </w:p>
        </w:tc>
        <w:tc>
          <w:tcPr>
            <w:tcW w:type="dxa" w:w="393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£1,200 packaged (anchor high; drop “from £800”).</w:t>
            </w:r>
          </w:p>
        </w:tc>
        <w:tc>
          <w:tcPr>
            <w:tcW w:type="dxa" w:w="3930"/>
            <w:shd w:fill="EEF1F5" w:color="auto" w:val="clear"/>
            <w:tcMar>
              <w:top w:type="dxa" w:w="80"/>
              <w:left w:type="dxa" w:w="130"/>
              <w:bottom w:type="dxa" w:w="80"/>
              <w:right w:type="dxa" w:w="130"/>
            </w:tcMar>
          </w:tcPr>
          <w:p>
            <w:r>
              <w:rPr>
                <w:rFonts w:ascii="Calibri" w:cs="Calibri" w:eastAsia="Calibri" w:hAnsi="Calibri"/>
                <w:color w:val="222A35"/>
                <w:sz w:val="18"/>
                <w:szCs w:val="18"/>
              </w:rPr>
              <w:t xml:space="preserve">~£10k to claim the niche. Keep separate — never anchor it against the £1,200.</w:t>
            </w:r>
          </w:p>
        </w:tc>
      </w:tr>
    </w:tbl>
    <w:p>
      <w:pPr>
        <w:spacing w:after="80"/>
      </w:pPr>
      <w:r>
        <w:t xml:space="preserve"/>
      </w:r>
    </w:p>
    <w:p>
      <w:pPr>
        <w:pStyle w:val="Heading2"/>
        <w:spacing w:after="80" w:before="240"/>
      </w:pPr>
      <w:r>
        <w:rPr>
          <w:rFonts w:ascii="Calibri" w:cs="Calibri" w:eastAsia="Calibri" w:hAnsi="Calibri"/>
          <w:b/>
          <w:bCs/>
          <w:color w:val="B8892B"/>
          <w:sz w:val="24"/>
          <w:szCs w:val="24"/>
        </w:rPr>
        <w:t xml:space="preserve">The SaaS moat: exclusive niche rights</w:t>
      </w:r>
    </w:p>
    <w:p>
      <w:pPr>
        <w:spacing w:after="120" w:line="276"/>
      </w:pPr>
      <w:r>
        <w:rPr>
          <w:rFonts w:ascii="Calibri" w:cs="Calibri" w:eastAsia="Calibri" w:hAnsi="Calibri"/>
          <w:color w:val="222A35"/>
          <w:sz w:val="21"/>
          <w:szCs w:val="21"/>
        </w:rPr>
        <w:t xml:space="preserve">This is the real platform differentiator — and it is about </w:t>
      </w:r>
      <w:r>
        <w:rPr>
          <w:rFonts w:ascii="Calibri" w:cs="Calibri" w:eastAsia="Calibri" w:hAnsi="Calibri"/>
          <w:b/>
          <w:bCs/>
          <w:color w:val="222A35"/>
          <w:sz w:val="21"/>
          <w:szCs w:val="21"/>
        </w:rPr>
        <w:t xml:space="preserve">intelligence depth, not client allocation</w:t>
      </w:r>
      <w:r>
        <w:rPr>
          <w:rFonts w:ascii="Calibri" w:cs="Calibri" w:eastAsia="Calibri" w:hAnsi="Calibri"/>
          <w:color w:val="222A35"/>
          <w:sz w:val="21"/>
          <w:szCs w:val="21"/>
        </w:rPr>
        <w:t xml:space="preserve">. A niche is a negotiated intersection of dimensions — geography, specialisation, client type — so “dentists in Nottingham” and “cosmetic dentists in Nottingham” are different products. The adviser buys an exclusive right to that </w:t>
      </w:r>
      <w:r>
        <w:rPr>
          <w:rFonts w:ascii="Calibri" w:cs="Calibri" w:eastAsia="Calibri" w:hAnsi="Calibri"/>
          <w:b/>
          <w:bCs/>
          <w:color w:val="222A35"/>
          <w:sz w:val="21"/>
          <w:szCs w:val="21"/>
        </w:rPr>
        <w:t xml:space="preserve">specific definition</w:t>
      </w:r>
      <w:r>
        <w:rPr>
          <w:rFonts w:ascii="Calibri" w:cs="Calibri" w:eastAsia="Calibri" w:hAnsi="Calibri"/>
          <w:color w:val="222A35"/>
          <w:sz w:val="21"/>
          <w:szCs w:val="21"/>
        </w:rPr>
        <w:t xml:space="preserve">: superior, verified intelligence for converting that segment — not guaranteed clients, and not sole rights to an area. </w:t>
      </w:r>
      <w:r>
        <w:rPr>
          <w:rFonts w:ascii="Calibri" w:cs="Calibri" w:eastAsia="Calibri" w:hAnsi="Calibri"/>
          <w:b/>
          <w:bCs/>
          <w:color w:val="222A35"/>
          <w:sz w:val="21"/>
          <w:szCs w:val="21"/>
        </w:rPr>
        <w:t xml:space="preserve">Specificity is the edge</w:t>
      </w:r>
      <w:r>
        <w:rPr>
          <w:rFonts w:ascii="Calibri" w:cs="Calibri" w:eastAsia="Calibri" w:hAnsi="Calibri"/>
          <w:color w:val="222A35"/>
          <w:sz w:val="21"/>
          <w:szCs w:val="21"/>
        </w:rPr>
        <w:t xml:space="preserve">: the more specific pack always produces the deeper report for its sub-segment, so a specialist out-converts on the premium slice while a broader pack reaches a larger but shallower pool. With the backend licensed to you one-time, margin on each sale is almost entirely yours.</w:t>
      </w:r>
    </w:p>
    <w:p>
      <w:pPr>
        <w:spacing w:after="40"/>
      </w:pPr>
      <w:r>
        <w:t xml:space="preserve"/>
      </w:r>
    </w:p>
    <w:tbl>
      <w:tblPr>
        <w:tblW w:type="dxa" w:w="9360"/>
        <w:tblBorders>
          <w:top w:val="none"/>
          <w:left w:val="single" w:color="B8892B" w:sz="24"/>
          <w:bottom w:val="none"/>
          <w:right w:val="none"/>
          <w:insideH w:val="none"/>
          <w:insideV w:val="none"/>
        </w:tblBorders>
      </w:tblPr>
      <w:tblGrid>
        <w:gridCol w:w="9360"/>
      </w:tblGrid>
      <w:tr>
        <w:tc>
          <w:tcPr>
            <w:tcW w:type="dxa" w:w="9360"/>
            <w:shd w:fill="F4F1EA" w:color="auto" w:val="clear"/>
            <w:tcMar>
              <w:top w:type="dxa" w:w="160"/>
              <w:left w:type="dxa" w:w="220"/>
              <w:bottom w:type="dxa" w:w="160"/>
              <w:right w:type="dxa" w:w="220"/>
            </w:tcMar>
          </w:tcPr>
          <w:p>
            <w:pPr>
              <w:spacing w:after="60"/>
            </w:pPr>
            <w:r>
              <w:rPr>
                <w:rFonts w:ascii="Calibri" w:cs="Calibri" w:eastAsia="Calibri" w:hAnsi="Calibri"/>
                <w:b/>
                <w:bCs/>
                <w:color w:val="0F1B2D"/>
                <w:sz w:val="20"/>
                <w:szCs w:val="20"/>
              </w:rPr>
              <w:t xml:space="preserve">Overlap is a feature, not a failure — but exclusivity must be honestly scoped</w:t>
            </w:r>
          </w:p>
          <w:p>
            <w:pPr>
              <w:spacing w:after="60"/>
            </w:pPr>
            <w:r>
              <w:rPr>
                <w:rFonts w:ascii="Calibri" w:cs="Calibri" w:eastAsia="Calibri" w:hAnsi="Calibri"/>
                <w:color w:val="222A35"/>
                <w:sz w:val="20"/>
                <w:szCs w:val="20"/>
              </w:rPr>
              <w:t xml:space="preserve">Because the more specific pack always wins on its sub-segment, a broad “dentists in Nottingham” and a narrow “cosmetic dentists in Nottingham” can coexist: the specialist out-converts on cosmetic work; the generalist gets the wider, lower-premium pool. That </w:t>
            </w:r>
            <w:r>
              <w:rPr>
                <w:rFonts w:ascii="Calibri" w:cs="Calibri" w:eastAsia="Calibri" w:hAnsi="Calibri"/>
                <w:b/>
                <w:bCs/>
                <w:color w:val="222A35"/>
                <w:sz w:val="20"/>
                <w:szCs w:val="20"/>
              </w:rPr>
              <w:t xml:space="preserve">specificity ladder is an upsell engine</w:t>
            </w:r>
            <w:r>
              <w:rPr>
                <w:rFonts w:ascii="Calibri" w:cs="Calibri" w:eastAsia="Calibri" w:hAnsi="Calibri"/>
                <w:color w:val="222A35"/>
                <w:sz w:val="20"/>
                <w:szCs w:val="20"/>
              </w:rPr>
              <w:t xml:space="preserve"> — if a rival owns the broad niche, an adviser buys a narrower one to beat them on the segment that matters. The one genuine guard is expectation, not system conflict: exclusivity buys an </w:t>
            </w:r>
            <w:r>
              <w:rPr>
                <w:rFonts w:ascii="Calibri" w:cs="Calibri" w:eastAsia="Calibri" w:hAnsi="Calibri"/>
                <w:b/>
                <w:bCs/>
                <w:color w:val="222A35"/>
                <w:sz w:val="20"/>
                <w:szCs w:val="20"/>
              </w:rPr>
              <w:t xml:space="preserve">information advantage</w:t>
            </w:r>
            <w:r>
              <w:rPr>
                <w:rFonts w:ascii="Calibri" w:cs="Calibri" w:eastAsia="Calibri" w:hAnsi="Calibri"/>
                <w:color w:val="222A35"/>
                <w:sz w:val="20"/>
                <w:szCs w:val="20"/>
              </w:rPr>
              <w:t xml:space="preserve">, never guaranteed clients or sole rights to an area. Say that in plain words, and don’t sell the identical definition twice — a buyer discovering either surprise is the “silent failure” your brand exists to avoid.</w:t>
            </w:r>
          </w:p>
        </w:tc>
      </w:tr>
    </w:tbl>
    <w:p>
      <w:pPr>
        <w:spacing w:after="60"/>
      </w:pPr>
      <w:r>
        <w:t xml:space="preserve"/>
      </w:r>
    </w:p>
    <w:p>
      <w:pPr>
        <w:pStyle w:val="Heading2"/>
        <w:spacing w:after="80" w:before="240"/>
      </w:pPr>
      <w:r>
        <w:rPr>
          <w:rFonts w:ascii="Calibri" w:cs="Calibri" w:eastAsia="Calibri" w:hAnsi="Calibri"/>
          <w:b/>
          <w:bCs/>
          <w:color w:val="B8892B"/>
          <w:sz w:val="24"/>
          <w:szCs w:val="24"/>
        </w:rPr>
        <w:t xml:space="preserve">What a niche pack includes</w:t>
      </w:r>
    </w:p>
    <w:p>
      <w:pPr>
        <w:pStyle w:val="ListParagraph"/>
        <w:numPr>
          <w:ilvl w:val="0"/>
          <w:numId w:val="2"/>
        </w:numPr>
        <w:spacing w:after="60" w:line="268"/>
      </w:pPr>
      <w:r>
        <w:rPr>
          <w:rFonts w:ascii="Calibri" w:cs="Calibri" w:eastAsia="Calibri" w:hAnsi="Calibri"/>
          <w:b/>
          <w:bCs/>
          <w:color w:val="222A35"/>
          <w:sz w:val="21"/>
          <w:szCs w:val="21"/>
        </w:rPr>
        <w:t xml:space="preserve">Deep vertical intelligence. </w:t>
      </w:r>
      <w:r>
        <w:rPr>
          <w:rFonts w:ascii="Calibri" w:cs="Calibri" w:eastAsia="Calibri" w:hAnsi="Calibri"/>
          <w:color w:val="222A35"/>
          <w:sz w:val="21"/>
          <w:szCs w:val="21"/>
        </w:rPr>
        <w:t xml:space="preserve">Segment-specific formulas and curated knowledge, so the report speaks the language of that client’s business.</w:t>
      </w:r>
    </w:p>
    <w:p>
      <w:pPr>
        <w:pStyle w:val="ListParagraph"/>
        <w:numPr>
          <w:ilvl w:val="0"/>
          <w:numId w:val="2"/>
        </w:numPr>
        <w:spacing w:after="60" w:line="268"/>
      </w:pPr>
      <w:r>
        <w:rPr>
          <w:rFonts w:ascii="Calibri" w:cs="Calibri" w:eastAsia="Calibri" w:hAnsi="Calibri"/>
          <w:b/>
          <w:bCs/>
          <w:color w:val="222A35"/>
          <w:sz w:val="21"/>
          <w:szCs w:val="21"/>
        </w:rPr>
        <w:t xml:space="preserve">A niche consultation with a marketing expert. </w:t>
      </w:r>
      <w:r>
        <w:rPr>
          <w:rFonts w:ascii="Calibri" w:cs="Calibri" w:eastAsia="Calibri" w:hAnsi="Calibri"/>
          <w:color w:val="222A35"/>
          <w:sz w:val="21"/>
          <w:szCs w:val="21"/>
        </w:rPr>
        <w:t xml:space="preserve">Helps the adviser define and exploit the segment — a high-touch element that raises the value and justifies the premium price.</w:t>
      </w:r>
    </w:p>
    <w:p>
      <w:pPr>
        <w:pStyle w:val="ListParagraph"/>
        <w:numPr>
          <w:ilvl w:val="0"/>
          <w:numId w:val="2"/>
        </w:numPr>
        <w:spacing w:after="60" w:line="268"/>
      </w:pPr>
      <w:r>
        <w:rPr>
          <w:rFonts w:ascii="Calibri" w:cs="Calibri" w:eastAsia="Calibri" w:hAnsi="Calibri"/>
          <w:b/>
          <w:bCs/>
          <w:color w:val="222A35"/>
          <w:sz w:val="21"/>
          <w:szCs w:val="21"/>
        </w:rPr>
        <w:t xml:space="preserve">Proprietary-data upload. </w:t>
      </w:r>
      <w:r>
        <w:rPr>
          <w:rFonts w:ascii="Calibri" w:cs="Calibri" w:eastAsia="Calibri" w:hAnsi="Calibri"/>
          <w:color w:val="222A35"/>
          <w:sz w:val="21"/>
          <w:szCs w:val="21"/>
        </w:rPr>
        <w:t xml:space="preserve">The adviser folds in their own knowledge and data, so the intelligence reflects how they actually work — and deepens lock-in with every upload.</w:t>
      </w:r>
    </w:p>
    <w:p>
      <w:pPr>
        <w:spacing w:after="40"/>
      </w:pPr>
      <w:r>
        <w:t xml:space="preserve"/>
      </w:r>
    </w:p>
    <w:p>
      <w:pPr>
        <w:pStyle w:val="Heading2"/>
        <w:spacing w:after="80" w:before="240"/>
      </w:pPr>
      <w:r>
        <w:rPr>
          <w:rFonts w:ascii="Calibri" w:cs="Calibri" w:eastAsia="Calibri" w:hAnsi="Calibri"/>
          <w:b/>
          <w:bCs/>
          <w:color w:val="B8892B"/>
          <w:sz w:val="24"/>
          <w:szCs w:val="24"/>
        </w:rPr>
        <w:t xml:space="preserve">The legacy asset (a succession hook)</w:t>
      </w:r>
    </w:p>
    <w:p>
      <w:pPr>
        <w:spacing w:after="120" w:line="276"/>
      </w:pPr>
      <w:r>
        <w:rPr>
          <w:rFonts w:ascii="Calibri" w:cs="Calibri" w:eastAsia="Calibri" w:hAnsi="Calibri"/>
          <w:color w:val="222A35"/>
          <w:sz w:val="21"/>
          <w:szCs w:val="21"/>
        </w:rPr>
        <w:t xml:space="preserve">Because an adviser’s own expertise and data become encoded in the pack, it turns into a </w:t>
      </w:r>
      <w:r>
        <w:rPr>
          <w:rFonts w:ascii="Calibri" w:cs="Calibri" w:eastAsia="Calibri" w:hAnsi="Calibri"/>
          <w:b/>
          <w:bCs/>
          <w:color w:val="222A35"/>
          <w:sz w:val="21"/>
          <w:szCs w:val="21"/>
        </w:rPr>
        <w:t xml:space="preserve">durable asset that outlives the individual</w:t>
      </w:r>
      <w:r>
        <w:rPr>
          <w:rFonts w:ascii="Calibri" w:cs="Calibri" w:eastAsia="Calibri" w:hAnsi="Calibri"/>
          <w:color w:val="222A35"/>
          <w:sz w:val="21"/>
          <w:szCs w:val="21"/>
        </w:rPr>
        <w:t xml:space="preserve"> — their judgement captured, preserved, and inheritable by the next generation of the firm. In an owner-led advisory market where succession is a live anxiety, “your expertise, captured and passed on” is a genuinely differentiated — and emotional — reason to buy. It is also a strong argument for a held, recurring model: the value lives in your platform over time, so the pricing should too.</w:t>
      </w:r>
    </w:p>
    <w:p>
      <w:pPr>
        <w:spacing w:after="60"/>
      </w:pPr>
      <w:r>
        <w:t xml:space="preserve"/>
      </w:r>
    </w:p>
    <w:p>
      <w:pPr>
        <w:spacing w:after="40" w:before="160"/>
      </w:pPr>
      <w:r>
        <w:rPr>
          <w:rFonts w:ascii="Calibri" w:cs="Calibri" w:eastAsia="Calibri" w:hAnsi="Calibri"/>
          <w:b/>
          <w:bCs/>
          <w:color w:val="0F1B2D"/>
          <w:spacing w:val="20"/>
          <w:sz w:val="19"/>
          <w:szCs w:val="19"/>
        </w:rPr>
        <w:t xml:space="preserve">TWO DECISIONS TO SETTLE BEFORE THIS REACHES A PRICING PAGE</w:t>
      </w:r>
    </w:p>
    <w:p>
      <w:pPr>
        <w:pStyle w:val="ListParagraph"/>
        <w:numPr>
          <w:ilvl w:val="0"/>
          <w:numId w:val="4"/>
        </w:numPr>
        <w:spacing w:after="60" w:line="268"/>
      </w:pPr>
      <w:r>
        <w:rPr>
          <w:rFonts w:ascii="Calibri" w:cs="Calibri" w:eastAsia="Calibri" w:hAnsi="Calibri"/>
          <w:b/>
          <w:bCs/>
          <w:color w:val="222A35"/>
          <w:sz w:val="21"/>
          <w:szCs w:val="21"/>
        </w:rPr>
        <w:t xml:space="preserve">Scope of “exclusive”. </w:t>
      </w:r>
      <w:r>
        <w:rPr>
          <w:rFonts w:ascii="Calibri" w:cs="Calibri" w:eastAsia="Calibri" w:hAnsi="Calibri"/>
          <w:color w:val="222A35"/>
          <w:sz w:val="21"/>
          <w:szCs w:val="21"/>
        </w:rPr>
        <w:t xml:space="preserve">Confirm exclusivity attaches to a specific niche definition (nested broader/narrower niches may coexist), and put that in plain words for buyers so no one reads it as sole rights to an area. The only rule to encode is a duplicate-check: never sell the same definition twice.</w:t>
      </w:r>
    </w:p>
    <w:p>
      <w:pPr>
        <w:pStyle w:val="ListParagraph"/>
        <w:numPr>
          <w:ilvl w:val="0"/>
          <w:numId w:val="4"/>
        </w:numPr>
        <w:spacing w:after="60" w:line="268"/>
      </w:pPr>
      <w:r>
        <w:rPr>
          <w:rFonts w:ascii="Calibri" w:cs="Calibri" w:eastAsia="Calibri" w:hAnsi="Calibri"/>
          <w:b/>
          <w:bCs/>
          <w:color w:val="222A35"/>
          <w:sz w:val="21"/>
          <w:szCs w:val="21"/>
        </w:rPr>
        <w:t xml:space="preserve">One-time vs held right. </w:t>
      </w:r>
      <w:r>
        <w:rPr>
          <w:rFonts w:ascii="Calibri" w:cs="Calibri" w:eastAsia="Calibri" w:hAnsi="Calibri"/>
          <w:color w:val="222A35"/>
          <w:sz w:val="21"/>
          <w:szCs w:val="21"/>
        </w:rPr>
        <w:t xml:space="preserve">With proprietary data and legacy value living in your platform ongoing, a held model (£10k to claim + an annual access/update fee) is more natural and more defensible than a one-time fee — it funds keeping the niche current and matches where the value actually sits.</w:t>
      </w:r>
    </w:p>
    <w:p>
      <w:pPr>
        <w:spacing w:after="80"/>
      </w:pPr>
      <w:r>
        <w:t xml:space="preserve"/>
      </w:r>
    </w:p>
    <w:p>
      <w:pPr>
        <w:pStyle w:val="Heading2"/>
        <w:spacing w:after="80" w:before="240"/>
      </w:pPr>
      <w:r>
        <w:rPr>
          <w:rFonts w:ascii="Calibri" w:cs="Calibri" w:eastAsia="Calibri" w:hAnsi="Calibri"/>
          <w:b/>
          <w:bCs/>
          <w:color w:val="B8892B"/>
          <w:sz w:val="24"/>
          <w:szCs w:val="24"/>
        </w:rPr>
        <w:t xml:space="preserve">Roadmap the brand should already imply</w:t>
      </w:r>
    </w:p>
    <w:p>
      <w:pPr>
        <w:pStyle w:val="ListParagraph"/>
        <w:numPr>
          <w:ilvl w:val="0"/>
          <w:numId w:val="2"/>
        </w:numPr>
        <w:spacing w:after="60" w:line="268"/>
      </w:pPr>
      <w:r>
        <w:rPr>
          <w:rFonts w:ascii="Calibri" w:cs="Calibri" w:eastAsia="Calibri" w:hAnsi="Calibri"/>
          <w:color w:val="222A35"/>
          <w:sz w:val="21"/>
          <w:szCs w:val="21"/>
        </w:rPr>
        <w:t xml:space="preserve">Today: adviser-delivered intelligence packs (pre- and post-meeting), governed and verified, on a universal core.</w:t>
      </w:r>
    </w:p>
    <w:p>
      <w:pPr>
        <w:pStyle w:val="ListParagraph"/>
        <w:numPr>
          <w:ilvl w:val="0"/>
          <w:numId w:val="2"/>
        </w:numPr>
        <w:spacing w:after="60" w:line="268"/>
      </w:pPr>
      <w:r>
        <w:rPr>
          <w:rFonts w:ascii="Calibri" w:cs="Calibri" w:eastAsia="Calibri" w:hAnsi="Calibri"/>
          <w:color w:val="222A35"/>
          <w:sz w:val="21"/>
          <w:szCs w:val="21"/>
        </w:rPr>
        <w:t xml:space="preserve">Next: pre-built exclusive niche packs where your network clusters — soft-commit one firm before building each pack.</w:t>
      </w:r>
    </w:p>
    <w:p>
      <w:pPr>
        <w:pStyle w:val="ListParagraph"/>
        <w:numPr>
          <w:ilvl w:val="0"/>
          <w:numId w:val="2"/>
        </w:numPr>
        <w:spacing w:after="60" w:line="268"/>
      </w:pPr>
      <w:r>
        <w:rPr>
          <w:rFonts w:ascii="Calibri" w:cs="Calibri" w:eastAsia="Calibri" w:hAnsi="Calibri"/>
          <w:color w:val="222A35"/>
          <w:sz w:val="21"/>
          <w:szCs w:val="21"/>
        </w:rPr>
        <w:t xml:space="preserve">Then: self-serve generation, firm-wide seats, and a shared intelligence workspace — approval workflow retained as the compliance layer.</w:t>
      </w:r>
    </w:p>
    <w:p>
      <w:pPr>
        <w:pStyle w:val="ListParagraph"/>
        <w:numPr>
          <w:ilvl w:val="0"/>
          <w:numId w:val="2"/>
        </w:numPr>
        <w:spacing w:after="60" w:line="268"/>
      </w:pPr>
      <w:r>
        <w:rPr>
          <w:rFonts w:ascii="Calibri" w:cs="Calibri" w:eastAsia="Calibri" w:hAnsi="Calibri"/>
          <w:color w:val="222A35"/>
          <w:sz w:val="21"/>
          <w:szCs w:val="21"/>
        </w:rPr>
        <w:t xml:space="preserve">Later: integrations (CRM / lead-gen) so intelligence is triggered automatically, and an exclusivity register that scales niche sales without manual de-confliction.</w:t>
      </w:r>
    </w:p>
    <w:p>
      <w:pPr>
        <w:spacing w:after="80"/>
      </w:pPr>
      <w:r>
        <w:t xml:space="preserve"/>
      </w:r>
    </w:p>
    <w:tbl>
      <w:tblPr>
        <w:tblW w:type="dxa" w:w="9360"/>
        <w:tblBorders>
          <w:top w:val="none"/>
          <w:left w:val="single" w:color="0F1B2D" w:sz="24"/>
          <w:bottom w:val="none"/>
          <w:right w:val="none"/>
          <w:insideH w:val="none"/>
          <w:insideV w:val="none"/>
        </w:tblBorders>
      </w:tblPr>
      <w:tblGrid>
        <w:gridCol w:w="9360"/>
      </w:tblGrid>
      <w:tr>
        <w:tc>
          <w:tcPr>
            <w:tcW w:type="dxa" w:w="9360"/>
            <w:shd w:fill="EEF1F5" w:color="auto" w:val="clear"/>
            <w:tcMar>
              <w:top w:type="dxa" w:w="160"/>
              <w:left w:type="dxa" w:w="220"/>
              <w:bottom w:type="dxa" w:w="160"/>
              <w:right w:type="dxa" w:w="220"/>
            </w:tcMar>
          </w:tcPr>
          <w:p>
            <w:pPr>
              <w:spacing w:after="60"/>
            </w:pPr>
            <w:r>
              <w:rPr>
                <w:rFonts w:ascii="Calibri" w:cs="Calibri" w:eastAsia="Calibri" w:hAnsi="Calibri"/>
                <w:b/>
                <w:bCs/>
                <w:color w:val="0F1B2D"/>
                <w:sz w:val="20"/>
                <w:szCs w:val="20"/>
              </w:rPr>
              <w:t xml:space="preserve">One line to hold it all together</w:t>
            </w:r>
          </w:p>
          <w:p>
            <w:r>
              <w:rPr>
                <w:rFonts w:ascii="Calibri" w:cs="Calibri" w:eastAsia="Calibri" w:hAnsi="Calibri"/>
                <w:i/>
                <w:iCs/>
                <w:color w:val="222A35"/>
                <w:sz w:val="21"/>
                <w:szCs w:val="21"/>
              </w:rPr>
              <w:t xml:space="preserve">“Not a report. The intelligence platform advisers build client acquisition around.”  Say a version of this everywhere — investor deck, homepage hero, LinkedIn bio — and the “report provider” perception never has room to form.</w:t>
            </w:r>
          </w:p>
        </w:tc>
      </w:tr>
    </w:tbl>
    <w:p>
      <w:pPr>
        <w:spacing w:after="160"/>
      </w:pPr>
      <w:r>
        <w:t xml:space="preserve"/>
      </w:r>
    </w:p>
    <w:p>
      <w:pPr>
        <w:pBdr>
          <w:top w:val="single" w:color="D9DEE6" w:sz="6" w:space="8"/>
        </w:pBdr>
        <w:spacing w:before="200"/>
      </w:pPr>
      <w:r>
        <w:rPr>
          <w:rFonts w:ascii="Calibri" w:cs="Calibri" w:eastAsia="Calibri" w:hAnsi="Calibri"/>
          <w:i/>
          <w:iCs/>
          <w:color w:val="45546A"/>
          <w:sz w:val="16"/>
          <w:szCs w:val="16"/>
        </w:rPr>
        <w:t xml:space="preserve">Prepared as a strategic brand reference for Wrigital Ltd. Product name, domains and trademark availability must be independently verified before any final decision.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B8892B"/>
      </w:rPr>
    </w:lvl>
  </w:abstractNum>
  <w:abstractNum w:abstractNumId="3" w15:restartNumberingAfterBreak="0">
    <w:multiLevelType w:val="hybridMultilevel"/>
    <w:lvl w:ilvl="0" w15:tentative="1">
      <w:start w:val="1"/>
      <w:numFmt w:val="decimal"/>
      <w:lvlText w:val="%1."/>
      <w:lvlJc w:val="left"/>
      <w:pPr>
        <w:ind w:left="360" w:hanging="260"/>
      </w:pPr>
      <w:rPr>
        <w:b/>
        <w:bCs/>
        <w:color w:val="B8892B"/>
      </w:rPr>
    </w:lvl>
  </w:abstractNum>
  <w:abstractNum w:abstractNumId="4" w15:restartNumberingAfterBreak="0">
    <w:multiLevelType w:val="hybridMultilevel"/>
    <w:lvl w:ilvl="0" w15:tentative="1">
      <w:start w:val="1"/>
      <w:numFmt w:val="decimal"/>
      <w:lvlText w:val="%1."/>
      <w:lvlJc w:val="left"/>
      <w:pPr>
        <w:ind w:left="360" w:hanging="260"/>
      </w:pPr>
      <w:rPr>
        <w:b/>
        <w:bCs/>
        <w:color w:val="B889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FinPrint (Wrigital Ltd) — Brand Blueprint &amp; Positioning</dc:title>
  <dc:creator>Brand Strategy</dc:creator>
  <cp:lastModifiedBy>Un-named</cp:lastModifiedBy>
  <cp:revision>1</cp:revision>
  <dcterms:created xsi:type="dcterms:W3CDTF">2026-07-03T16:37:34.906Z</dcterms:created>
  <dcterms:modified xsi:type="dcterms:W3CDTF">2026-07-03T16:37:34.906Z</dcterms:modified>
</cp:coreProperties>
</file>

<file path=docProps/custom.xml><?xml version="1.0" encoding="utf-8"?>
<Properties xmlns="http://schemas.openxmlformats.org/officeDocument/2006/custom-properties" xmlns:vt="http://schemas.openxmlformats.org/officeDocument/2006/docPropsVTypes"/>
</file>