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village stirred slowly under a soft, misty light. Cobblestone streets were damp from the night’s rain, carrying the scent of spruce, wet earth, and freshly baked bread drifting from a nearby bakery. Local artisans began to unpack their wares—carved wooden figures, handwoven textiles, painted ceramics. The clatter of crates and murmured greetings filled the air.</w:t>
      </w:r>
    </w:p>
    <w:p w:rsidR="00000000" w:rsidDel="00000000" w:rsidP="00000000" w:rsidRDefault="00000000" w:rsidRPr="00000000" w14:paraId="00000002">
      <w:pPr>
        <w:spacing w:after="240" w:before="240" w:lineRule="auto"/>
        <w:rPr/>
      </w:pPr>
      <w:r w:rsidDel="00000000" w:rsidR="00000000" w:rsidRPr="00000000">
        <w:rPr>
          <w:rtl w:val="0"/>
        </w:rPr>
        <w:t xml:space="preserve">Character 1 moved among them with her coffee mug in her hand. Greeting warmly, offering help wherever she could. Organizing these three days was one of her greatest achievements. She felt both proud of what’s happening and excited for the day ahead. </w:t>
        <w:br w:type="textWrapping"/>
        <w:br w:type="textWrapping"/>
        <w:t xml:space="preserve">Her presence in the gallery seemed calm but attentive. She concealed her excitement perfectly trying to make sure everything went smoothly. Event organizers hurried between tasks; placing signs, arranging tables and setting stage and the microphones for the mayor’s speech of the opening ceremony, checking electricity for the lights. </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