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F9EF" w14:textId="77777777" w:rsidR="006E3E38" w:rsidRDefault="00000000">
      <w:pPr>
        <w:pStyle w:val="Title"/>
        <w:jc w:val="center"/>
      </w:pPr>
      <w:r>
        <w:t>Technical Implementation Specification</w:t>
      </w:r>
    </w:p>
    <w:p w14:paraId="205526DC" w14:textId="77777777" w:rsidR="006E3E38" w:rsidRDefault="00000000">
      <w:pPr>
        <w:jc w:val="center"/>
      </w:pPr>
      <w:r>
        <w:t>PhishDefense AI Hub: A Modular Framework for Adversarial AI Phishing Research</w:t>
      </w:r>
    </w:p>
    <w:p w14:paraId="7DC08203" w14:textId="77777777" w:rsidR="006E3E38" w:rsidRDefault="00000000">
      <w:r>
        <w:br w:type="page"/>
      </w:r>
    </w:p>
    <w:p w14:paraId="5D48A0DA" w14:textId="77777777" w:rsidR="006E3E38" w:rsidRDefault="00000000">
      <w:pPr>
        <w:pStyle w:val="Heading1"/>
      </w:pPr>
      <w:r>
        <w:lastRenderedPageBreak/>
        <w:t>Table of Contents</w:t>
      </w:r>
    </w:p>
    <w:p w14:paraId="464FBD76" w14:textId="77777777" w:rsidR="006E3E38" w:rsidRDefault="00000000">
      <w:r>
        <w:t>1. System Architecture Overview</w:t>
      </w:r>
    </w:p>
    <w:p w14:paraId="7C2431C7" w14:textId="77777777" w:rsidR="006E3E38" w:rsidRDefault="00000000">
      <w:r>
        <w:t>2. Offensive Module: Generative Adversarial Engine</w:t>
      </w:r>
    </w:p>
    <w:p w14:paraId="13969E4D" w14:textId="77777777" w:rsidR="006E3E38" w:rsidRDefault="00000000">
      <w:r>
        <w:t>3. Defensive Module: Multi-Layered Inspection Pipeline</w:t>
      </w:r>
    </w:p>
    <w:p w14:paraId="14439EF5" w14:textId="77777777" w:rsidR="006E3E38" w:rsidRDefault="00000000">
      <w:r>
        <w:t>4. Network Simulation &amp; Gateway Integration</w:t>
      </w:r>
    </w:p>
    <w:p w14:paraId="0135CC37" w14:textId="77777777" w:rsidR="006E3E38" w:rsidRDefault="00000000">
      <w:r>
        <w:t>5. Data Ingestion &amp; Persona Modeling</w:t>
      </w:r>
    </w:p>
    <w:p w14:paraId="07E7F7BB" w14:textId="77777777" w:rsidR="006E3E38" w:rsidRDefault="00000000">
      <w:r>
        <w:t>6. User Interface &amp; API Specification</w:t>
      </w:r>
    </w:p>
    <w:p w14:paraId="691778AE" w14:textId="77777777" w:rsidR="006E3E38" w:rsidRDefault="00000000">
      <w:r>
        <w:t>7. Evaluation Framework &amp; Scoring Algorithms</w:t>
      </w:r>
    </w:p>
    <w:p w14:paraId="447D95F2" w14:textId="77777777" w:rsidR="006E3E38" w:rsidRDefault="00000000">
      <w:r>
        <w:br w:type="page"/>
      </w:r>
    </w:p>
    <w:p w14:paraId="20EE4845" w14:textId="77777777" w:rsidR="006E3E38" w:rsidRDefault="00000000">
      <w:pPr>
        <w:pStyle w:val="Heading1"/>
      </w:pPr>
      <w:r>
        <w:lastRenderedPageBreak/>
        <w:t>1. System Architecture Overview</w:t>
      </w:r>
    </w:p>
    <w:p w14:paraId="7057535C" w14:textId="77777777" w:rsidR="006E3E38" w:rsidRDefault="00000000">
      <w:r>
        <w:t>The PhishDefense AI Hub is engineered as a decoupled, modular system implementing the 'Modularized Adversarial Simulation' (MAS) pattern. The architecture is divided into three primary functional domains: The Offense Domain, The Defense Domain, and the Orchestration Layer.</w:t>
      </w:r>
    </w:p>
    <w:p w14:paraId="6125D786" w14:textId="77777777" w:rsidR="006E3E38" w:rsidRDefault="00000000">
      <w:pPr>
        <w:pStyle w:val="Heading2"/>
      </w:pPr>
      <w:r>
        <w:t>1.1 Execution Flow</w:t>
      </w:r>
    </w:p>
    <w:p w14:paraId="03CA0720" w14:textId="77777777" w:rsidR="006E3E38" w:rsidRDefault="00000000">
      <w:r>
        <w:t>The system lifecycle follows a 'Sync-Attack-Defend' sequence:</w:t>
      </w:r>
      <w:r>
        <w:br/>
        <w:t>1. Ingestion: Historical corporate communication (Enron dataset) is parsed to create behavioral baselines.</w:t>
      </w:r>
      <w:r>
        <w:br/>
        <w:t>2. Generation: The Red Team module synthesizes payloads based on extracted personas.</w:t>
      </w:r>
      <w:r>
        <w:br/>
        <w:t>3. Transmission: Payloads are physically transmitted via SMTP protocols to a simulated internet gateway (Mailtrap).</w:t>
      </w:r>
      <w:r>
        <w:br/>
        <w:t>4. Retrieval: The Blue Team module triggers a network handshake to fetch delivered messages via POP3.</w:t>
      </w:r>
      <w:r>
        <w:br/>
        <w:t>5. Detection: Each message is scrutinized through a three-stage pipeline (Heuristic -&gt; Behavioral -&gt; Semantic).</w:t>
      </w:r>
      <w:r>
        <w:br/>
        <w:t>6. Evaluation: Metrics are computed by comparing original adversarial intent against detection outcomes.</w:t>
      </w:r>
    </w:p>
    <w:p w14:paraId="78800920" w14:textId="77777777" w:rsidR="006E3E38" w:rsidRDefault="00000000">
      <w:pPr>
        <w:pStyle w:val="Heading1"/>
      </w:pPr>
      <w:r>
        <w:t>2. Offensive Module: Generative Adversarial Engine</w:t>
      </w:r>
    </w:p>
    <w:p w14:paraId="62EAFACC" w14:textId="77777777" w:rsidR="006E3E38" w:rsidRDefault="00000000">
      <w:r>
        <w:t>The Offensive Module (src/generation/) is designed to eliminate the 'uncanny valley' of phishing emails through context-aware LLM reasoning.</w:t>
      </w:r>
    </w:p>
    <w:p w14:paraId="6BA44CC8" w14:textId="77777777" w:rsidR="006E3E38" w:rsidRDefault="00000000">
      <w:pPr>
        <w:pStyle w:val="Heading2"/>
      </w:pPr>
      <w:r>
        <w:t>2.1 PhishingGenerator Class Specification</w:t>
      </w:r>
    </w:p>
    <w:p w14:paraId="19228B58" w14:textId="77777777" w:rsidR="006E3E38" w:rsidRDefault="00000000">
      <w:r>
        <w:t>The primary generator utilizes Llama-3-70B-Versatile via a hardware-accelerated Groq inference engine.</w:t>
      </w:r>
    </w:p>
    <w:tbl>
      <w:tblPr>
        <w:tblStyle w:val="TableGrid"/>
        <w:tblW w:w="0" w:type="auto"/>
        <w:tblLook w:val="04A0" w:firstRow="1" w:lastRow="0" w:firstColumn="1" w:lastColumn="0" w:noHBand="0" w:noVBand="1"/>
      </w:tblPr>
      <w:tblGrid>
        <w:gridCol w:w="4320"/>
        <w:gridCol w:w="4320"/>
      </w:tblGrid>
      <w:tr w:rsidR="006E3E38" w14:paraId="369E3A26" w14:textId="77777777">
        <w:tc>
          <w:tcPr>
            <w:tcW w:w="4320" w:type="dxa"/>
          </w:tcPr>
          <w:p w14:paraId="5D487E04" w14:textId="77777777" w:rsidR="006E3E38" w:rsidRDefault="00000000">
            <w:r>
              <w:t>Method</w:t>
            </w:r>
          </w:p>
        </w:tc>
        <w:tc>
          <w:tcPr>
            <w:tcW w:w="4320" w:type="dxa"/>
          </w:tcPr>
          <w:p w14:paraId="4117517F" w14:textId="77777777" w:rsidR="006E3E38" w:rsidRDefault="00000000">
            <w:r>
              <w:t>Technical Description</w:t>
            </w:r>
          </w:p>
        </w:tc>
      </w:tr>
      <w:tr w:rsidR="006E3E38" w14:paraId="5026FE30" w14:textId="77777777">
        <w:tc>
          <w:tcPr>
            <w:tcW w:w="4320" w:type="dxa"/>
          </w:tcPr>
          <w:p w14:paraId="6F298271" w14:textId="77777777" w:rsidR="006E3E38" w:rsidRDefault="00000000">
            <w:r>
              <w:t>generate(type, params)</w:t>
            </w:r>
          </w:p>
        </w:tc>
        <w:tc>
          <w:tcPr>
            <w:tcW w:w="4320" w:type="dxa"/>
          </w:tcPr>
          <w:p w14:paraId="267E238F" w14:textId="77777777" w:rsidR="006E3E38" w:rsidRDefault="00000000">
            <w:r>
              <w:t>Uses LangChain Expression Language (LCEL) to pipe prompts into the LLM. Implements specific tone modifiers (Low/High/PA) to influence the psychological vector of the output.</w:t>
            </w:r>
          </w:p>
        </w:tc>
      </w:tr>
    </w:tbl>
    <w:p w14:paraId="02F25E18" w14:textId="77777777" w:rsidR="006E3E38" w:rsidRDefault="00000000">
      <w:pPr>
        <w:pStyle w:val="Heading2"/>
      </w:pPr>
      <w:r>
        <w:t>2.2 URL Obfuscation Algorithms</w:t>
      </w:r>
    </w:p>
    <w:p w14:paraId="27106C5A" w14:textId="77777777" w:rsidR="006E3E38" w:rsidRDefault="00000000">
      <w:r>
        <w:t>The 'url_obfuscator.py' implements a stochastic selection model for link generation:</w:t>
      </w:r>
    </w:p>
    <w:p w14:paraId="3C1983ED" w14:textId="77777777" w:rsidR="006E3E38" w:rsidRDefault="00000000">
      <w:pPr>
        <w:pStyle w:val="ListBullet"/>
      </w:pPr>
      <w:r>
        <w:t>• Typosquatting Algorithm: Performs character doubling on brand strings (e.g., 'enron' -&gt; 'ennron').</w:t>
      </w:r>
    </w:p>
    <w:p w14:paraId="39E6F3AA" w14:textId="77777777" w:rsidR="006E3E38" w:rsidRDefault="00000000">
      <w:pPr>
        <w:pStyle w:val="ListBullet"/>
      </w:pPr>
      <w:r>
        <w:t>• Subdomain Masquerading: Injecting 'compliance-check' or 'sso-auth' as prefixes to legitimate domains.</w:t>
      </w:r>
    </w:p>
    <w:p w14:paraId="6C1E8F0E" w14:textId="77777777" w:rsidR="006E3E38" w:rsidRDefault="00000000">
      <w:pPr>
        <w:pStyle w:val="ListBullet"/>
      </w:pPr>
      <w:r>
        <w:lastRenderedPageBreak/>
        <w:t>• TLD Hijacking: Randomly selecting from .net, .biz, and .org to mimic corporate infrastructure updates.</w:t>
      </w:r>
    </w:p>
    <w:p w14:paraId="6B63052B" w14:textId="77777777" w:rsidR="006E3E38" w:rsidRDefault="00000000">
      <w:pPr>
        <w:pStyle w:val="Heading1"/>
      </w:pPr>
      <w:r>
        <w:t>3. Defensive Module: Multi-Layered Inspection Pipeline</w:t>
      </w:r>
    </w:p>
    <w:p w14:paraId="50CA30D7" w14:textId="77777777" w:rsidR="006E3E38" w:rsidRDefault="00000000">
      <w:r>
        <w:t>The Defense Domain (src/defense/) implements a 'Swiss Cheese' security model where multiple weak filters combine to create a strong detection barrier.</w:t>
      </w:r>
    </w:p>
    <w:p w14:paraId="77C0896F" w14:textId="77777777" w:rsidR="006E3E38" w:rsidRDefault="00000000">
      <w:pPr>
        <w:pStyle w:val="Heading2"/>
      </w:pPr>
      <w:r>
        <w:t>3.1 HeuristicAnalyzer (The Perimeter Layer)</w:t>
      </w:r>
    </w:p>
    <w:p w14:paraId="306565A8" w14:textId="77777777" w:rsidR="006E3E38" w:rsidRDefault="00000000">
      <w:r>
        <w:t>This component performs regex-based scanning for 30+ indicators of urgency (suspension, action required) and authority (compliance, policy). It extracts URLs and performs domain-diff analysis between the sender's claimed brand and the actual resolved link domain.</w:t>
      </w:r>
    </w:p>
    <w:p w14:paraId="3CF99B19" w14:textId="77777777" w:rsidR="006E3E38" w:rsidRDefault="00000000">
      <w:pPr>
        <w:pStyle w:val="Heading2"/>
      </w:pPr>
      <w:r>
        <w:t>3.2 BehavioralBaseline (The Context Layer)</w:t>
      </w:r>
    </w:p>
    <w:p w14:paraId="4EBFE958" w14:textId="77777777" w:rsidR="006E3E38" w:rsidRDefault="00000000">
      <w:r>
        <w:t>Utilizes a JSON-persisted set of unique (Sender, Recipient) tuples derived from the total Enron dataset. Any communication between entities without prior history triggers an 'Anomaly Flag', significantly increasing the risk score of the message.</w:t>
      </w:r>
    </w:p>
    <w:p w14:paraId="3367B7F3" w14:textId="77777777" w:rsidR="006E3E38" w:rsidRDefault="00000000">
      <w:pPr>
        <w:pStyle w:val="Heading2"/>
      </w:pPr>
      <w:r>
        <w:t>3.3 LLMClassifier (The Cognitive Layer)</w:t>
      </w:r>
    </w:p>
    <w:p w14:paraId="2D08BD18" w14:textId="77777777" w:rsidR="006E3E38" w:rsidRDefault="00000000">
      <w:r>
        <w:t>Performs Deep Semantic Analysis (DSA). The LLM is prompted to identify specific social engineering tactics like 'Pretexting', 'Quid Pro Quo', and 'Fear-based Manipulation'. It outputs a structured JSON analysis including a 'Risk Score' (0-100) and specific evidence found in the text.</w:t>
      </w:r>
    </w:p>
    <w:p w14:paraId="434B1710" w14:textId="77777777" w:rsidR="006E3E38" w:rsidRDefault="00000000">
      <w:pPr>
        <w:pStyle w:val="Heading1"/>
      </w:pPr>
      <w:r>
        <w:t>4. Network Simulation &amp; Gateway Integration</w:t>
      </w:r>
    </w:p>
    <w:p w14:paraId="32C09662" w14:textId="77777777" w:rsidR="006E3E38" w:rsidRDefault="00000000">
      <w:r>
        <w:t>Unlike standard datasets, this system uses physical network bridges. The MailtrapBridge utility implements the Python smtplib and poplib libraries.</w:t>
      </w:r>
    </w:p>
    <w:p w14:paraId="2155F1B7" w14:textId="77777777" w:rsidR="006E3E38" w:rsidRDefault="00000000">
      <w:pPr>
        <w:pStyle w:val="ListBullet"/>
      </w:pPr>
      <w:r>
        <w:t>• Protocol Fidelity: Emails are transmitted with full MIME headers, including proper From/To/Date fields.</w:t>
      </w:r>
    </w:p>
    <w:p w14:paraId="7926B139" w14:textId="77777777" w:rsidR="006E3E38" w:rsidRDefault="00000000">
      <w:pPr>
        <w:pStyle w:val="ListBullet"/>
      </w:pPr>
      <w:r>
        <w:t>• SSL/TLS Handling: Implements secure handshakes on Port 2525 (SMTP) and Port 1100 (POP3) for gateway communication.</w:t>
      </w:r>
    </w:p>
    <w:p w14:paraId="5C69DD4E" w14:textId="77777777" w:rsidR="006E3E38" w:rsidRDefault="00000000">
      <w:pPr>
        <w:pStyle w:val="Heading1"/>
      </w:pPr>
      <w:r>
        <w:t>5. Evaluation Framework &amp; Scoring Algorithms</w:t>
      </w:r>
    </w:p>
    <w:p w14:paraId="645BCE14" w14:textId="77777777" w:rsidR="006E3E38" w:rsidRDefault="00000000">
      <w:r>
        <w:t>The system uses an ensemble scoring algorithm to reduce False Positives:</w:t>
      </w:r>
    </w:p>
    <w:p w14:paraId="30FDBFD1" w14:textId="77777777" w:rsidR="006E3E38" w:rsidRDefault="00000000">
      <w:r>
        <w:t>Mathematical Model:</w:t>
      </w:r>
      <w:r>
        <w:br/>
        <w:t>S_total = (H_score * 0.3) + (B_score * 0.3) + (L_score * 0.4)</w:t>
      </w:r>
      <w:r>
        <w:br/>
      </w:r>
      <w:r>
        <w:br/>
        <w:t>Where:</w:t>
      </w:r>
      <w:r>
        <w:br/>
        <w:t>H = Heuristics (Keyword + Link Analysis)</w:t>
      </w:r>
      <w:r>
        <w:br/>
      </w:r>
      <w:r>
        <w:lastRenderedPageBreak/>
        <w:t>B = Behavioral (Communication History)</w:t>
      </w:r>
      <w:r>
        <w:br/>
        <w:t>L = LLM reasoning (Semantic Intent)</w:t>
      </w:r>
    </w:p>
    <w:p w14:paraId="11B473A5" w14:textId="77777777" w:rsidR="006E3E38" w:rsidRDefault="00000000">
      <w:r>
        <w:t>Status Classification:</w:t>
      </w:r>
      <w:r>
        <w:br/>
        <w:t>• ALERT: S_total &gt; 50</w:t>
      </w:r>
      <w:r>
        <w:br/>
        <w:t>• QUARANTINE: 30 &lt; S_total &lt; 50</w:t>
      </w:r>
      <w:r>
        <w:br/>
        <w:t>• PASS: S_total &lt; 30</w:t>
      </w:r>
    </w:p>
    <w:p w14:paraId="52C535B1" w14:textId="77777777" w:rsidR="006E3E38" w:rsidRDefault="00000000">
      <w:r>
        <w:br w:type="page"/>
      </w:r>
    </w:p>
    <w:sectPr w:rsidR="006E3E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877001">
    <w:abstractNumId w:val="8"/>
  </w:num>
  <w:num w:numId="2" w16cid:durableId="1665933149">
    <w:abstractNumId w:val="6"/>
  </w:num>
  <w:num w:numId="3" w16cid:durableId="130289290">
    <w:abstractNumId w:val="5"/>
  </w:num>
  <w:num w:numId="4" w16cid:durableId="1239947934">
    <w:abstractNumId w:val="4"/>
  </w:num>
  <w:num w:numId="5" w16cid:durableId="1768888185">
    <w:abstractNumId w:val="7"/>
  </w:num>
  <w:num w:numId="6" w16cid:durableId="718017529">
    <w:abstractNumId w:val="3"/>
  </w:num>
  <w:num w:numId="7" w16cid:durableId="1658729972">
    <w:abstractNumId w:val="2"/>
  </w:num>
  <w:num w:numId="8" w16cid:durableId="567500334">
    <w:abstractNumId w:val="1"/>
  </w:num>
  <w:num w:numId="9" w16cid:durableId="107219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E38"/>
    <w:rsid w:val="007A3922"/>
    <w:rsid w:val="00A86F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4CCBB1-57E2-4267-BFC0-ABB727D3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586</Words>
  <Characters>3827</Characters>
  <Application>Microsoft Office Word</Application>
  <DocSecurity>0</DocSecurity>
  <Lines>89</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Karisa Fadhili</cp:lastModifiedBy>
  <cp:revision>2</cp:revision>
  <dcterms:created xsi:type="dcterms:W3CDTF">2013-12-23T23:15:00Z</dcterms:created>
  <dcterms:modified xsi:type="dcterms:W3CDTF">2026-03-13T13:37:00Z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1301b4-e659-4b7f-abc8-cffb19b3f864_Enabled">
    <vt:lpwstr>true</vt:lpwstr>
  </property>
  <property fmtid="{D5CDD505-2E9C-101B-9397-08002B2CF9AE}" pid="3" name="MSIP_Label_e41301b4-e659-4b7f-abc8-cffb19b3f864_SetDate">
    <vt:lpwstr>2026-03-13T13:37:41Z</vt:lpwstr>
  </property>
  <property fmtid="{D5CDD505-2E9C-101B-9397-08002B2CF9AE}" pid="4" name="MSIP_Label_e41301b4-e659-4b7f-abc8-cffb19b3f864_Method">
    <vt:lpwstr>Standard</vt:lpwstr>
  </property>
  <property fmtid="{D5CDD505-2E9C-101B-9397-08002B2CF9AE}" pid="5" name="MSIP_Label_e41301b4-e659-4b7f-abc8-cffb19b3f864_Name">
    <vt:lpwstr>General</vt:lpwstr>
  </property>
  <property fmtid="{D5CDD505-2E9C-101B-9397-08002B2CF9AE}" pid="6" name="MSIP_Label_e41301b4-e659-4b7f-abc8-cffb19b3f864_SiteId">
    <vt:lpwstr>8501e5d2-c8a4-4b60-8cbe-91eaaa7d38d6</vt:lpwstr>
  </property>
  <property fmtid="{D5CDD505-2E9C-101B-9397-08002B2CF9AE}" pid="7" name="MSIP_Label_e41301b4-e659-4b7f-abc8-cffb19b3f864_ActionId">
    <vt:lpwstr>903b28b7-850a-4412-99b2-739cec6096db</vt:lpwstr>
  </property>
  <property fmtid="{D5CDD505-2E9C-101B-9397-08002B2CF9AE}" pid="8" name="MSIP_Label_e41301b4-e659-4b7f-abc8-cffb19b3f864_ContentBits">
    <vt:lpwstr>0</vt:lpwstr>
  </property>
  <property fmtid="{D5CDD505-2E9C-101B-9397-08002B2CF9AE}" pid="9" name="MSIP_Label_e41301b4-e659-4b7f-abc8-cffb19b3f864_Tag">
    <vt:lpwstr>10, 3, 0, 1</vt:lpwstr>
  </property>
</Properties>
</file>