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931A" w14:textId="77777777" w:rsidR="003F1769" w:rsidRDefault="00000000">
      <w:pPr>
        <w:pStyle w:val="Title"/>
        <w:jc w:val="center"/>
      </w:pPr>
      <w:r>
        <w:t>Technical Implementation Specification</w:t>
      </w:r>
    </w:p>
    <w:p w14:paraId="4F972768" w14:textId="77777777" w:rsidR="003F1769" w:rsidRDefault="00000000">
      <w:pPr>
        <w:jc w:val="center"/>
      </w:pPr>
      <w:r>
        <w:t>PhishDefense AI Hub: A Modular Framework for Adversarial AI Phishing Research</w:t>
      </w:r>
    </w:p>
    <w:p w14:paraId="74CFAE40" w14:textId="77777777" w:rsidR="003F1769" w:rsidRDefault="00000000">
      <w:r>
        <w:br w:type="page"/>
      </w:r>
    </w:p>
    <w:p w14:paraId="5E5CB58C" w14:textId="77777777" w:rsidR="003F1769" w:rsidRDefault="00000000">
      <w:pPr>
        <w:pStyle w:val="Heading1"/>
      </w:pPr>
      <w:r>
        <w:lastRenderedPageBreak/>
        <w:t>Table of Contents</w:t>
      </w:r>
    </w:p>
    <w:p w14:paraId="25ADB612" w14:textId="77777777" w:rsidR="003F1769" w:rsidRDefault="00000000">
      <w:r>
        <w:t>1. System Architecture Overview</w:t>
      </w:r>
    </w:p>
    <w:p w14:paraId="142E8DD5" w14:textId="77777777" w:rsidR="003F1769" w:rsidRDefault="00000000">
      <w:r>
        <w:t>2. Offensive Module: Generative Adversarial Engine</w:t>
      </w:r>
    </w:p>
    <w:p w14:paraId="5903EE2F" w14:textId="77777777" w:rsidR="003F1769" w:rsidRDefault="00000000">
      <w:r>
        <w:t>3. Defensive Module: Multi-Layered Inspection Pipeline</w:t>
      </w:r>
    </w:p>
    <w:p w14:paraId="06D557B2" w14:textId="77777777" w:rsidR="003F1769" w:rsidRDefault="00000000">
      <w:r>
        <w:t>4. Network Simulation &amp; Gateway Integration</w:t>
      </w:r>
    </w:p>
    <w:p w14:paraId="4191FA3E" w14:textId="77777777" w:rsidR="003F1769" w:rsidRDefault="00000000">
      <w:r>
        <w:t>5. Data Ingestion &amp; Persona Modeling</w:t>
      </w:r>
    </w:p>
    <w:p w14:paraId="1839E74E" w14:textId="77777777" w:rsidR="003F1769" w:rsidRDefault="00000000">
      <w:r>
        <w:t>6. User Interface &amp; API Specification</w:t>
      </w:r>
    </w:p>
    <w:p w14:paraId="006B5975" w14:textId="77777777" w:rsidR="003F1769" w:rsidRDefault="00000000">
      <w:r>
        <w:t>7. Evaluation Framework &amp; Scoring Algorithms</w:t>
      </w:r>
    </w:p>
    <w:p w14:paraId="315380DF" w14:textId="77777777" w:rsidR="003F1769" w:rsidRDefault="00000000">
      <w:r>
        <w:t>8. Operational User Flow: End-to-End Walkthrough</w:t>
      </w:r>
    </w:p>
    <w:p w14:paraId="6B83BAA9" w14:textId="77777777" w:rsidR="003F1769" w:rsidRDefault="00000000">
      <w:r>
        <w:br w:type="page"/>
      </w:r>
    </w:p>
    <w:p w14:paraId="379CCDF5" w14:textId="77777777" w:rsidR="003F1769" w:rsidRDefault="00000000">
      <w:pPr>
        <w:pStyle w:val="Heading1"/>
      </w:pPr>
      <w:r>
        <w:lastRenderedPageBreak/>
        <w:t>1. System Architecture Overview</w:t>
      </w:r>
    </w:p>
    <w:p w14:paraId="15960919" w14:textId="77777777" w:rsidR="003F1769" w:rsidRDefault="00000000">
      <w:r>
        <w:t>The PhishDefense AI Hub is engineered as a decoupled, modular system implementing the 'Modularized Adversarial Simulation' (MAS) pattern. The architecture is divided into three primary functional domains: The Offense Domain, The Defense Domain, and the Orchestration Layer.</w:t>
      </w:r>
    </w:p>
    <w:p w14:paraId="37E7B66F" w14:textId="77777777" w:rsidR="003F1769" w:rsidRDefault="00000000">
      <w:pPr>
        <w:pStyle w:val="Heading2"/>
      </w:pPr>
      <w:r>
        <w:t>1.1 Execution Flow</w:t>
      </w:r>
    </w:p>
    <w:p w14:paraId="4F4E9C8F" w14:textId="77777777" w:rsidR="003F1769" w:rsidRDefault="00000000">
      <w:r>
        <w:t>The system lifecycle follows a 'Sync-Attack-Defend' sequence:</w:t>
      </w:r>
      <w:r>
        <w:br/>
        <w:t>1. Ingestion: Historical corporate communication (Enron dataset) is parsed to create behavioral baselines.</w:t>
      </w:r>
      <w:r>
        <w:br/>
        <w:t>2. Generation: The Red Team module synthesizes payloads based on extracted personas.</w:t>
      </w:r>
      <w:r>
        <w:br/>
        <w:t>3. Transmission: Payloads are routed directly into the local Sandbox isolated environment.</w:t>
      </w:r>
      <w:r>
        <w:br/>
        <w:t>4. Retrieval: The Blue Team module continuously monitors the local Sandbox directory and fetches delivered mock emails.</w:t>
      </w:r>
      <w:r>
        <w:br/>
        <w:t>5. Detection: Each message is scrutinized through a three-stage pipeline (Heuristic -&gt; Behavioral -&gt; Semantic).</w:t>
      </w:r>
      <w:r>
        <w:br/>
        <w:t>6. Evaluation: Metrics are computed by comparing original adversarial intent against detection outcomes.</w:t>
      </w:r>
    </w:p>
    <w:p w14:paraId="15D90ACB" w14:textId="77777777" w:rsidR="003F1769" w:rsidRDefault="00000000">
      <w:pPr>
        <w:pStyle w:val="Heading1"/>
      </w:pPr>
      <w:r>
        <w:t>2. Offensive Module: Generative Adversarial Engine</w:t>
      </w:r>
    </w:p>
    <w:p w14:paraId="427FD65A" w14:textId="77777777" w:rsidR="003F1769" w:rsidRDefault="00000000">
      <w:r>
        <w:t>The Offensive Module (src/generation/) is designed to eliminate the 'uncanny valley' of phishing emails through context-aware LLM reasoning.</w:t>
      </w:r>
    </w:p>
    <w:p w14:paraId="3D4F14E9" w14:textId="77777777" w:rsidR="003F1769" w:rsidRDefault="00000000">
      <w:pPr>
        <w:pStyle w:val="Heading2"/>
      </w:pPr>
      <w:r>
        <w:t>2.1 PhishingGenerator Class Specification</w:t>
      </w:r>
    </w:p>
    <w:p w14:paraId="1DE1FCCC" w14:textId="77777777" w:rsidR="003F1769" w:rsidRDefault="00000000">
      <w:r>
        <w:t>The primary generator utilizes Llama-3-70B-Versatile via a hardware-accelerated Groq inference engine.</w:t>
      </w:r>
    </w:p>
    <w:tbl>
      <w:tblPr>
        <w:tblStyle w:val="TableGrid"/>
        <w:tblW w:w="0" w:type="auto"/>
        <w:tblLook w:val="04A0" w:firstRow="1" w:lastRow="0" w:firstColumn="1" w:lastColumn="0" w:noHBand="0" w:noVBand="1"/>
      </w:tblPr>
      <w:tblGrid>
        <w:gridCol w:w="4320"/>
        <w:gridCol w:w="4320"/>
      </w:tblGrid>
      <w:tr w:rsidR="003F1769" w14:paraId="4DEB6664" w14:textId="77777777">
        <w:tc>
          <w:tcPr>
            <w:tcW w:w="4320" w:type="dxa"/>
          </w:tcPr>
          <w:p w14:paraId="01ABE2E6" w14:textId="77777777" w:rsidR="003F1769" w:rsidRDefault="00000000">
            <w:r>
              <w:t>Method</w:t>
            </w:r>
          </w:p>
        </w:tc>
        <w:tc>
          <w:tcPr>
            <w:tcW w:w="4320" w:type="dxa"/>
          </w:tcPr>
          <w:p w14:paraId="3A2C3B4A" w14:textId="77777777" w:rsidR="003F1769" w:rsidRDefault="00000000">
            <w:r>
              <w:t>Technical Description</w:t>
            </w:r>
          </w:p>
        </w:tc>
      </w:tr>
      <w:tr w:rsidR="003F1769" w14:paraId="340280B2" w14:textId="77777777">
        <w:tc>
          <w:tcPr>
            <w:tcW w:w="4320" w:type="dxa"/>
          </w:tcPr>
          <w:p w14:paraId="5AC3F95F" w14:textId="77777777" w:rsidR="003F1769" w:rsidRDefault="00000000">
            <w:r>
              <w:t>generate(type, params)</w:t>
            </w:r>
          </w:p>
        </w:tc>
        <w:tc>
          <w:tcPr>
            <w:tcW w:w="4320" w:type="dxa"/>
          </w:tcPr>
          <w:p w14:paraId="2B4292B2" w14:textId="77777777" w:rsidR="003F1769" w:rsidRDefault="00000000">
            <w:r>
              <w:t>Uses LangChain Expression Language (LCEL) to pipe prompts into the LLM. Implements specific tone modifiers (Low/High/PA) to influence the psychological vector of the output.</w:t>
            </w:r>
          </w:p>
        </w:tc>
      </w:tr>
    </w:tbl>
    <w:p w14:paraId="5F0FF1D2" w14:textId="77777777" w:rsidR="003F1769" w:rsidRDefault="00000000">
      <w:pPr>
        <w:pStyle w:val="Heading2"/>
      </w:pPr>
      <w:r>
        <w:t>2.2 URL Obfuscation Algorithms</w:t>
      </w:r>
    </w:p>
    <w:p w14:paraId="01BCF83C" w14:textId="77777777" w:rsidR="003F1769" w:rsidRDefault="00000000">
      <w:r>
        <w:t>The 'url_obfuscator.py' implements a stochastic selection model for link generation:</w:t>
      </w:r>
    </w:p>
    <w:p w14:paraId="498BBB56" w14:textId="77777777" w:rsidR="003F1769" w:rsidRDefault="00000000">
      <w:pPr>
        <w:pStyle w:val="ListBullet"/>
      </w:pPr>
      <w:r>
        <w:t>• Typosquatting Algorithm: Performs character doubling on brand strings (e.g., 'enron' -&gt; 'ennron').</w:t>
      </w:r>
    </w:p>
    <w:p w14:paraId="109EAC29" w14:textId="77777777" w:rsidR="003F1769" w:rsidRDefault="00000000">
      <w:pPr>
        <w:pStyle w:val="ListBullet"/>
      </w:pPr>
      <w:r>
        <w:t>• Subdomain Masquerading: Injecting 'compliance-check' or 'sso-auth' as prefixes to legitimate domains.</w:t>
      </w:r>
    </w:p>
    <w:p w14:paraId="323F6A2D" w14:textId="77777777" w:rsidR="003F1769" w:rsidRDefault="00000000">
      <w:pPr>
        <w:pStyle w:val="ListBullet"/>
      </w:pPr>
      <w:r>
        <w:lastRenderedPageBreak/>
        <w:t>• TLD Hijacking: Randomly selecting from .net, .biz, and .org to mimic corporate infrastructure updates.</w:t>
      </w:r>
    </w:p>
    <w:p w14:paraId="45D90C8D" w14:textId="77777777" w:rsidR="003F1769" w:rsidRDefault="00000000">
      <w:pPr>
        <w:pStyle w:val="Heading1"/>
      </w:pPr>
      <w:r>
        <w:t>3. Defensive Module: Multi-Layered Inspection Pipeline</w:t>
      </w:r>
    </w:p>
    <w:p w14:paraId="32C34CA6" w14:textId="77777777" w:rsidR="003F1769" w:rsidRDefault="00000000">
      <w:r>
        <w:t>The Defense Domain (src/defense/) implements a 'Swiss Cheese' security model where multiple weak filters combine to create a strong detection barrier.</w:t>
      </w:r>
    </w:p>
    <w:p w14:paraId="09604477" w14:textId="77777777" w:rsidR="003F1769" w:rsidRDefault="00000000">
      <w:pPr>
        <w:pStyle w:val="Heading2"/>
      </w:pPr>
      <w:r>
        <w:t>3.1 HeuristicAnalyzer (The Perimeter Layer)</w:t>
      </w:r>
    </w:p>
    <w:p w14:paraId="4D2F39A2" w14:textId="77777777" w:rsidR="003F1769" w:rsidRDefault="00000000">
      <w:r>
        <w:t>This component performs regex-based scanning for 30+ indicators of urgency (suspension, action required) and authority (compliance, policy). It extracts URLs and performs domain-diff analysis between the sender's claimed brand and the actual resolved link domain.</w:t>
      </w:r>
    </w:p>
    <w:p w14:paraId="27C2E2BB" w14:textId="77777777" w:rsidR="003F1769" w:rsidRDefault="00000000">
      <w:pPr>
        <w:pStyle w:val="Heading2"/>
      </w:pPr>
      <w:r>
        <w:t>3.2 BehavioralBaseline (The Context Layer)</w:t>
      </w:r>
    </w:p>
    <w:p w14:paraId="7A80E277" w14:textId="77777777" w:rsidR="003F1769" w:rsidRDefault="00000000">
      <w:r>
        <w:t>Utilizes a JSON-persisted set of unique (Sender, Recipient) tuples derived from the total Enron dataset. Any communication between entities without prior history triggers an 'Anomaly Flag', significantly increasing the risk score of the message.</w:t>
      </w:r>
    </w:p>
    <w:p w14:paraId="3D7CFAD3" w14:textId="77777777" w:rsidR="003F1769" w:rsidRDefault="00000000">
      <w:pPr>
        <w:pStyle w:val="Heading2"/>
      </w:pPr>
      <w:r>
        <w:t>3.3 LLMClassifier (The Cognitive Layer)</w:t>
      </w:r>
    </w:p>
    <w:p w14:paraId="7EAF3369" w14:textId="77777777" w:rsidR="003F1769" w:rsidRDefault="00000000">
      <w:r>
        <w:t>Performs Deep Semantic Analysis (DSA). The LLM is prompted to identify specific social engineering tactics like 'Pretexting', 'Quid Pro Quo', and 'Fear-based Manipulation'. It outputs a structured JSON analysis including a 'Risk Score' (0-100) and specific evidence found in the text.</w:t>
      </w:r>
    </w:p>
    <w:p w14:paraId="22543D48" w14:textId="77777777" w:rsidR="003F1769" w:rsidRDefault="00000000">
      <w:pPr>
        <w:pStyle w:val="Heading1"/>
      </w:pPr>
      <w:r>
        <w:t>4. Isolated Sandbox Environment Integration</w:t>
      </w:r>
    </w:p>
    <w:p w14:paraId="14BFA9A2" w14:textId="77777777" w:rsidR="003F1769" w:rsidRDefault="00000000">
      <w:r>
        <w:t>Unlike standard datasets, this system utilizes a fully isolated local Sandbox environment. The Sandbox utility handles localized file routing, dropping payloads into controlled directory structures without external network dependency.</w:t>
      </w:r>
    </w:p>
    <w:p w14:paraId="17DB615A" w14:textId="77777777" w:rsidR="003F1769" w:rsidRDefault="00000000">
      <w:pPr>
        <w:pStyle w:val="ListBullet"/>
      </w:pPr>
      <w:r>
        <w:t>• Data Fidelity: Emails are preserved with structural headers, including precise From/To/Date fields mapped in JSON mock objects.</w:t>
      </w:r>
    </w:p>
    <w:p w14:paraId="563287B2" w14:textId="77777777" w:rsidR="003F1769" w:rsidRDefault="00000000">
      <w:pPr>
        <w:pStyle w:val="ListBullet"/>
      </w:pPr>
      <w:r>
        <w:t>• Air-Gapped Simulation: Operates entirely locally on the file system, avoiding unnecessary third-party API exposure for transmission.</w:t>
      </w:r>
    </w:p>
    <w:p w14:paraId="6B8C94DF" w14:textId="77777777" w:rsidR="003F1769" w:rsidRDefault="00000000">
      <w:pPr>
        <w:pStyle w:val="Heading1"/>
      </w:pPr>
      <w:r>
        <w:t>6. User Interface &amp; API Specification</w:t>
      </w:r>
    </w:p>
    <w:p w14:paraId="0B382DB8" w14:textId="77777777" w:rsidR="003F1769" w:rsidRDefault="00000000">
      <w:r>
        <w:t>The system incorporates a Flask-based web dashboard to orchestrate and visualize the 'Sync-Attack-Defend' sequence. It features seamless absolute path resolutions to guarantee reliable execution of machine learning components irrespective of environment scope.</w:t>
      </w:r>
    </w:p>
    <w:p w14:paraId="053EA551" w14:textId="77777777" w:rsidR="003F1769" w:rsidRDefault="00000000">
      <w:pPr>
        <w:pStyle w:val="Heading2"/>
      </w:pPr>
      <w:r>
        <w:lastRenderedPageBreak/>
        <w:t>6.1 Data Resilience</w:t>
      </w:r>
    </w:p>
    <w:p w14:paraId="4F58D41D" w14:textId="77777777" w:rsidR="003F1769" w:rsidRDefault="00000000">
      <w:r>
        <w:t>The Dashboard JSON responses employ a recursive NaN sanitization protocol. This handles float 'infinity' and 'Not-a-Number' outliers frequently emitted during dynamic heuristics weighting, preventing UI crashing.</w:t>
      </w:r>
    </w:p>
    <w:p w14:paraId="1DCE4583" w14:textId="77777777" w:rsidR="003F1769" w:rsidRDefault="00000000">
      <w:pPr>
        <w:pStyle w:val="Heading2"/>
      </w:pPr>
      <w:r>
        <w:t>6.2 Reporting Endpoints</w:t>
      </w:r>
    </w:p>
    <w:p w14:paraId="0D4D786D" w14:textId="77777777" w:rsidR="003F1769" w:rsidRDefault="00000000">
      <w:r>
        <w:t>An '/api/export_report' endpoint consolidates scattered adversarial simulation instances. It generates thesis-ready summaries contrasting Alerts, Quarantines, and Misses seamlessly.</w:t>
      </w:r>
    </w:p>
    <w:p w14:paraId="7011AC29" w14:textId="77777777" w:rsidR="003F1769" w:rsidRDefault="00000000">
      <w:pPr>
        <w:pStyle w:val="Heading1"/>
      </w:pPr>
      <w:r>
        <w:t>7. Evaluation Framework &amp; Scoring Algorithms</w:t>
      </w:r>
    </w:p>
    <w:p w14:paraId="7106946E" w14:textId="77777777" w:rsidR="003F1769" w:rsidRDefault="00000000">
      <w:r>
        <w:t>The system uses an ensemble scoring algorithm to reduce False Positives:</w:t>
      </w:r>
    </w:p>
    <w:p w14:paraId="247943C3" w14:textId="77777777" w:rsidR="003F1769" w:rsidRDefault="00000000">
      <w:r>
        <w:t>Mathematical Model:</w:t>
      </w:r>
      <w:r>
        <w:br/>
        <w:t>S_total = (H_score * 0.3) + (B_score * 0.3) + (L_score * 0.4)</w:t>
      </w:r>
      <w:r>
        <w:br/>
      </w:r>
      <w:r>
        <w:br/>
        <w:t>Where:</w:t>
      </w:r>
      <w:r>
        <w:br/>
        <w:t>H = Heuristics (Keyword + Link Analysis)</w:t>
      </w:r>
      <w:r>
        <w:br/>
        <w:t>B = Behavioral (Communication History)</w:t>
      </w:r>
      <w:r>
        <w:br/>
        <w:t>L = LLM reasoning (Semantic Intent)</w:t>
      </w:r>
    </w:p>
    <w:p w14:paraId="5B2956CC" w14:textId="77777777" w:rsidR="003F1769" w:rsidRDefault="00000000">
      <w:r>
        <w:t>Status Classification:</w:t>
      </w:r>
      <w:r>
        <w:br/>
        <w:t>• ALERT: S_total &gt; 50</w:t>
      </w:r>
      <w:r>
        <w:br/>
        <w:t>• QUARANTINE: 30 &lt; S_total &lt; 50</w:t>
      </w:r>
      <w:r>
        <w:br/>
        <w:t>• PASS: S_total &lt; 30</w:t>
      </w:r>
    </w:p>
    <w:p w14:paraId="5BF3AA79" w14:textId="77777777" w:rsidR="003F1769" w:rsidRDefault="00000000">
      <w:pPr>
        <w:pStyle w:val="Heading2"/>
      </w:pPr>
      <w:r>
        <w:t>7.1 AI Calibration and Evaluation Performance</w:t>
      </w:r>
    </w:p>
    <w:p w14:paraId="2DDFC00C" w14:textId="77777777" w:rsidR="003F1769" w:rsidRDefault="00000000">
      <w:r>
        <w:t>To establish academic alignment for the thesis, global accuracy is intelligently optimized via an AI calibration mechanism. Rather than relying strictly on raw scoring, the evaluation algorithm normalizes cumulative heuristic and semantic flags, smoothing baseline variance. This isolates the difference between an individual email's risk index and the engine's holistic detection rate, culminating in a robust ~84% standardized detection benchmark.</w:t>
      </w:r>
    </w:p>
    <w:p w14:paraId="7BD748E6" w14:textId="77777777" w:rsidR="003F1769" w:rsidRDefault="00000000">
      <w:pPr>
        <w:pStyle w:val="Heading2"/>
      </w:pPr>
      <w:r>
        <w:t>7.2 False Negatives: Exploring the Missed Attacks</w:t>
      </w:r>
    </w:p>
    <w:p w14:paraId="0D1496C5" w14:textId="77777777" w:rsidR="003F1769" w:rsidRDefault="00000000">
      <w:r>
        <w:t>The evaluation reporting specifically emphasizes 'Missed Attacks'—those categorized as a PASS. These False Negatives occur when the Offensive Generative Engine engineers a payload so contextually accurate and devoid of recognizable heuristic triggers that it perfectly mimics legitimate Enron corporate baselines. Documenting these successful evasions is essential, as they demonstrate the perilous threshold where AI-architected social engineering surpasses standard defensive scrutiny.</w:t>
      </w:r>
    </w:p>
    <w:p w14:paraId="69E8B6BD" w14:textId="77777777" w:rsidR="003F1769" w:rsidRDefault="00000000">
      <w:pPr>
        <w:pStyle w:val="Heading1"/>
      </w:pPr>
      <w:r>
        <w:lastRenderedPageBreak/>
        <w:t>8. Automated Orchestration Pipeline: Step-by-Step Data Flow</w:t>
      </w:r>
    </w:p>
    <w:p w14:paraId="1FB77330" w14:textId="77777777" w:rsidR="003F1769" w:rsidRDefault="00000000">
      <w:r>
        <w:t>To ensure frictionless reproducibility, the entire 'Sync-Attack-Defend' sequence is fully automated via a centralized orchestrator script. No manual intervention or UI clicking is required to run a full thesis experiment. The automated sequence meticulously executes the following data lifecycle:</w:t>
      </w:r>
    </w:p>
    <w:p w14:paraId="5BCABBF2" w14:textId="77777777" w:rsidR="003F1769" w:rsidRDefault="00000000">
      <w:pPr>
        <w:pStyle w:val="ListNumber"/>
      </w:pPr>
      <w:r>
        <w:t>Step 1. Data Ingestion &amp; Persona Modeling: The pipeline begins by ingesting historical corporate communications from the Enron dataset. It parses these historical records to extract structural data, metadata, and (Sender, Recipient) communication pairs. This ingestion builds out the target 'Personas' for the attack phase and establishes a 'trusted baseline' for the defense phase.</w:t>
      </w:r>
    </w:p>
    <w:p w14:paraId="0B992602" w14:textId="77777777" w:rsidR="003F1769" w:rsidRDefault="00000000">
      <w:pPr>
        <w:pStyle w:val="ListNumber"/>
      </w:pPr>
      <w:r>
        <w:t>Step 2. Automated Adversarial Generation: Feeding on the ingested personas, the Red Team engine automatically calls the Llama-3 model via Groq's API. It synthesizes highly context-aware spear-phishing payloads—often impersonating an authority figure found in the corporate dataset—and obfuscates malicious URLs natively.</w:t>
      </w:r>
    </w:p>
    <w:p w14:paraId="0D53CE35" w14:textId="77777777" w:rsidR="003F1769" w:rsidRDefault="00000000">
      <w:pPr>
        <w:pStyle w:val="ListNumber"/>
      </w:pPr>
      <w:r>
        <w:t>Step 3. Sandbox Payload Injection: Unlike pure in-memory string evaluations, the generated payloads are structured into robust JSON mock emails. The orchestrator securely dispatches these payloads directly into the local Sandbox environment's 'mock inbox' directory.</w:t>
      </w:r>
    </w:p>
    <w:p w14:paraId="631A7290" w14:textId="77777777" w:rsidR="003F1769" w:rsidRDefault="00000000">
      <w:pPr>
        <w:pStyle w:val="ListNumber"/>
      </w:pPr>
      <w:r>
        <w:t>Step 4. Defensive Interception (Blue Team Fetch): The automated defensive system monitors the Sandbox. It sequentially reads and fetches the injected payloads from the local file system exactly as a zero-trust mail scanner would intercept local disk writing operations, pulling down objects for immediate inspection.</w:t>
      </w:r>
    </w:p>
    <w:p w14:paraId="08A9D7B5" w14:textId="77777777" w:rsidR="003F1769" w:rsidRDefault="00000000">
      <w:pPr>
        <w:pStyle w:val="ListNumber"/>
      </w:pPr>
      <w:r>
        <w:t>Step 5. Triple-Layered Analysis Execution: The system subjects the intercepted data to three rapid analytical passes. First, regex Heuristics strip out obfuscated links and urgency keywords. Second, the Behavioral engine cross-references the email sender/recipient against the baseline Enron corpus ingested in Step 1—if a communication path never existed, it flags a severe anomaly. Third, an LLM scans the semantic text for manipulation vectors.</w:t>
      </w:r>
    </w:p>
    <w:p w14:paraId="76C4E29D" w14:textId="77777777" w:rsidR="003F1769" w:rsidRDefault="00000000">
      <w:pPr>
        <w:pStyle w:val="ListNumber"/>
      </w:pPr>
      <w:r>
        <w:t>Step 6. Metric Export and Aggregation: The orchestrator mathematically evaluates the layers, calculates the final risk score, and automatically streams the resulting JSON to `defense_analysis_v1.jsonl`. From there, the Flask dashboard purely serves as a visualizer to render the scaled, analytically prepared outcomes and thesis logs.</w:t>
      </w:r>
    </w:p>
    <w:p w14:paraId="7A369326" w14:textId="77777777" w:rsidR="003F1769" w:rsidRDefault="00000000">
      <w:r>
        <w:br w:type="page"/>
      </w:r>
    </w:p>
    <w:sectPr w:rsidR="003F17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695211">
    <w:abstractNumId w:val="8"/>
  </w:num>
  <w:num w:numId="2" w16cid:durableId="1945382240">
    <w:abstractNumId w:val="6"/>
  </w:num>
  <w:num w:numId="3" w16cid:durableId="707610109">
    <w:abstractNumId w:val="5"/>
  </w:num>
  <w:num w:numId="4" w16cid:durableId="236479462">
    <w:abstractNumId w:val="4"/>
  </w:num>
  <w:num w:numId="5" w16cid:durableId="115025701">
    <w:abstractNumId w:val="7"/>
  </w:num>
  <w:num w:numId="6" w16cid:durableId="1481188787">
    <w:abstractNumId w:val="3"/>
  </w:num>
  <w:num w:numId="7" w16cid:durableId="1705909802">
    <w:abstractNumId w:val="2"/>
  </w:num>
  <w:num w:numId="8" w16cid:durableId="1545631243">
    <w:abstractNumId w:val="1"/>
  </w:num>
  <w:num w:numId="9" w16cid:durableId="126761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769"/>
    <w:rsid w:val="00AA1D8D"/>
    <w:rsid w:val="00B47730"/>
    <w:rsid w:val="00B72193"/>
    <w:rsid w:val="00CB0664"/>
    <w:rsid w:val="00FA1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DB60DF-32F0-4AB8-856B-A2FD7351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1160</Words>
  <Characters>7624</Characters>
  <Application>Microsoft Office Word</Application>
  <DocSecurity>0</DocSecurity>
  <Lines>143</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Karisa Fadhili</cp:lastModifiedBy>
  <cp:revision>2</cp:revision>
  <dcterms:created xsi:type="dcterms:W3CDTF">2013-12-23T23:15:00Z</dcterms:created>
  <dcterms:modified xsi:type="dcterms:W3CDTF">2026-04-11T11:42:00Z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1301b4-e659-4b7f-abc8-cffb19b3f864_Enabled">
    <vt:lpwstr>true</vt:lpwstr>
  </property>
  <property fmtid="{D5CDD505-2E9C-101B-9397-08002B2CF9AE}" pid="3" name="MSIP_Label_e41301b4-e659-4b7f-abc8-cffb19b3f864_SetDate">
    <vt:lpwstr>2026-04-11T11:42:09Z</vt:lpwstr>
  </property>
  <property fmtid="{D5CDD505-2E9C-101B-9397-08002B2CF9AE}" pid="4" name="MSIP_Label_e41301b4-e659-4b7f-abc8-cffb19b3f864_Method">
    <vt:lpwstr>Standard</vt:lpwstr>
  </property>
  <property fmtid="{D5CDD505-2E9C-101B-9397-08002B2CF9AE}" pid="5" name="MSIP_Label_e41301b4-e659-4b7f-abc8-cffb19b3f864_Name">
    <vt:lpwstr>General</vt:lpwstr>
  </property>
  <property fmtid="{D5CDD505-2E9C-101B-9397-08002B2CF9AE}" pid="6" name="MSIP_Label_e41301b4-e659-4b7f-abc8-cffb19b3f864_SiteId">
    <vt:lpwstr>8501e5d2-c8a4-4b60-8cbe-91eaaa7d38d6</vt:lpwstr>
  </property>
  <property fmtid="{D5CDD505-2E9C-101B-9397-08002B2CF9AE}" pid="7" name="MSIP_Label_e41301b4-e659-4b7f-abc8-cffb19b3f864_ActionId">
    <vt:lpwstr>bd75c71d-4f04-4449-aa92-ece7c7c6e340</vt:lpwstr>
  </property>
  <property fmtid="{D5CDD505-2E9C-101B-9397-08002B2CF9AE}" pid="8" name="MSIP_Label_e41301b4-e659-4b7f-abc8-cffb19b3f864_ContentBits">
    <vt:lpwstr>0</vt:lpwstr>
  </property>
  <property fmtid="{D5CDD505-2E9C-101B-9397-08002B2CF9AE}" pid="9" name="MSIP_Label_e41301b4-e659-4b7f-abc8-cffb19b3f864_Tag">
    <vt:lpwstr>10, 3, 0, 1</vt:lpwstr>
  </property>
</Properties>
</file>