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10CFC" w14:textId="79750D53" w:rsidR="00E954AA" w:rsidRDefault="00E954AA" w:rsidP="00E954AA">
      <w:r>
        <w:t>Information that is found on a user’s UTAR portal page on how to pay for UTAR student bill</w:t>
      </w:r>
    </w:p>
    <w:p w14:paraId="75E73F10" w14:textId="65740F6F" w:rsidR="00E954AA" w:rsidRDefault="00E954AA" w:rsidP="00E954AA">
      <w:r>
        <w:t>My Billing</w:t>
      </w:r>
    </w:p>
    <w:p w14:paraId="436B3D07" w14:textId="77777777" w:rsidR="00E954AA" w:rsidRDefault="00E954AA" w:rsidP="00E954AA">
      <w:r>
        <w:t xml:space="preserve">Please select the current bill either Full Payment or Instalment Payment Plan for Jan/Feb 2025 Trimester (Status: Valid) to pay using the </w:t>
      </w:r>
      <w:proofErr w:type="spellStart"/>
      <w:r>
        <w:t>PBe</w:t>
      </w:r>
      <w:proofErr w:type="spellEnd"/>
      <w:r>
        <w:t xml:space="preserve"> Online Banking service. If you have not registered with </w:t>
      </w:r>
      <w:proofErr w:type="spellStart"/>
      <w:r>
        <w:t>PBe</w:t>
      </w:r>
      <w:proofErr w:type="spellEnd"/>
      <w:r>
        <w:t xml:space="preserve"> Online Banking service, please download the bill and select one of the payment methods listed under the student bill to make payment.</w:t>
      </w:r>
    </w:p>
    <w:p w14:paraId="041104E5" w14:textId="77777777" w:rsidR="00E954AA" w:rsidRDefault="00E954AA" w:rsidP="00E954AA">
      <w:r>
        <w:t>No.</w:t>
      </w:r>
    </w:p>
    <w:p w14:paraId="1BF58662" w14:textId="77777777" w:rsidR="00E954AA" w:rsidRDefault="00E954AA" w:rsidP="00E954AA">
      <w:r>
        <w:t>Session</w:t>
      </w:r>
    </w:p>
    <w:p w14:paraId="35311221" w14:textId="77777777" w:rsidR="00E954AA" w:rsidRDefault="00E954AA" w:rsidP="00E954AA">
      <w:r>
        <w:t>Billing Type</w:t>
      </w:r>
    </w:p>
    <w:p w14:paraId="36913C21" w14:textId="77777777" w:rsidR="00E954AA" w:rsidRDefault="00E954AA" w:rsidP="00E954AA">
      <w:r>
        <w:t>Payment Mode</w:t>
      </w:r>
    </w:p>
    <w:p w14:paraId="7CBC840B" w14:textId="77777777" w:rsidR="00E954AA" w:rsidRDefault="00E954AA" w:rsidP="00E954AA">
      <w:r>
        <w:t>Billing Reference No.</w:t>
      </w:r>
    </w:p>
    <w:p w14:paraId="672293D4" w14:textId="77777777" w:rsidR="00E954AA" w:rsidRDefault="00E954AA" w:rsidP="00E954AA">
      <w:r>
        <w:t>Amount Due(RM)</w:t>
      </w:r>
    </w:p>
    <w:p w14:paraId="348E1358" w14:textId="77777777" w:rsidR="00E954AA" w:rsidRDefault="00E954AA" w:rsidP="00E954AA">
      <w:r>
        <w:t>Due Date</w:t>
      </w:r>
    </w:p>
    <w:p w14:paraId="4988DCF4" w14:textId="77777777" w:rsidR="00E954AA" w:rsidRDefault="00E954AA" w:rsidP="00E954AA">
      <w:r>
        <w:t>Status</w:t>
      </w:r>
    </w:p>
    <w:p w14:paraId="22914925" w14:textId="77777777" w:rsidR="00E954AA" w:rsidRDefault="00E954AA" w:rsidP="00E954AA">
      <w:r>
        <w:t>Select</w:t>
      </w:r>
    </w:p>
    <w:p w14:paraId="3AAFD560" w14:textId="77777777" w:rsidR="00E954AA" w:rsidRDefault="00E954AA" w:rsidP="00E954AA">
      <w:r>
        <w:t>Split Bill</w:t>
      </w:r>
    </w:p>
    <w:p w14:paraId="0699A1EA" w14:textId="77777777" w:rsidR="00E954AA" w:rsidRDefault="00E954AA" w:rsidP="00E954AA"/>
    <w:p w14:paraId="4EE53FE9" w14:textId="77777777" w:rsidR="00E954AA" w:rsidRDefault="00E954AA" w:rsidP="00E954AA">
      <w:r>
        <w:t>Sorry, no record found.</w:t>
      </w:r>
    </w:p>
    <w:p w14:paraId="4BD1A66F" w14:textId="77777777" w:rsidR="00E954AA" w:rsidRDefault="00E954AA" w:rsidP="00E954AA"/>
    <w:p w14:paraId="342B078F" w14:textId="44EAD388" w:rsidR="00914ADE" w:rsidRDefault="00E954AA" w:rsidP="00E954AA">
      <w:r>
        <w:t xml:space="preserve">Note: Your payment will be updated in your "Payment History" in three (3) working </w:t>
      </w:r>
      <w:proofErr w:type="spellStart"/>
      <w:r>
        <w:t>days.Guidelines</w:t>
      </w:r>
      <w:proofErr w:type="spellEnd"/>
      <w:r>
        <w:t xml:space="preserve"> / Information for Payment via </w:t>
      </w:r>
      <w:proofErr w:type="spellStart"/>
      <w:r>
        <w:t>PBe</w:t>
      </w:r>
      <w:proofErr w:type="spellEnd"/>
      <w:r>
        <w:t xml:space="preserve"> Online Banking1. Payment via </w:t>
      </w:r>
      <w:proofErr w:type="spellStart"/>
      <w:r>
        <w:t>PBe</w:t>
      </w:r>
      <w:proofErr w:type="spellEnd"/>
      <w:r>
        <w:t xml:space="preserve"> Online Banking is a service provided by Public Bank to their current and savings account holders who have registered with </w:t>
      </w:r>
      <w:proofErr w:type="spellStart"/>
      <w:r>
        <w:t>PBe</w:t>
      </w:r>
      <w:proofErr w:type="spellEnd"/>
      <w:r>
        <w:t xml:space="preserve"> Online Banking.2. The default limit per day for bill payment (cumulative) is RM10,000.00, this limit could be increased or decreased by selecting Profile Maintenance &gt;&gt;Manage Profile &gt;&gt; Change Daily Limit.3. Please ensure that the "pop-up blocker" on your device / browser is disabled before you log on to </w:t>
      </w:r>
      <w:proofErr w:type="spellStart"/>
      <w:r>
        <w:t>PBe</w:t>
      </w:r>
      <w:proofErr w:type="spellEnd"/>
      <w:r>
        <w:t xml:space="preserve"> Online Banking.4. Click on "Pay by Public Bank" icon to connect to the </w:t>
      </w:r>
      <w:proofErr w:type="spellStart"/>
      <w:r>
        <w:t>PBe</w:t>
      </w:r>
      <w:proofErr w:type="spellEnd"/>
      <w:r>
        <w:t xml:space="preserve"> Online Banking log-in screen. You must not close this window while the system is connecting to the </w:t>
      </w:r>
      <w:proofErr w:type="gramStart"/>
      <w:r>
        <w:t>bank</w:t>
      </w:r>
      <w:proofErr w:type="gramEnd"/>
      <w:r>
        <w:t xml:space="preserve"> and this should not take more than 2 minutes.5. Once your payment is completed, you will get a confirmation page to indicate the successful transaction.</w:t>
      </w:r>
    </w:p>
    <w:p w14:paraId="4925FE2F" w14:textId="77777777" w:rsidR="00E954AA" w:rsidRDefault="00E954AA" w:rsidP="00E954AA"/>
    <w:p w14:paraId="622929DA" w14:textId="77777777" w:rsidR="00E954AA" w:rsidRDefault="00E954AA" w:rsidP="00E954AA"/>
    <w:p w14:paraId="4D7D6FCD" w14:textId="77777777" w:rsidR="00E954AA" w:rsidRPr="00E954AA" w:rsidRDefault="00E954AA" w:rsidP="00E954AA">
      <w:pPr>
        <w:rPr>
          <w:i/>
          <w:iCs/>
        </w:rPr>
      </w:pPr>
      <w:r w:rsidRPr="00E954AA">
        <w:rPr>
          <w:i/>
          <w:iCs/>
        </w:rPr>
        <w:t>My Payment History</w:t>
      </w:r>
    </w:p>
    <w:p w14:paraId="6036FA11" w14:textId="77777777" w:rsidR="00E954AA" w:rsidRPr="00E954AA" w:rsidRDefault="00E954AA" w:rsidP="00E954AA">
      <w:pPr>
        <w:rPr>
          <w:vanish/>
        </w:rPr>
      </w:pPr>
      <w:r w:rsidRPr="00E954AA">
        <w:rPr>
          <w:vanish/>
        </w:rPr>
        <w:t>Top of Form</w:t>
      </w:r>
    </w:p>
    <w:p w14:paraId="38243BE9" w14:textId="77777777" w:rsidR="00E954AA" w:rsidRPr="00E954AA" w:rsidRDefault="00E954AA" w:rsidP="00E954AA">
      <w:r w:rsidRPr="00E954AA">
        <w:t>* A payment receipt number would be issued when the payment is received by UTAR. However, a payment receipt number would not be issued when the billing amount is "Zero".</w:t>
      </w:r>
    </w:p>
    <w:tbl>
      <w:tblPr>
        <w:tblpPr w:leftFromText="45" w:rightFromText="45" w:topFromText="120" w:bottomFromText="240" w:vertAnchor="text"/>
        <w:tblW w:w="5000" w:type="pct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"/>
        <w:gridCol w:w="953"/>
        <w:gridCol w:w="1416"/>
        <w:gridCol w:w="1096"/>
        <w:gridCol w:w="1293"/>
        <w:gridCol w:w="1028"/>
        <w:gridCol w:w="645"/>
        <w:gridCol w:w="1103"/>
        <w:gridCol w:w="1012"/>
      </w:tblGrid>
      <w:tr w:rsidR="00E954AA" w:rsidRPr="00E954AA" w14:paraId="597824CC" w14:textId="77777777" w:rsidTr="00E954AA">
        <w:tc>
          <w:tcPr>
            <w:tcW w:w="0" w:type="auto"/>
            <w:tcBorders>
              <w:top w:val="dotted" w:sz="6" w:space="0" w:color="555555"/>
              <w:left w:val="dotted" w:sz="6" w:space="0" w:color="555555"/>
              <w:bottom w:val="single" w:sz="12" w:space="0" w:color="000000"/>
              <w:right w:val="dotted" w:sz="6" w:space="0" w:color="555555"/>
            </w:tcBorders>
            <w:shd w:val="clear" w:color="auto" w:fill="328AA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1B3C66" w14:textId="77777777" w:rsidR="00E954AA" w:rsidRPr="00E954AA" w:rsidRDefault="00E954AA" w:rsidP="00E954AA">
            <w:pPr>
              <w:rPr>
                <w:b/>
                <w:bCs/>
              </w:rPr>
            </w:pPr>
            <w:r w:rsidRPr="00E954AA">
              <w:rPr>
                <w:b/>
                <w:bCs/>
              </w:rPr>
              <w:t>No.</w:t>
            </w:r>
          </w:p>
        </w:tc>
        <w:tc>
          <w:tcPr>
            <w:tcW w:w="0" w:type="auto"/>
            <w:tcBorders>
              <w:top w:val="dotted" w:sz="6" w:space="0" w:color="555555"/>
              <w:left w:val="dotted" w:sz="6" w:space="0" w:color="555555"/>
              <w:bottom w:val="single" w:sz="12" w:space="0" w:color="000000"/>
              <w:right w:val="dotted" w:sz="2" w:space="0" w:color="555555"/>
            </w:tcBorders>
            <w:shd w:val="clear" w:color="auto" w:fill="328AA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E8FE54" w14:textId="77777777" w:rsidR="00E954AA" w:rsidRPr="00E954AA" w:rsidRDefault="00E954AA" w:rsidP="00E954AA">
            <w:pPr>
              <w:rPr>
                <w:b/>
                <w:bCs/>
              </w:rPr>
            </w:pPr>
            <w:r w:rsidRPr="00E954AA">
              <w:rPr>
                <w:b/>
                <w:bCs/>
              </w:rPr>
              <w:t>Session</w:t>
            </w:r>
          </w:p>
        </w:tc>
        <w:tc>
          <w:tcPr>
            <w:tcW w:w="0" w:type="auto"/>
            <w:tcBorders>
              <w:top w:val="dotted" w:sz="6" w:space="0" w:color="555555"/>
              <w:left w:val="dotted" w:sz="6" w:space="0" w:color="555555"/>
              <w:bottom w:val="single" w:sz="12" w:space="0" w:color="000000"/>
              <w:right w:val="dotted" w:sz="2" w:space="0" w:color="555555"/>
            </w:tcBorders>
            <w:shd w:val="clear" w:color="auto" w:fill="328AA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71BE39" w14:textId="77777777" w:rsidR="00E954AA" w:rsidRPr="00E954AA" w:rsidRDefault="00E954AA" w:rsidP="00E954AA">
            <w:pPr>
              <w:rPr>
                <w:b/>
                <w:bCs/>
              </w:rPr>
            </w:pPr>
            <w:r w:rsidRPr="00E954AA">
              <w:rPr>
                <w:b/>
                <w:bCs/>
              </w:rPr>
              <w:t>Billing Description</w:t>
            </w:r>
          </w:p>
        </w:tc>
        <w:tc>
          <w:tcPr>
            <w:tcW w:w="0" w:type="auto"/>
            <w:tcBorders>
              <w:top w:val="dotted" w:sz="6" w:space="0" w:color="555555"/>
              <w:left w:val="dotted" w:sz="6" w:space="0" w:color="555555"/>
              <w:bottom w:val="single" w:sz="12" w:space="0" w:color="000000"/>
              <w:right w:val="dotted" w:sz="2" w:space="0" w:color="555555"/>
            </w:tcBorders>
            <w:shd w:val="clear" w:color="auto" w:fill="328AA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9B6527" w14:textId="77777777" w:rsidR="00E954AA" w:rsidRPr="00E954AA" w:rsidRDefault="00E954AA" w:rsidP="00E954AA">
            <w:pPr>
              <w:rPr>
                <w:b/>
                <w:bCs/>
              </w:rPr>
            </w:pPr>
            <w:r w:rsidRPr="00E954AA">
              <w:rPr>
                <w:b/>
                <w:bCs/>
              </w:rPr>
              <w:t>Payment Mode</w:t>
            </w:r>
          </w:p>
        </w:tc>
        <w:tc>
          <w:tcPr>
            <w:tcW w:w="0" w:type="auto"/>
            <w:tcBorders>
              <w:top w:val="dotted" w:sz="6" w:space="0" w:color="555555"/>
              <w:left w:val="dotted" w:sz="6" w:space="0" w:color="555555"/>
              <w:bottom w:val="single" w:sz="12" w:space="0" w:color="000000"/>
              <w:right w:val="dotted" w:sz="2" w:space="0" w:color="555555"/>
            </w:tcBorders>
            <w:shd w:val="clear" w:color="auto" w:fill="328AA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8457D8" w14:textId="77777777" w:rsidR="00E954AA" w:rsidRPr="00E954AA" w:rsidRDefault="00E954AA" w:rsidP="00E954AA">
            <w:pPr>
              <w:rPr>
                <w:b/>
                <w:bCs/>
              </w:rPr>
            </w:pPr>
            <w:r w:rsidRPr="00E954AA">
              <w:rPr>
                <w:b/>
                <w:bCs/>
              </w:rPr>
              <w:t>Billing Reference No.</w:t>
            </w:r>
          </w:p>
        </w:tc>
        <w:tc>
          <w:tcPr>
            <w:tcW w:w="0" w:type="auto"/>
            <w:tcBorders>
              <w:top w:val="dotted" w:sz="6" w:space="0" w:color="555555"/>
              <w:left w:val="dotted" w:sz="6" w:space="0" w:color="555555"/>
              <w:bottom w:val="single" w:sz="12" w:space="0" w:color="000000"/>
              <w:right w:val="dotted" w:sz="2" w:space="0" w:color="555555"/>
            </w:tcBorders>
            <w:shd w:val="clear" w:color="auto" w:fill="328AA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2AC8AB" w14:textId="77777777" w:rsidR="00E954AA" w:rsidRPr="00E954AA" w:rsidRDefault="00E954AA" w:rsidP="00E954AA">
            <w:pPr>
              <w:rPr>
                <w:b/>
                <w:bCs/>
              </w:rPr>
            </w:pPr>
            <w:r w:rsidRPr="00E954AA">
              <w:rPr>
                <w:b/>
                <w:bCs/>
              </w:rPr>
              <w:t>Amount Paid (RM)</w:t>
            </w:r>
          </w:p>
        </w:tc>
        <w:tc>
          <w:tcPr>
            <w:tcW w:w="0" w:type="auto"/>
            <w:tcBorders>
              <w:top w:val="dotted" w:sz="6" w:space="0" w:color="555555"/>
              <w:left w:val="dotted" w:sz="6" w:space="0" w:color="555555"/>
              <w:bottom w:val="single" w:sz="12" w:space="0" w:color="000000"/>
              <w:right w:val="dotted" w:sz="2" w:space="0" w:color="555555"/>
            </w:tcBorders>
            <w:shd w:val="clear" w:color="auto" w:fill="328AA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6121BD" w14:textId="77777777" w:rsidR="00E954AA" w:rsidRPr="00E954AA" w:rsidRDefault="00E954AA" w:rsidP="00E954AA">
            <w:pPr>
              <w:rPr>
                <w:b/>
                <w:bCs/>
              </w:rPr>
            </w:pPr>
            <w:r w:rsidRPr="00E954AA">
              <w:rPr>
                <w:b/>
                <w:bCs/>
              </w:rPr>
              <w:t>Paid Date</w:t>
            </w:r>
          </w:p>
        </w:tc>
        <w:tc>
          <w:tcPr>
            <w:tcW w:w="0" w:type="auto"/>
            <w:tcBorders>
              <w:top w:val="dotted" w:sz="6" w:space="0" w:color="555555"/>
              <w:left w:val="dotted" w:sz="6" w:space="0" w:color="555555"/>
              <w:bottom w:val="single" w:sz="12" w:space="0" w:color="000000"/>
              <w:right w:val="dotted" w:sz="2" w:space="0" w:color="555555"/>
            </w:tcBorders>
            <w:shd w:val="clear" w:color="auto" w:fill="328AA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580C6E" w14:textId="77777777" w:rsidR="00E954AA" w:rsidRPr="00E954AA" w:rsidRDefault="00E954AA" w:rsidP="00E954AA">
            <w:pPr>
              <w:rPr>
                <w:b/>
                <w:bCs/>
              </w:rPr>
            </w:pPr>
            <w:r w:rsidRPr="00E954AA">
              <w:rPr>
                <w:b/>
                <w:bCs/>
              </w:rPr>
              <w:t>Payment Status</w:t>
            </w:r>
          </w:p>
        </w:tc>
        <w:tc>
          <w:tcPr>
            <w:tcW w:w="0" w:type="auto"/>
            <w:tcBorders>
              <w:top w:val="dotted" w:sz="6" w:space="0" w:color="555555"/>
              <w:left w:val="dotted" w:sz="6" w:space="0" w:color="555555"/>
              <w:bottom w:val="single" w:sz="12" w:space="0" w:color="000000"/>
              <w:right w:val="dotted" w:sz="2" w:space="0" w:color="555555"/>
            </w:tcBorders>
            <w:shd w:val="clear" w:color="auto" w:fill="328AA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E1975A" w14:textId="77777777" w:rsidR="00E954AA" w:rsidRPr="00E954AA" w:rsidRDefault="00E954AA" w:rsidP="00E954AA">
            <w:pPr>
              <w:rPr>
                <w:b/>
                <w:bCs/>
              </w:rPr>
            </w:pPr>
            <w:r w:rsidRPr="00E954AA">
              <w:rPr>
                <w:b/>
                <w:bCs/>
              </w:rPr>
              <w:t>UTAR Receipt No *</w:t>
            </w:r>
          </w:p>
        </w:tc>
      </w:tr>
    </w:tbl>
    <w:p w14:paraId="71287C6D" w14:textId="77777777" w:rsidR="00E954AA" w:rsidRDefault="00E954AA" w:rsidP="00E954AA">
      <w:r w:rsidRPr="00E954AA">
        <w:rPr>
          <w:vanish/>
        </w:rPr>
        <w:t>Bottom of Form</w:t>
      </w:r>
    </w:p>
    <w:p w14:paraId="34197E26" w14:textId="137F492D" w:rsidR="00E954AA" w:rsidRDefault="00E954AA" w:rsidP="00E954AA">
      <w:r w:rsidRPr="00E954AA">
        <w:t xml:space="preserve">All fees should be paid by the payment due date stipulated in the Student Bill. 1. Payment via </w:t>
      </w:r>
      <w:proofErr w:type="spellStart"/>
      <w:r w:rsidRPr="00E954AA">
        <w:t>JomPay</w:t>
      </w:r>
      <w:proofErr w:type="spellEnd"/>
      <w:r w:rsidRPr="00E954AA">
        <w:t xml:space="preserve"> (Payment through </w:t>
      </w:r>
      <w:proofErr w:type="spellStart"/>
      <w:r w:rsidRPr="00E954AA">
        <w:t>JomPay</w:t>
      </w:r>
      <w:proofErr w:type="spellEnd"/>
      <w:r w:rsidRPr="00E954AA">
        <w:t xml:space="preserve">, the bank takes 3 working days (include transaction day) to process the payment)  - Logon to your Internet or Mobile Banking account, then select the </w:t>
      </w:r>
      <w:proofErr w:type="spellStart"/>
      <w:r w:rsidRPr="00E954AA">
        <w:t>JomPay</w:t>
      </w:r>
      <w:proofErr w:type="spellEnd"/>
      <w:r w:rsidRPr="00E954AA">
        <w:t xml:space="preserve"> mode of payment  - Enter the </w:t>
      </w:r>
      <w:proofErr w:type="spellStart"/>
      <w:r w:rsidRPr="00E954AA">
        <w:t>JomPay</w:t>
      </w:r>
      <w:proofErr w:type="spellEnd"/>
      <w:r w:rsidRPr="00E954AA">
        <w:t xml:space="preserve"> Biller Code and its Reference Number, then confirm payment   - No service fee will be charged by the bank for this mode of transaction   2. Payment at Public Bank Branches  -Cheque made payable to '</w:t>
      </w:r>
      <w:proofErr w:type="spellStart"/>
      <w:r w:rsidRPr="00E954AA">
        <w:t>Universiti</w:t>
      </w:r>
      <w:proofErr w:type="spellEnd"/>
      <w:r w:rsidRPr="00E954AA">
        <w:t xml:space="preserve"> </w:t>
      </w:r>
      <w:proofErr w:type="spellStart"/>
      <w:r w:rsidRPr="00E954AA">
        <w:t>Tunku</w:t>
      </w:r>
      <w:proofErr w:type="spellEnd"/>
      <w:r w:rsidRPr="00E954AA">
        <w:t xml:space="preserve"> Abdul Rahman'  -Present this Student Bill and complete the pay-in-slip with account no. 3999207316 when making payment to the teller. This bill will be retained by the Bank.  -A service fee will be charged by the Bank for each transaction.    3. Payment through Public Bank's Internet Banking Service  -Log on to www.PBeBank.com.my, a service provided by Public Bank </w:t>
      </w:r>
      <w:proofErr w:type="spellStart"/>
      <w:r w:rsidRPr="00E954AA">
        <w:t>Bhd</w:t>
      </w:r>
      <w:proofErr w:type="spellEnd"/>
      <w:r w:rsidRPr="00E954AA">
        <w:t xml:space="preserve"> to their current and savings account holders, for instruction and payment.  -This service is accessible daily form 6.00am to 12.00 midnight.  -A service fee </w:t>
      </w:r>
      <w:proofErr w:type="spellStart"/>
      <w:r w:rsidRPr="00E954AA">
        <w:t>wil</w:t>
      </w:r>
      <w:proofErr w:type="spellEnd"/>
      <w:r w:rsidRPr="00E954AA">
        <w:t xml:space="preserve"> be charged by the Bank for each successful transaction. You are advised to print for your record the 6-digit reference number shown on the confirmation page as receipt reference for successful execution of the internet banking service. Note: Tax Invoice will be emailed to you upon payment clearance for your record.</w:t>
      </w:r>
    </w:p>
    <w:p w14:paraId="13EBC1E9" w14:textId="77777777" w:rsidR="00E954AA" w:rsidRDefault="00E954AA" w:rsidP="00E954AA"/>
    <w:p w14:paraId="414BF930" w14:textId="77777777" w:rsidR="00E954AA" w:rsidRPr="00E954AA" w:rsidRDefault="00E954AA" w:rsidP="00E954AA">
      <w:pPr>
        <w:rPr>
          <w:vanish/>
        </w:rPr>
      </w:pPr>
    </w:p>
    <w:p w14:paraId="4A8F5A0F" w14:textId="77777777" w:rsidR="00E954AA" w:rsidRDefault="00E954AA" w:rsidP="00E954AA"/>
    <w:sectPr w:rsidR="00E95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AA"/>
    <w:rsid w:val="00914ADE"/>
    <w:rsid w:val="00D51643"/>
    <w:rsid w:val="00E9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D6E52"/>
  <w15:chartTrackingRefBased/>
  <w15:docId w15:val="{A0CB8877-1E2B-45A1-A3B3-6C9AB8AD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4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4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4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4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4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1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83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314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82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059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 THEE YONG</dc:creator>
  <cp:keywords/>
  <dc:description/>
  <cp:lastModifiedBy>HENG THEE YONG</cp:lastModifiedBy>
  <cp:revision>1</cp:revision>
  <dcterms:created xsi:type="dcterms:W3CDTF">2025-05-07T18:03:00Z</dcterms:created>
  <dcterms:modified xsi:type="dcterms:W3CDTF">2025-05-07T18:08:00Z</dcterms:modified>
</cp:coreProperties>
</file>