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566" w:type="dxa"/>
        <w:tblLook w:val="04A0" w:firstRow="1" w:lastRow="0" w:firstColumn="1" w:lastColumn="0" w:noHBand="0" w:noVBand="1"/>
      </w:tblPr>
      <w:tblGrid>
        <w:gridCol w:w="1556"/>
        <w:gridCol w:w="1929"/>
        <w:gridCol w:w="1506"/>
        <w:gridCol w:w="2060"/>
      </w:tblGrid>
      <w:tr w:rsidR="00051E49" w:rsidTr="00051E49">
        <w:tc>
          <w:tcPr>
            <w:tcW w:w="1462" w:type="dxa"/>
          </w:tcPr>
          <w:p w:rsidR="00051E49" w:rsidRDefault="00051E49">
            <w:r>
              <w:t>Stakeholder group</w:t>
            </w:r>
          </w:p>
        </w:tc>
        <w:tc>
          <w:tcPr>
            <w:tcW w:w="1090" w:type="dxa"/>
          </w:tcPr>
          <w:p w:rsidR="00051E49" w:rsidRDefault="00051E49">
            <w:r>
              <w:t>Interest/</w:t>
            </w:r>
          </w:p>
          <w:p w:rsidR="00051E49" w:rsidRDefault="00051E49">
            <w:r>
              <w:t>impact</w:t>
            </w:r>
          </w:p>
        </w:tc>
        <w:tc>
          <w:tcPr>
            <w:tcW w:w="1507" w:type="dxa"/>
          </w:tcPr>
          <w:p w:rsidR="00051E49" w:rsidRDefault="00051E49">
            <w:r>
              <w:t xml:space="preserve">Engagement level </w:t>
            </w:r>
          </w:p>
        </w:tc>
        <w:tc>
          <w:tcPr>
            <w:tcW w:w="1507" w:type="dxa"/>
          </w:tcPr>
          <w:p w:rsidR="00051E49" w:rsidRDefault="00051E49">
            <w:r>
              <w:t>Potential actions</w:t>
            </w:r>
          </w:p>
        </w:tc>
      </w:tr>
      <w:tr w:rsidR="00051E49" w:rsidTr="00051E49">
        <w:tc>
          <w:tcPr>
            <w:tcW w:w="1462" w:type="dxa"/>
          </w:tcPr>
          <w:p w:rsidR="00051E49" w:rsidRDefault="00051E49">
            <w:r>
              <w:t>Bank executives</w:t>
            </w:r>
          </w:p>
        </w:tc>
        <w:tc>
          <w:tcPr>
            <w:tcW w:w="1090" w:type="dxa"/>
          </w:tcPr>
          <w:p w:rsidR="00826766" w:rsidRDefault="00826766">
            <w:r>
              <w:t xml:space="preserve">Strategic </w:t>
            </w:r>
            <w:proofErr w:type="spellStart"/>
            <w:r>
              <w:t>alignment</w:t>
            </w:r>
            <w:r w:rsidR="008E3695">
              <w:t>,ROI</w:t>
            </w:r>
            <w:proofErr w:type="spellEnd"/>
            <w:r w:rsidR="008E3695">
              <w:t>, operational efficiency</w:t>
            </w:r>
          </w:p>
        </w:tc>
        <w:tc>
          <w:tcPr>
            <w:tcW w:w="1507" w:type="dxa"/>
          </w:tcPr>
          <w:p w:rsidR="00051E49" w:rsidRDefault="00D5174C">
            <w:r>
              <w:t xml:space="preserve">High </w:t>
            </w:r>
          </w:p>
        </w:tc>
        <w:tc>
          <w:tcPr>
            <w:tcW w:w="1507" w:type="dxa"/>
          </w:tcPr>
          <w:p w:rsidR="00051E49" w:rsidRDefault="00D5174C">
            <w:r>
              <w:t xml:space="preserve">Regular strategy </w:t>
            </w:r>
            <w:proofErr w:type="spellStart"/>
            <w:r>
              <w:t>meetings,process</w:t>
            </w:r>
            <w:proofErr w:type="spellEnd"/>
            <w:r>
              <w:t xml:space="preserve"> reports</w:t>
            </w:r>
          </w:p>
        </w:tc>
      </w:tr>
      <w:tr w:rsidR="00051E49" w:rsidTr="00051E49">
        <w:tc>
          <w:tcPr>
            <w:tcW w:w="1462" w:type="dxa"/>
          </w:tcPr>
          <w:p w:rsidR="00051E49" w:rsidRDefault="00DB4476">
            <w:r>
              <w:t>It department</w:t>
            </w:r>
          </w:p>
        </w:tc>
        <w:tc>
          <w:tcPr>
            <w:tcW w:w="1090" w:type="dxa"/>
          </w:tcPr>
          <w:p w:rsidR="00051E49" w:rsidRDefault="00AF6820">
            <w:r>
              <w:t>Implementation system inte</w:t>
            </w:r>
            <w:r w:rsidR="002675AA">
              <w:t xml:space="preserve">gration </w:t>
            </w:r>
            <w:r>
              <w:t>security</w:t>
            </w:r>
          </w:p>
        </w:tc>
        <w:tc>
          <w:tcPr>
            <w:tcW w:w="1507" w:type="dxa"/>
          </w:tcPr>
          <w:p w:rsidR="00051E49" w:rsidRDefault="00441FD0">
            <w:r>
              <w:t>High</w:t>
            </w:r>
          </w:p>
        </w:tc>
        <w:tc>
          <w:tcPr>
            <w:tcW w:w="1507" w:type="dxa"/>
          </w:tcPr>
          <w:p w:rsidR="00051E49" w:rsidRDefault="00DA4523">
            <w:r>
              <w:t>Technical workshops, ongoing training</w:t>
            </w:r>
          </w:p>
        </w:tc>
      </w:tr>
      <w:tr w:rsidR="00051E49" w:rsidTr="00051E49">
        <w:tc>
          <w:tcPr>
            <w:tcW w:w="1462" w:type="dxa"/>
          </w:tcPr>
          <w:p w:rsidR="00051E49" w:rsidRDefault="00DB4476">
            <w:r>
              <w:t>Employees</w:t>
            </w:r>
          </w:p>
        </w:tc>
        <w:tc>
          <w:tcPr>
            <w:tcW w:w="1090" w:type="dxa"/>
          </w:tcPr>
          <w:p w:rsidR="00051E49" w:rsidRDefault="00026BAC">
            <w:r>
              <w:t>User experience, job roles, training needs</w:t>
            </w:r>
          </w:p>
        </w:tc>
        <w:tc>
          <w:tcPr>
            <w:tcW w:w="1507" w:type="dxa"/>
          </w:tcPr>
          <w:p w:rsidR="00051E49" w:rsidRDefault="00026BAC">
            <w:r>
              <w:t>High</w:t>
            </w:r>
          </w:p>
        </w:tc>
        <w:tc>
          <w:tcPr>
            <w:tcW w:w="1507" w:type="dxa"/>
          </w:tcPr>
          <w:p w:rsidR="00051E49" w:rsidRDefault="005269FE">
            <w:r>
              <w:t>Training sessions, feedback mechanisms</w:t>
            </w:r>
          </w:p>
        </w:tc>
      </w:tr>
      <w:tr w:rsidR="00051E49" w:rsidTr="00051E49">
        <w:tc>
          <w:tcPr>
            <w:tcW w:w="1462" w:type="dxa"/>
          </w:tcPr>
          <w:p w:rsidR="00051E49" w:rsidRDefault="00DB4476">
            <w:r>
              <w:t>Customers</w:t>
            </w:r>
          </w:p>
        </w:tc>
        <w:tc>
          <w:tcPr>
            <w:tcW w:w="1090" w:type="dxa"/>
          </w:tcPr>
          <w:p w:rsidR="00051E49" w:rsidRDefault="005269FE">
            <w:r>
              <w:t>Improved services, security, accessibility</w:t>
            </w:r>
          </w:p>
        </w:tc>
        <w:tc>
          <w:tcPr>
            <w:tcW w:w="1507" w:type="dxa"/>
          </w:tcPr>
          <w:p w:rsidR="00051E49" w:rsidRDefault="00542024">
            <w:r>
              <w:t>High</w:t>
            </w:r>
          </w:p>
        </w:tc>
        <w:tc>
          <w:tcPr>
            <w:tcW w:w="1507" w:type="dxa"/>
          </w:tcPr>
          <w:p w:rsidR="00051E49" w:rsidRDefault="00542024">
            <w:r>
              <w:t>Customer service, group</w:t>
            </w:r>
            <w:r w:rsidR="006B290B">
              <w:t>s</w:t>
            </w:r>
          </w:p>
        </w:tc>
      </w:tr>
      <w:tr w:rsidR="00051E49" w:rsidTr="00051E49">
        <w:tc>
          <w:tcPr>
            <w:tcW w:w="1462" w:type="dxa"/>
          </w:tcPr>
          <w:p w:rsidR="00051E49" w:rsidRDefault="00B265E4">
            <w:r>
              <w:t>Regulatory bodies</w:t>
            </w:r>
          </w:p>
        </w:tc>
        <w:tc>
          <w:tcPr>
            <w:tcW w:w="1090" w:type="dxa"/>
          </w:tcPr>
          <w:p w:rsidR="00051E49" w:rsidRDefault="006B290B">
            <w:r>
              <w:t>Complaince, data protection, security standards</w:t>
            </w:r>
          </w:p>
        </w:tc>
        <w:tc>
          <w:tcPr>
            <w:tcW w:w="1507" w:type="dxa"/>
          </w:tcPr>
          <w:p w:rsidR="00051E49" w:rsidRDefault="00CF60BF">
            <w:r>
              <w:t>High</w:t>
            </w:r>
          </w:p>
        </w:tc>
        <w:tc>
          <w:tcPr>
            <w:tcW w:w="1507" w:type="dxa"/>
          </w:tcPr>
          <w:p w:rsidR="00051E49" w:rsidRDefault="00CF60BF">
            <w:r>
              <w:t xml:space="preserve">Complaints reports, regular </w:t>
            </w:r>
          </w:p>
          <w:p w:rsidR="00CF60BF" w:rsidRDefault="00CF60BF">
            <w:proofErr w:type="spellStart"/>
            <w:r>
              <w:t>audites</w:t>
            </w:r>
            <w:proofErr w:type="spellEnd"/>
          </w:p>
        </w:tc>
      </w:tr>
      <w:tr w:rsidR="00051E49" w:rsidTr="00051E49">
        <w:tc>
          <w:tcPr>
            <w:tcW w:w="1462" w:type="dxa"/>
          </w:tcPr>
          <w:p w:rsidR="00051E49" w:rsidRDefault="00010D68">
            <w:r>
              <w:t>Share holders</w:t>
            </w:r>
          </w:p>
        </w:tc>
        <w:tc>
          <w:tcPr>
            <w:tcW w:w="1090" w:type="dxa"/>
          </w:tcPr>
          <w:p w:rsidR="00051E49" w:rsidRDefault="0048715A">
            <w:r>
              <w:t>Financial problems market competitive</w:t>
            </w:r>
            <w:r w:rsidR="00577110">
              <w:t>ness</w:t>
            </w:r>
          </w:p>
        </w:tc>
        <w:tc>
          <w:tcPr>
            <w:tcW w:w="1507" w:type="dxa"/>
          </w:tcPr>
          <w:p w:rsidR="00051E49" w:rsidRDefault="00577110">
            <w:r>
              <w:t xml:space="preserve">Medium </w:t>
            </w:r>
          </w:p>
        </w:tc>
        <w:tc>
          <w:tcPr>
            <w:tcW w:w="1507" w:type="dxa"/>
          </w:tcPr>
          <w:p w:rsidR="00051E49" w:rsidRDefault="00577110">
            <w:proofErr w:type="spellStart"/>
            <w:r>
              <w:t>Invester</w:t>
            </w:r>
            <w:proofErr w:type="spellEnd"/>
            <w:r>
              <w:t xml:space="preserve"> updates, performance reports</w:t>
            </w:r>
          </w:p>
        </w:tc>
      </w:tr>
      <w:tr w:rsidR="00051E49" w:rsidTr="00051E49">
        <w:tc>
          <w:tcPr>
            <w:tcW w:w="1462" w:type="dxa"/>
          </w:tcPr>
          <w:p w:rsidR="00010D68" w:rsidRDefault="00010D68">
            <w:r>
              <w:t>Vendors/</w:t>
            </w:r>
          </w:p>
          <w:p w:rsidR="00051E49" w:rsidRDefault="00010D68">
            <w:r>
              <w:t>partners</w:t>
            </w:r>
          </w:p>
        </w:tc>
        <w:tc>
          <w:tcPr>
            <w:tcW w:w="1090" w:type="dxa"/>
          </w:tcPr>
          <w:p w:rsidR="00051E49" w:rsidRDefault="00876026">
            <w:r>
              <w:t>Collaboration opportunities, technology support</w:t>
            </w:r>
          </w:p>
        </w:tc>
        <w:tc>
          <w:tcPr>
            <w:tcW w:w="1507" w:type="dxa"/>
          </w:tcPr>
          <w:p w:rsidR="00051E49" w:rsidRDefault="00876026">
            <w:r>
              <w:t>Medium</w:t>
            </w:r>
          </w:p>
        </w:tc>
        <w:tc>
          <w:tcPr>
            <w:tcW w:w="1507" w:type="dxa"/>
          </w:tcPr>
          <w:p w:rsidR="00051E49" w:rsidRDefault="00613238">
            <w:r>
              <w:t>Partnership meetings, product Demos</w:t>
            </w:r>
          </w:p>
        </w:tc>
      </w:tr>
      <w:tr w:rsidR="00051E49" w:rsidTr="00051E49">
        <w:tc>
          <w:tcPr>
            <w:tcW w:w="1462" w:type="dxa"/>
          </w:tcPr>
          <w:p w:rsidR="00051E49" w:rsidRDefault="00A03B22">
            <w:r>
              <w:t>Cyber security experts</w:t>
            </w:r>
          </w:p>
        </w:tc>
        <w:tc>
          <w:tcPr>
            <w:tcW w:w="1090" w:type="dxa"/>
          </w:tcPr>
          <w:p w:rsidR="00051E49" w:rsidRDefault="008F383B">
            <w:r>
              <w:t>Risk management, system in</w:t>
            </w:r>
            <w:r w:rsidR="00871E09">
              <w:t>tegrity</w:t>
            </w:r>
          </w:p>
        </w:tc>
        <w:tc>
          <w:tcPr>
            <w:tcW w:w="1507" w:type="dxa"/>
          </w:tcPr>
          <w:p w:rsidR="00051E49" w:rsidRDefault="00871E09">
            <w:r>
              <w:t>Medium</w:t>
            </w:r>
          </w:p>
        </w:tc>
        <w:tc>
          <w:tcPr>
            <w:tcW w:w="1507" w:type="dxa"/>
          </w:tcPr>
          <w:p w:rsidR="00051E49" w:rsidRDefault="00871E09">
            <w:r>
              <w:t>Risk ass</w:t>
            </w:r>
            <w:r w:rsidR="00F74EA7">
              <w:t>ess</w:t>
            </w:r>
            <w:r>
              <w:t>ments security training</w:t>
            </w:r>
          </w:p>
        </w:tc>
      </w:tr>
      <w:tr w:rsidR="00051E49" w:rsidTr="00051E49">
        <w:tc>
          <w:tcPr>
            <w:tcW w:w="1462" w:type="dxa"/>
          </w:tcPr>
          <w:p w:rsidR="00051E49" w:rsidRDefault="00FF75B3">
            <w:r>
              <w:t>Industry analysts</w:t>
            </w:r>
          </w:p>
        </w:tc>
        <w:tc>
          <w:tcPr>
            <w:tcW w:w="1090" w:type="dxa"/>
          </w:tcPr>
          <w:p w:rsidR="00051E49" w:rsidRDefault="0035531B">
            <w:r>
              <w:t>Trades, benchmarks, and performance evalu</w:t>
            </w:r>
            <w:r w:rsidR="00BB3B01">
              <w:t>a</w:t>
            </w:r>
            <w:r>
              <w:t>tion</w:t>
            </w:r>
          </w:p>
        </w:tc>
        <w:tc>
          <w:tcPr>
            <w:tcW w:w="1507" w:type="dxa"/>
          </w:tcPr>
          <w:p w:rsidR="00051E49" w:rsidRDefault="00BB3B01">
            <w:r>
              <w:t>Low to medium</w:t>
            </w:r>
          </w:p>
        </w:tc>
        <w:tc>
          <w:tcPr>
            <w:tcW w:w="1507" w:type="dxa"/>
          </w:tcPr>
          <w:p w:rsidR="00051E49" w:rsidRDefault="00124A7C">
            <w:r>
              <w:t>Participation in industry conferences</w:t>
            </w:r>
          </w:p>
        </w:tc>
      </w:tr>
      <w:tr w:rsidR="00051E49" w:rsidTr="00051E49">
        <w:tc>
          <w:tcPr>
            <w:tcW w:w="1462" w:type="dxa"/>
          </w:tcPr>
          <w:p w:rsidR="00051E49" w:rsidRDefault="00FF75B3">
            <w:r>
              <w:t xml:space="preserve">Community </w:t>
            </w:r>
            <w:r w:rsidR="00AF58CF">
              <w:t>stakeholders</w:t>
            </w:r>
          </w:p>
        </w:tc>
        <w:tc>
          <w:tcPr>
            <w:tcW w:w="1090" w:type="dxa"/>
          </w:tcPr>
          <w:p w:rsidR="00051E49" w:rsidRDefault="00F87A7A">
            <w:r>
              <w:t>Social responsibility, economic impact</w:t>
            </w:r>
          </w:p>
        </w:tc>
        <w:tc>
          <w:tcPr>
            <w:tcW w:w="1507" w:type="dxa"/>
          </w:tcPr>
          <w:p w:rsidR="00051E49" w:rsidRDefault="00F87A7A">
            <w:r>
              <w:t>Low</w:t>
            </w:r>
          </w:p>
        </w:tc>
        <w:tc>
          <w:tcPr>
            <w:tcW w:w="1507" w:type="dxa"/>
          </w:tcPr>
          <w:p w:rsidR="00051E49" w:rsidRDefault="00F87A7A">
            <w:r>
              <w:t xml:space="preserve">Community engagement </w:t>
            </w:r>
            <w:r w:rsidR="00F87DE8">
              <w:t xml:space="preserve"> initiatives</w:t>
            </w:r>
          </w:p>
        </w:tc>
      </w:tr>
    </w:tbl>
    <w:p w:rsidR="000E1B05" w:rsidRDefault="000E1B05"/>
    <w:sectPr w:rsidR="000E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1A"/>
    <w:rsid w:val="00010D68"/>
    <w:rsid w:val="00026BAC"/>
    <w:rsid w:val="00051E49"/>
    <w:rsid w:val="000E1B05"/>
    <w:rsid w:val="001223C3"/>
    <w:rsid w:val="00124A7C"/>
    <w:rsid w:val="002675AA"/>
    <w:rsid w:val="0035531B"/>
    <w:rsid w:val="00441FD0"/>
    <w:rsid w:val="0048715A"/>
    <w:rsid w:val="005269FE"/>
    <w:rsid w:val="00542024"/>
    <w:rsid w:val="00577110"/>
    <w:rsid w:val="00613238"/>
    <w:rsid w:val="00650B9D"/>
    <w:rsid w:val="006B290B"/>
    <w:rsid w:val="006C6D1A"/>
    <w:rsid w:val="00826766"/>
    <w:rsid w:val="00871E09"/>
    <w:rsid w:val="00876026"/>
    <w:rsid w:val="008E3695"/>
    <w:rsid w:val="008F383B"/>
    <w:rsid w:val="009D5408"/>
    <w:rsid w:val="00A03B22"/>
    <w:rsid w:val="00AF58CF"/>
    <w:rsid w:val="00AF6820"/>
    <w:rsid w:val="00B265E4"/>
    <w:rsid w:val="00BB3B01"/>
    <w:rsid w:val="00CF60BF"/>
    <w:rsid w:val="00D5174C"/>
    <w:rsid w:val="00DA4523"/>
    <w:rsid w:val="00DB4476"/>
    <w:rsid w:val="00F36A01"/>
    <w:rsid w:val="00F74EA7"/>
    <w:rsid w:val="00F87A7A"/>
    <w:rsid w:val="00F87DE8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BEAD"/>
  <w15:chartTrackingRefBased/>
  <w15:docId w15:val="{833DB1A1-4B03-2344-94EA-7D00BE9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D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37</cp:revision>
  <dcterms:created xsi:type="dcterms:W3CDTF">2024-09-20T07:32:00Z</dcterms:created>
  <dcterms:modified xsi:type="dcterms:W3CDTF">2024-09-20T07:53:00Z</dcterms:modified>
</cp:coreProperties>
</file>