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Yu Gothic" w:cs="Yu Gothic" w:eastAsia="Yu Gothic" w:hAnsi="Yu Gothic"/>
          <w:b/>
          <w:bCs/>
          <w:color w:val="888888"/>
          <w:sz w:val="24"/>
          <w:szCs w:val="24"/>
        </w:rPr>
        <w:t xml:space="preserve">ReCorta LLC</w:t>
      </w:r>
    </w:p>
    <w:p>
      <w:pPr>
        <w:pBdr>
          <w:bottom w:val="single" w:color="1A4D2E" w:sz="8" w:space="8"/>
        </w:pBdr>
        <w:spacing w:before="0" w:after="160"/>
        <w:jc w:val="center"/>
      </w:pPr>
      <w:r>
        <w:rPr>
          <w:rFonts w:ascii="Yu Gothic" w:cs="Yu Gothic" w:eastAsia="Yu Gothic" w:hAnsi="Yu Gothic"/>
          <w:b/>
          <w:bCs/>
          <w:color w:val="1A4D2E"/>
          <w:sz w:val="72"/>
          <w:szCs w:val="72"/>
        </w:rPr>
        <w:t xml:space="preserve">EIAツールキット</w:t>
      </w:r>
    </w:p>
    <w:p>
      <w:pPr>
        <w:spacing w:before="200" w:after="80"/>
        <w:jc w:val="center"/>
      </w:pPr>
      <w:r>
        <w:rPr>
          <w:rFonts w:ascii="Yu Gothic" w:cs="Yu Gothic" w:eastAsia="Yu Gothic" w:hAnsi="Yu Gothic"/>
          <w:color w:val="C4622D"/>
          <w:sz w:val="32"/>
          <w:szCs w:val="32"/>
        </w:rPr>
        <w:t xml:space="preserve">市場調査・製品戦略 完全版</w:t>
      </w:r>
    </w:p>
    <w:p>
      <w:pPr>
        <w:spacing w:before="80" w:after="0"/>
        <w:jc w:val="center"/>
      </w:pPr>
      <w:r>
        <w:rPr>
          <w:rFonts w:ascii="Yu Gothic" w:cs="Yu Gothic" w:eastAsia="Yu Gothic" w:hAnsi="Yu Gothic"/>
          <w:i/>
          <w:iCs/>
          <w:color w:val="888888"/>
          <w:sz w:val="24"/>
          <w:szCs w:val="24"/>
        </w:rPr>
        <w:t xml:space="preserve">生物多様性環境影響評価ソフトウェア — 日本市場</w:t>
      </w:r>
    </w:p>
    <w:p>
      <w:pPr>
        <w:spacing w:before="800" w:after="0"/>
        <w:jc w:val="center"/>
      </w:pPr>
      <w:r>
        <w:rPr>
          <w:rFonts w:ascii="Yu Gothic" w:cs="Yu Gothic" w:eastAsia="Yu Gothic" w:hAnsi="Yu Gothic"/>
          <w:color w:val="AAAAAA"/>
          <w:sz w:val="20"/>
          <w:szCs w:val="20"/>
        </w:rPr>
        <w:t xml:space="preserve">2026年3月  |  社外秘</w:t>
      </w:r>
    </w:p>
    <w:p>
      <w:r>
        <w:br w:type="page"/>
      </w: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第1章　エグゼクティブサマリー</w:t>
      </w:r>
    </w:p>
    <w:p>
      <w:pPr>
        <w:spacing w:before="80" w:after="80"/>
      </w:pPr>
      <w:r>
        <w:rPr>
          <w:rFonts w:ascii="Yu Gothic" w:cs="Yu Gothic" w:eastAsia="Yu Gothic" w:hAnsi="Yu Gothic"/>
          <w:color w:val="1A1A1A"/>
          <w:sz w:val="22"/>
          <w:szCs w:val="22"/>
        </w:rPr>
        <w:t xml:space="preserve">環境影響評価法（以下、環境アセスメント法）は、道路・ダム・鉄道・風力発電・太陽光発電・港湾拡張など、年間数百件におよぶ大規模事業に対して生物多様性の調査・報告を義務付けています。しかし2026年現在、現地調査の設計から行政への提出書類作成に至る全プロセスは、Excelのスプレッドシート・メールのやり取り・Wordによる報告書作成で管理されているのが実態です。日本の法令要件に特化した専用ソフトウェアプラットフォームは存在しません。</w:t>
      </w:r>
    </w:p>
    <w:p>
      <w:pPr>
        <w:spacing w:before="120" w:after="0"/>
      </w:pPr>
    </w:p>
    <w:p>
      <w:pPr>
        <w:spacing w:before="80" w:after="80"/>
      </w:pPr>
      <w:r>
        <w:rPr>
          <w:rFonts w:ascii="Yu Gothic" w:cs="Yu Gothic" w:eastAsia="Yu Gothic" w:hAnsi="Yu Gothic"/>
          <w:color w:val="1A1A1A"/>
          <w:sz w:val="22"/>
          <w:szCs w:val="22"/>
        </w:rPr>
        <w:t xml:space="preserve">EIAツールキットは、このギャップを解消するReCortaの回答です。日本の環境コンサルタント・建設会社・インフラ開発事業者を対象に、生物多様性分野の環境影響評価ワークフロー全体をデジタル化するWeb＋モバイルのSaaSプラットフォームです。WildCatcherとのネイティブ統合を備え、関連する国内法令・レッドリストデータベース・行政報告書式に完全準拠した、日本初の目的特化型AIパワードEIA生物多様性管理システムです。</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D2E" w:sz="12"/>
              <w:bottom w:val="none" w:color="FFFFFF" w:sz="0"/>
              <w:right w:val="none" w:color="FFFFFF" w:sz="0"/>
            </w:tcBorders>
            <w:shd w:fill="E8F4EC" w:val="clear"/>
            <w:tcMar>
              <w:top w:type="dxa" w:w="120"/>
              <w:left w:type="dxa" w:w="240"/>
              <w:bottom w:type="dxa" w:w="120"/>
              <w:right w:type="dxa" w:w="120"/>
            </w:tcMar>
          </w:tcPr>
          <w:p>
            <w:r>
              <w:rPr>
                <w:rFonts w:ascii="Yu Gothic" w:cs="Yu Gothic" w:eastAsia="Yu Gothic" w:hAnsi="Yu Gothic"/>
                <w:color w:val="1A1A1A"/>
                <w:sz w:val="22"/>
                <w:szCs w:val="22"/>
              </w:rPr>
              <w:t xml:space="preserve">重要な市場データ：日本の環境コンサルティング市場は2019年時点で約3,086億円（Statista）。世界のEIA市場は年率28%成長で2028年に1,030億ドル規模へと予測されています。また、日本は世界で最も多くのTNFD採用企業を擁し、2025年7月時点で182社が国際的な自然関連財務情報開示タスクフォースへの参加を表明しています（</w:t>
            </w:r>
            <w:hyperlink w:history="1" r:id="rIdaxybmx789taz6rdeu9rvh">
              <w:r>
                <w:rPr>
                  <w:rFonts w:ascii="Yu Gothic" w:cs="Yu Gothic" w:eastAsia="Yu Gothic" w:hAnsi="Yu Gothic"/>
                  <w:color w:val="1155CC"/>
                  <w:sz w:val="22"/>
                  <w:szCs w:val="22"/>
                  <w:u w:val="single" w:color="1155CC"/>
                </w:rPr>
                <w:t xml:space="preserve">TNFD公式サイト</w:t>
              </w:r>
            </w:hyperlink>
            <w:r>
              <w:rPr>
                <w:rFonts w:ascii="Yu Gothic" w:cs="Yu Gothic" w:eastAsia="Yu Gothic" w:hAnsi="Yu Gothic"/>
                <w:color w:val="1A1A1A"/>
                <w:sz w:val="22"/>
                <w:szCs w:val="22"/>
              </w:rPr>
              <w:t xml:space="preserve">）。本製品を取り巻く規制・商業両面の追い風は極めて強力です。</w:t>
            </w:r>
          </w:p>
        </w:tc>
      </w:tr>
    </w:tbl>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第2章　日本の法的枠組み</w:t>
      </w:r>
    </w:p>
    <w:p>
      <w:pPr>
        <w:spacing w:before="80" w:after="80"/>
      </w:pPr>
      <w:r>
        <w:rPr>
          <w:rFonts w:ascii="Yu Gothic" w:cs="Yu Gothic" w:eastAsia="Yu Gothic" w:hAnsi="Yu Gothic"/>
          <w:color w:val="1A1A1A"/>
          <w:sz w:val="22"/>
          <w:szCs w:val="22"/>
        </w:rPr>
        <w:t xml:space="preserve">コンサルタントやクライアントが信頼し導入するプロダクトを構築するためには、正確な法的枠組みの理解が不可欠です。EIAツールキットは、この法的アーキテクチャの上に構築する必要があります。</w:t>
      </w:r>
    </w:p>
    <w:p>
      <w:pPr>
        <w:spacing w:before="120" w:after="0"/>
      </w:pPr>
    </w:p>
    <w:p>
      <w:pPr>
        <w:pStyle w:val="Heading2"/>
        <w:spacing w:before="360" w:after="160"/>
      </w:pPr>
      <w:r>
        <w:rPr>
          <w:rFonts w:ascii="Yu Gothic" w:cs="Yu Gothic" w:eastAsia="Yu Gothic" w:hAnsi="Yu Gothic"/>
          <w:b/>
          <w:bCs/>
          <w:color w:val="1A4D2E"/>
          <w:sz w:val="28"/>
          <w:szCs w:val="28"/>
        </w:rPr>
        <w:t xml:space="preserve">2.1 主要法令：環境影響評価法</w:t>
      </w:r>
    </w:p>
    <w:p>
      <w:pPr>
        <w:spacing w:before="80" w:after="80"/>
      </w:pPr>
      <w:r>
        <w:rPr>
          <w:rFonts w:ascii="Yu Gothic" w:cs="Yu Gothic" w:eastAsia="Yu Gothic" w:hAnsi="Yu Gothic"/>
          <w:color w:val="1A1A1A"/>
          <w:sz w:val="22"/>
          <w:szCs w:val="22"/>
        </w:rPr>
        <w:t xml:space="preserve">1997年制定（平成9年法律第81号）、2014年最終改正。日本の環境アセスメント制度の根幹をなす法律です。許認可取得前における大規模事業への手続きを法的に義務付けています。法令原文は </w:t>
      </w:r>
      <w:hyperlink w:history="1" r:id="rIdrkezvqgvhv0qlevz6ok9d">
        <w:r>
          <w:rPr>
            <w:rFonts w:ascii="Yu Gothic" w:cs="Yu Gothic" w:eastAsia="Yu Gothic" w:hAnsi="Yu Gothic"/>
            <w:color w:val="1155CC"/>
            <w:sz w:val="22"/>
            <w:szCs w:val="22"/>
            <w:u w:val="single" w:color="1155CC"/>
          </w:rPr>
          <w:t xml:space="preserve">e-Gov法令検索（環境影響評価法）</w:t>
        </w:r>
      </w:hyperlink>
      <w:r>
        <w:rPr>
          <w:rFonts w:ascii="Yu Gothic" w:cs="Yu Gothic" w:eastAsia="Yu Gothic" w:hAnsi="Yu Gothic"/>
          <w:color w:val="1A1A1A"/>
          <w:sz w:val="22"/>
          <w:szCs w:val="22"/>
        </w:rPr>
        <w:t xml:space="preserve"> で参照できます。環境省による英文解説は </w:t>
      </w:r>
      <w:hyperlink w:history="1" r:id="rId7qgbxu1bcc_gglveia3s8">
        <w:r>
          <w:rPr>
            <w:rFonts w:ascii="Yu Gothic" w:cs="Yu Gothic" w:eastAsia="Yu Gothic" w:hAnsi="Yu Gothic"/>
            <w:color w:val="1155CC"/>
            <w:sz w:val="22"/>
            <w:szCs w:val="22"/>
            <w:u w:val="single" w:color="1155CC"/>
          </w:rPr>
          <w:t xml:space="preserve">こちら</w:t>
        </w:r>
      </w:hyperlink>
      <w:r>
        <w:rPr>
          <w:rFonts w:ascii="Yu Gothic" w:cs="Yu Gothic" w:eastAsia="Yu Gothic" w:hAnsi="Yu Gothic"/>
          <w:color w:val="1A1A1A"/>
          <w:sz w:val="22"/>
          <w:szCs w:val="22"/>
        </w:rPr>
        <w:t xml:space="preserve"> をご参照ください。</w:t>
      </w:r>
    </w:p>
    <w:p>
      <w:pPr>
        <w:spacing w:before="120" w:after="0"/>
      </w:pPr>
    </w:p>
    <w:p>
      <w:pPr>
        <w:pStyle w:val="Heading3"/>
        <w:spacing w:before="240" w:after="100"/>
      </w:pPr>
      <w:r>
        <w:rPr>
          <w:rFonts w:ascii="Yu Gothic" w:cs="Yu Gothic" w:eastAsia="Yu Gothic" w:hAnsi="Yu Gothic"/>
          <w:b/>
          <w:bCs/>
          <w:color w:val="C4622D"/>
          <w:sz w:val="24"/>
          <w:szCs w:val="24"/>
        </w:rPr>
        <w:t xml:space="preserve">事業の分類</w:t>
      </w:r>
    </w:p>
    <w:p>
      <w:pPr>
        <w:pStyle w:val="ListParagraph"/>
        <w:numPr>
          <w:ilvl w:val="0"/>
          <w:numId w:val="2"/>
        </w:numPr>
        <w:spacing w:before="60" w:after="60"/>
      </w:pPr>
      <w:r>
        <w:rPr>
          <w:rFonts w:ascii="Yu Gothic" w:cs="Yu Gothic" w:eastAsia="Yu Gothic" w:hAnsi="Yu Gothic"/>
          <w:color w:val="1A1A1A"/>
          <w:sz w:val="22"/>
          <w:szCs w:val="22"/>
        </w:rPr>
        <w:t xml:space="preserve">第一種事業（必須EIA）：規模の閾値により自動的にEIAが義務付けられる事業。例：延長10km以上の道路、高さ7.5m以上のダム、延長10km以上の鉄道、15万kW以上の火力発電所、滑走路2,500m以上の空港、面積50ha以上の埋立・干拓、面積30ha以上の廃棄物最終処分場。</w:t>
      </w:r>
    </w:p>
    <w:p>
      <w:pPr>
        <w:pStyle w:val="ListParagraph"/>
        <w:numPr>
          <w:ilvl w:val="0"/>
          <w:numId w:val="2"/>
        </w:numPr>
        <w:spacing w:before="60" w:after="60"/>
      </w:pPr>
      <w:r>
        <w:rPr>
          <w:rFonts w:ascii="Yu Gothic" w:cs="Yu Gothic" w:eastAsia="Yu Gothic" w:hAnsi="Yu Gothic"/>
          <w:color w:val="1A1A1A"/>
          <w:sz w:val="22"/>
          <w:szCs w:val="22"/>
        </w:rPr>
        <w:t xml:space="preserve">第二種事業（判定EIA）：第一種の規模基準の75〜100%に相当する事業。主務大臣が事業ごとにEIA実施の要否を個別判断します。</w:t>
      </w:r>
    </w:p>
    <w:p>
      <w:pPr>
        <w:pStyle w:val="ListParagraph"/>
        <w:numPr>
          <w:ilvl w:val="0"/>
          <w:numId w:val="2"/>
        </w:numPr>
        <w:spacing w:before="60" w:after="60"/>
      </w:pPr>
      <w:r>
        <w:rPr>
          <w:rFonts w:ascii="Yu Gothic" w:cs="Yu Gothic" w:eastAsia="Yu Gothic" w:hAnsi="Yu Gothic"/>
          <w:color w:val="1A1A1A"/>
          <w:sz w:val="22"/>
          <w:szCs w:val="22"/>
        </w:rPr>
        <w:t xml:space="preserve">条例事業：都道府県が独自の条例により定める事業。東京都・大阪府・神奈川県・愛知県など、多くの都道府県が国の基準より小規模な事業にも独自のEIA制度を設けています。</w:t>
      </w:r>
    </w:p>
    <w:p>
      <w:pPr>
        <w:spacing w:before="120" w:after="0"/>
      </w:pPr>
    </w:p>
    <w:p>
      <w:pPr>
        <w:pStyle w:val="Heading3"/>
        <w:spacing w:before="240" w:after="100"/>
      </w:pPr>
      <w:r>
        <w:rPr>
          <w:rFonts w:ascii="Yu Gothic" w:cs="Yu Gothic" w:eastAsia="Yu Gothic" w:hAnsi="Yu Gothic"/>
          <w:b/>
          <w:bCs/>
          <w:color w:val="C4622D"/>
          <w:sz w:val="24"/>
          <w:szCs w:val="24"/>
        </w:rPr>
        <w:t xml:space="preserve">法定EIA手続き（7段階）</w:t>
      </w:r>
    </w:p>
    <w:p>
      <w:pPr>
        <w:spacing w:before="80" w:after="80"/>
      </w:pPr>
      <w:r>
        <w:rPr>
          <w:rFonts w:ascii="Yu Gothic" w:cs="Yu Gothic" w:eastAsia="Yu Gothic" w:hAnsi="Yu Gothic"/>
          <w:color w:val="1A1A1A"/>
          <w:sz w:val="22"/>
          <w:szCs w:val="22"/>
        </w:rPr>
        <w:t xml:space="preserve">EIAツールキットは、法定の7段階手続き全てをサポートする必要があります。</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段階</w:t>
            </w:r>
          </w:p>
        </w:tc>
        <w:tc>
          <w:tcPr>
            <w:tcW w:type="dxa" w:w="26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手続き名</w:t>
            </w:r>
          </w:p>
        </w:tc>
        <w:tc>
          <w:tcPr>
            <w:tcW w:type="dxa" w:w="61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内容とツールキットの機能</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配慮書手続</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事業者による早期の環境配慮。ツールキット：プロジェクト設定・初期スコーピング・生息地感度事前スクリーニング。</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方法書手続</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調査手法に関する公告・縦覧・意見聴取。ツールキット：調査設計モジュール・ステークホルダー意見ログ・手法文書化。</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現地調査</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実際の生物多様性現地調査。ツールキット：モバイルデータ収集・WildCatcher連携・オフライン対応フィールドアプリ。</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準備書手続</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環境影響評価準備書の作成・縦覧・意見聴取。ツールキット：全調査データが投入された準備書生物多様性章の自動生成。</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意見聴取</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1ヶ月間の公告・縦覧期間。ツールキット：寄せられた意見の追跡・管理ログ。</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評価書</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許認可機関への最終的な環境影響評価書提出。ツールキット：所定の行政書式による最終報告書生成。</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事後調査</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工事中・供用後のモニタリング。ツールキット：ベースラインとの比較機能を備えた事後調査モジュール。</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2.2 生物多様性に関する法的義務</w:t>
      </w:r>
    </w:p>
    <w:p>
      <w:pPr>
        <w:spacing w:before="80" w:after="80"/>
      </w:pPr>
      <w:r>
        <w:rPr>
          <w:rFonts w:ascii="Yu Gothic" w:cs="Yu Gothic" w:eastAsia="Yu Gothic" w:hAnsi="Yu Gothic"/>
          <w:color w:val="1A1A1A"/>
          <w:sz w:val="22"/>
          <w:szCs w:val="22"/>
        </w:rPr>
        <w:t xml:space="preserve">以下の法令は、ツールキット内で自動照合・アラート・データベース参照・報告書文言生成に活用する必要があります。</w:t>
      </w:r>
    </w:p>
    <w:p>
      <w:pPr>
        <w:spacing w:before="120" w:after="0"/>
      </w:pPr>
    </w:p>
    <w:p>
      <w:pPr>
        <w:pStyle w:val="ListParagraph"/>
        <w:numPr>
          <w:ilvl w:val="0"/>
          <w:numId w:val="2"/>
        </w:numPr>
        <w:spacing w:before="60" w:after="60"/>
      </w:pPr>
      <w:r>
        <w:rPr>
          <w:rFonts w:ascii="Yu Gothic" w:cs="Yu Gothic" w:eastAsia="Yu Gothic" w:hAnsi="Yu Gothic"/>
          <w:color w:val="1A1A1A"/>
          <w:sz w:val="22"/>
          <w:szCs w:val="22"/>
        </w:rPr>
        <w:t xml:space="preserve">生物多様性基本法（2008年、法律第58号）：国の生物多様性施策の基本方針を定めた法律。全国計画におけるバイオダイバーシティへの配慮を義務付けています。ツールキットの種リスクスコアリングはこの法律の趣旨に準拠させる必要があります。法令原文：</w:t>
      </w:r>
      <w:hyperlink w:history="1" r:id="rIdut9mgowxzikrhcgsm9yho">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絶滅のおそれのある野生動植物の種の保存に関する法律（種の保存法、1992年）：国内希少野生動植物種を保護する法律。指定種の検出時には、ツールキットが自動的にフラグを立て、特別保護プロトコルを起動する必要があります。法令原文：</w:t>
      </w:r>
      <w:hyperlink w:history="1" r:id="rIdingchux8ejbz1tduf_ycf">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自然公園法：国立公園・国定公園・都道府県立自然公園の区域内または隣接地での事業には追加的なアセスメントが必要です。ツールキットは事業区域と公園指定区域を自動照合します。法令原文：</w:t>
      </w:r>
      <w:hyperlink w:history="1" r:id="rIdzllzsegzrmfrm1bwb7phh">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自然環境保全法：自然環境保全地域を規定する法律。開発行為に厳しい制限があります。ツールキットは隣接・重複の有無を自動フラグします。法令原文：</w:t>
      </w:r>
      <w:hyperlink w:history="1" r:id="rIdelgwykg87wwyvhxonojfq">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特定外来生物による生態系等に係る被害の防止に関する法律（外来生物法、2004年）：調査で特定外来生物が検出された場合、その記録・報告が義務付けられます。ツールキットには外来種検出フラグ機能を実装します。法令原文：</w:t>
      </w:r>
      <w:hyperlink w:history="1" r:id="rIdppigxrds8cyzg1ofryyjt">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鳥獣の保護及び管理並びに狩猟の適正化に関する法律（鳥獣保護管理法）：調査活動中の野鳥・哺乳類の採集・妨害を規制します。ツールキットは必要な活動届出の様式を自動生成できます。法令原文：</w:t>
      </w:r>
      <w:hyperlink w:history="1" r:id="rIdxiqgpjgej2_rj8npp30ow">
        <w:r>
          <w:rPr>
            <w:rFonts w:ascii="Yu Gothic" w:cs="Yu Gothic" w:eastAsia="Yu Gothic" w:hAnsi="Yu Gothic"/>
            <w:color w:val="1155CC"/>
            <w:sz w:val="22"/>
            <w:szCs w:val="22"/>
            <w:u w:val="single" w:color="1155CC"/>
          </w:rPr>
          <w:t xml:space="preserve">e-Gov法令検索</w:t>
        </w:r>
      </w:hyperlink>
    </w:p>
    <w:p>
      <w:pPr>
        <w:pStyle w:val="ListParagraph"/>
        <w:numPr>
          <w:ilvl w:val="0"/>
          <w:numId w:val="2"/>
        </w:numPr>
        <w:spacing w:before="60" w:after="60"/>
      </w:pPr>
      <w:r>
        <w:rPr>
          <w:rFonts w:ascii="Yu Gothic" w:cs="Yu Gothic" w:eastAsia="Yu Gothic" w:hAnsi="Yu Gothic"/>
          <w:color w:val="1A1A1A"/>
          <w:sz w:val="22"/>
          <w:szCs w:val="22"/>
        </w:rPr>
        <w:t xml:space="preserve">地域における生物の多様性の増進のための活動の促進等に関する法律（地域生物多様性増進活動促進法、2025年4月施行）：「自然共生サイト」認定制度を創設した新法。ネイチャーポジティブを目指す事業者に直接関連します。法令原文：</w:t>
      </w:r>
      <w:hyperlink w:history="1" r:id="rIdfsbano-qyu0qear0dv2-3">
        <w:r>
          <w:rPr>
            <w:rFonts w:ascii="Yu Gothic" w:cs="Yu Gothic" w:eastAsia="Yu Gothic" w:hAnsi="Yu Gothic"/>
            <w:color w:val="1155CC"/>
            <w:sz w:val="22"/>
            <w:szCs w:val="22"/>
            <w:u w:val="single" w:color="1155CC"/>
          </w:rPr>
          <w:t xml:space="preserve">e-Gov法令検索</w:t>
        </w:r>
      </w:hyperlink>
    </w:p>
    <w:p>
      <w:pPr>
        <w:spacing w:before="120" w:after="0"/>
      </w:pPr>
    </w:p>
    <w:p>
      <w:pPr>
        <w:pStyle w:val="Heading2"/>
        <w:spacing w:before="360" w:after="160"/>
      </w:pPr>
      <w:r>
        <w:rPr>
          <w:rFonts w:ascii="Yu Gothic" w:cs="Yu Gothic" w:eastAsia="Yu Gothic" w:hAnsi="Yu Gothic"/>
          <w:b/>
          <w:bCs/>
          <w:color w:val="1A4D2E"/>
          <w:sz w:val="28"/>
          <w:szCs w:val="28"/>
        </w:rPr>
        <w:t xml:space="preserve">2.3 報告基準・書式</w:t>
      </w:r>
    </w:p>
    <w:p>
      <w:pPr>
        <w:pStyle w:val="ListParagraph"/>
        <w:numPr>
          <w:ilvl w:val="0"/>
          <w:numId w:val="2"/>
        </w:numPr>
        <w:spacing w:before="60" w:after="60"/>
      </w:pPr>
      <w:r>
        <w:rPr>
          <w:rFonts w:ascii="Yu Gothic" w:cs="Yu Gothic" w:eastAsia="Yu Gothic" w:hAnsi="Yu Gothic"/>
          <w:color w:val="1A1A1A"/>
          <w:sz w:val="22"/>
          <w:szCs w:val="22"/>
        </w:rPr>
        <w:t xml:space="preserve">環境省 生物多様性に係る環境影響評価技術指針：EIAにおける生物多様性調査手法の最権威的技術参照書。ツールキットの調査設計モジュールはこの指針を基礎に構築します。指針本文：</w:t>
      </w:r>
      <w:hyperlink w:history="1" r:id="rIdrafdqy2ylpxm_rcokhxbf">
        <w:r>
          <w:rPr>
            <w:rFonts w:ascii="Yu Gothic" w:cs="Yu Gothic" w:eastAsia="Yu Gothic" w:hAnsi="Yu Gothic"/>
            <w:color w:val="1155CC"/>
            <w:sz w:val="22"/>
            <w:szCs w:val="22"/>
            <w:u w:val="single" w:color="1155CC"/>
          </w:rPr>
          <w:t xml:space="preserve">環境省アセスメント技術指針（PDF）</w:t>
        </w:r>
      </w:hyperlink>
    </w:p>
    <w:p>
      <w:pPr>
        <w:pStyle w:val="ListParagraph"/>
        <w:numPr>
          <w:ilvl w:val="0"/>
          <w:numId w:val="2"/>
        </w:numPr>
        <w:spacing w:before="60" w:after="60"/>
      </w:pPr>
      <w:r>
        <w:rPr>
          <w:rFonts w:ascii="Yu Gothic" w:cs="Yu Gothic" w:eastAsia="Yu Gothic" w:hAnsi="Yu Gothic"/>
          <w:color w:val="1A1A1A"/>
          <w:sz w:val="22"/>
          <w:szCs w:val="22"/>
        </w:rPr>
        <w:t xml:space="preserve">環境省レッドリスト及び47都道府県版レッドリスト：全リストをツールキットのデータベースに統合し自動照合します。環境省レッドリストは </w:t>
      </w:r>
      <w:hyperlink w:history="1" r:id="rIdnk9pnkxfhv1ukiyegflvs">
        <w:r>
          <w:rPr>
            <w:rFonts w:ascii="Yu Gothic" w:cs="Yu Gothic" w:eastAsia="Yu Gothic" w:hAnsi="Yu Gothic"/>
            <w:color w:val="1155CC"/>
            <w:sz w:val="22"/>
            <w:szCs w:val="22"/>
            <w:u w:val="single" w:color="1155CC"/>
          </w:rPr>
          <w:t xml:space="preserve">環境省自然環境局</w:t>
        </w:r>
      </w:hyperlink>
      <w:r>
        <w:rPr>
          <w:rFonts w:ascii="Yu Gothic" w:cs="Yu Gothic" w:eastAsia="Yu Gothic" w:hAnsi="Yu Gothic"/>
          <w:color w:val="1A1A1A"/>
          <w:sz w:val="22"/>
          <w:szCs w:val="22"/>
        </w:rPr>
        <w:t xml:space="preserve"> で公開されています。</w:t>
      </w:r>
    </w:p>
    <w:p>
      <w:pPr>
        <w:pStyle w:val="ListParagraph"/>
        <w:numPr>
          <w:ilvl w:val="0"/>
          <w:numId w:val="2"/>
        </w:numPr>
        <w:spacing w:before="60" w:after="60"/>
      </w:pPr>
      <w:r>
        <w:rPr>
          <w:rFonts w:ascii="Yu Gothic" w:cs="Yu Gothic" w:eastAsia="Yu Gothic" w:hAnsi="Yu Gothic"/>
          <w:color w:val="1A1A1A"/>
          <w:sz w:val="22"/>
          <w:szCs w:val="22"/>
        </w:rPr>
        <w:t xml:space="preserve">環境アセスメントデータベース（EADAS）：環境省が公開するEIA関連情報の統合データベース。調査設計モジュールへの統合を推奨します。</w:t>
      </w:r>
    </w:p>
    <w:p>
      <w:pPr>
        <w:pStyle w:val="ListParagraph"/>
        <w:numPr>
          <w:ilvl w:val="0"/>
          <w:numId w:val="2"/>
        </w:numPr>
        <w:spacing w:before="60" w:after="60"/>
      </w:pPr>
      <w:r>
        <w:rPr>
          <w:rFonts w:ascii="Yu Gothic" w:cs="Yu Gothic" w:eastAsia="Yu Gothic" w:hAnsi="Yu Gothic"/>
          <w:color w:val="1A1A1A"/>
          <w:sz w:val="22"/>
          <w:szCs w:val="22"/>
        </w:rPr>
        <w:t xml:space="preserve">TNFD（自然関連財務情報開示タスクフォース）：上場企業を中心に採用が急増。2025年時点で日本は世界最多の182社が採用を表明しています（</w:t>
      </w:r>
      <w:hyperlink w:history="1" r:id="rId0rgwa74wkp-3tnh3amnvr">
        <w:r>
          <w:rPr>
            <w:rFonts w:ascii="Yu Gothic" w:cs="Yu Gothic" w:eastAsia="Yu Gothic" w:hAnsi="Yu Gothic"/>
            <w:color w:val="1155CC"/>
            <w:sz w:val="22"/>
            <w:szCs w:val="22"/>
            <w:u w:val="single" w:color="1155CC"/>
          </w:rPr>
          <w:t xml:space="preserve">TNFD Japan</w:t>
        </w:r>
      </w:hyperlink>
      <w:r>
        <w:rPr>
          <w:rFonts w:ascii="Yu Gothic" w:cs="Yu Gothic" w:eastAsia="Yu Gothic" w:hAnsi="Yu Gothic"/>
          <w:color w:val="1A1A1A"/>
          <w:sz w:val="22"/>
          <w:szCs w:val="22"/>
        </w:rPr>
        <w:t xml:space="preserve">）。ツールキットの出力は行政EIS提出と並行してTNFD整合の生物多様性データ出力もオプション提供します。</w:t>
      </w:r>
    </w:p>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第3章　市場規模と機会</w:t>
      </w:r>
    </w:p>
    <w:p>
      <w:pPr>
        <w:pStyle w:val="Heading2"/>
        <w:spacing w:before="360" w:after="160"/>
      </w:pPr>
      <w:r>
        <w:rPr>
          <w:rFonts w:ascii="Yu Gothic" w:cs="Yu Gothic" w:eastAsia="Yu Gothic" w:hAnsi="Yu Gothic"/>
          <w:b/>
          <w:bCs/>
          <w:color w:val="1A4D2E"/>
          <w:sz w:val="28"/>
          <w:szCs w:val="28"/>
        </w:rPr>
        <w:t xml:space="preserve">3.1 日本のEIA市場</w:t>
      </w:r>
    </w:p>
    <w:p>
      <w:pPr>
        <w:spacing w:before="80" w:after="80"/>
      </w:pPr>
      <w:r>
        <w:rPr>
          <w:rFonts w:ascii="Yu Gothic" w:cs="Yu Gothic" w:eastAsia="Yu Gothic" w:hAnsi="Yu Gothic"/>
          <w:color w:val="1A1A1A"/>
          <w:sz w:val="22"/>
          <w:szCs w:val="22"/>
        </w:rPr>
        <w:t xml:space="preserve">日本の環境コンサルティング市場は2019年に約3,086億円（</w:t>
      </w:r>
      <w:hyperlink w:history="1" r:id="rId7zyqz0i_nq0emnx-g6z0p">
        <w:r>
          <w:rPr>
            <w:rFonts w:ascii="Yu Gothic" w:cs="Yu Gothic" w:eastAsia="Yu Gothic" w:hAnsi="Yu Gothic"/>
            <w:color w:val="1155CC"/>
            <w:sz w:val="22"/>
            <w:szCs w:val="22"/>
            <w:u w:val="single" w:color="1155CC"/>
          </w:rPr>
          <w:t xml:space="preserve">Statista</w:t>
        </w:r>
      </w:hyperlink>
      <w:r>
        <w:rPr>
          <w:rFonts w:ascii="Yu Gothic" w:cs="Yu Gothic" w:eastAsia="Yu Gothic" w:hAnsi="Yu Gothic"/>
          <w:color w:val="1A1A1A"/>
          <w:sz w:val="22"/>
          <w:szCs w:val="22"/>
        </w:rPr>
        <w:t xml:space="preserve">）と評価されています。インフラ投資の増加・再生可能エネルギーの拡大・規制の複雑化を背景に継続的に成長しています。国土交通省と環境省が毎年公表する統計では、国レベルの第一種EIA事業件数は年間60〜90件程度。都道府県条例に基づくEIAを合わせると、常時数百件規模のアセスメントが進行している実態があります。</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D2E" w:sz="12"/>
              <w:bottom w:val="none" w:color="FFFFFF" w:sz="0"/>
              <w:right w:val="none" w:color="FFFFFF" w:sz="0"/>
            </w:tcBorders>
            <w:shd w:fill="E8F4EC" w:val="clear"/>
            <w:tcMar>
              <w:top w:type="dxa" w:w="120"/>
              <w:left w:type="dxa" w:w="240"/>
              <w:bottom w:type="dxa" w:w="120"/>
              <w:right w:type="dxa" w:w="120"/>
            </w:tcMar>
          </w:tcPr>
          <w:p>
            <w:r>
              <w:rPr>
                <w:rFonts w:ascii="Yu Gothic" w:cs="Yu Gothic" w:eastAsia="Yu Gothic" w:hAnsi="Yu Gothic"/>
                <w:i/>
                <w:iCs/>
                <w:color w:val="1A1A1A"/>
                <w:sz w:val="22"/>
                <w:szCs w:val="22"/>
              </w:rPr>
              <w:t xml:space="preserve">最大の成長ドライバー：GX（グリーントランスフォーメーション）戦略は10年間で150兆円規模のグリーン投資を掲げています。洋上風力・太陽光・水素等のインフラプロジェクトは全件でEIAが必要です。EIAツールキットはこの波を捉えるポジションにあります。</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3.2 購買者ユニバース</w:t>
      </w:r>
    </w:p>
    <w:p>
      <w:pPr>
        <w:spacing w:before="80" w:after="80"/>
      </w:pPr>
      <w:r>
        <w:rPr>
          <w:rFonts w:ascii="Yu Gothic" w:cs="Yu Gothic" w:eastAsia="Yu Gothic" w:hAnsi="Yu Gothic"/>
          <w:color w:val="1A1A1A"/>
          <w:sz w:val="22"/>
          <w:szCs w:val="22"/>
        </w:rPr>
        <w:t xml:space="preserve">EIAツールキットの日本国内における潜在購買者：</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tblHeader/>
        </w:trPr>
        <w:tc>
          <w:tcPr>
            <w:tcW w:type="dxa" w:w="3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購買者区分</w:t>
            </w:r>
          </w:p>
        </w:tc>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推定件数</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年間想定支出</w:t>
            </w:r>
          </w:p>
        </w:tc>
        <w:tc>
          <w:tcPr>
            <w:tcW w:type="dxa" w:w="2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環境コンサルタント会社</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約2,000社</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50〜200万円/年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主要購買者。EIA費用はクライアントに転嫁可能。</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ゼネコン（大手）</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約50社</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100〜500万円/年</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自社プロジェクトのEIAを内製。</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土木・道路関連会社</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約300社</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50〜100万円/年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高速道路・鉄道・橋梁など。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再エネ開発事業者</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約500社以上</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30〜100万円/年</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洋上・陸上風力・太陽光：最速成長セグメント。</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不動産開発会社</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約200社</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20〜50万円/年</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大規模住宅・商業開発。</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港湾・海洋当局</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約100機関</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50〜100万円/年</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埋立・浚渫プロジェクト。</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3.3 GX・再生可能エネルギー拡大という追い風</w:t>
      </w:r>
    </w:p>
    <w:p>
      <w:pPr>
        <w:spacing w:before="80" w:after="80"/>
      </w:pPr>
      <w:r>
        <w:rPr>
          <w:rFonts w:ascii="Yu Gothic" w:cs="Yu Gothic" w:eastAsia="Yu Gothic" w:hAnsi="Yu Gothic"/>
          <w:color w:val="1A1A1A"/>
          <w:sz w:val="22"/>
          <w:szCs w:val="22"/>
        </w:rPr>
        <w:t xml:space="preserve">GX戦略は今後最大の短期需要ドライバーです。洋上風力だけでも、全設備がEIAの対象となり、日本は2040年までに洋上風力45GWの導入を目標として掲げており、年間数十件のEIA実施が見込まれます。2026年1月には国内コンソーシアムが、現行のEIAツールの不備を洋上風力拡大のボトルネックとして明確に指摘しました。EIAツールキットはこの課題に直接応えます。</w:t>
      </w:r>
    </w:p>
    <w:p>
      <w:pPr>
        <w:spacing w:before="120" w:after="0"/>
      </w:pPr>
    </w:p>
    <w:p>
      <w:pPr>
        <w:pStyle w:val="Heading2"/>
        <w:spacing w:before="360" w:after="160"/>
      </w:pPr>
      <w:r>
        <w:rPr>
          <w:rFonts w:ascii="Yu Gothic" w:cs="Yu Gothic" w:eastAsia="Yu Gothic" w:hAnsi="Yu Gothic"/>
          <w:b/>
          <w:bCs/>
          <w:color w:val="1A4D2E"/>
          <w:sz w:val="28"/>
          <w:szCs w:val="28"/>
        </w:rPr>
        <w:t xml:space="preserve">3.4 TNFDが拓く企業向け第二市場</w:t>
      </w:r>
    </w:p>
    <w:p>
      <w:pPr>
        <w:spacing w:before="80" w:after="80"/>
      </w:pPr>
      <w:r>
        <w:rPr>
          <w:rFonts w:ascii="Yu Gothic" w:cs="Yu Gothic" w:eastAsia="Yu Gothic" w:hAnsi="Yu Gothic"/>
          <w:color w:val="1A1A1A"/>
          <w:sz w:val="22"/>
          <w:szCs w:val="22"/>
        </w:rPr>
        <w:t xml:space="preserve">日本は世界最多の182社のTNFD採用企業を有し、政府もTNFD事務局に直接資金援助をしています（</w:t>
      </w:r>
      <w:hyperlink w:history="1" r:id="rIddlhs1yiq6fesgc9qjn4ho">
        <w:r>
          <w:rPr>
            <w:rFonts w:ascii="Yu Gothic" w:cs="Yu Gothic" w:eastAsia="Yu Gothic" w:hAnsi="Yu Gothic"/>
            <w:color w:val="1155CC"/>
            <w:sz w:val="22"/>
            <w:szCs w:val="22"/>
            <w:u w:val="single" w:color="1155CC"/>
          </w:rPr>
          <w:t xml:space="preserve">TNFDによる発表</w:t>
        </w:r>
      </w:hyperlink>
      <w:r>
        <w:rPr>
          <w:rFonts w:ascii="Yu Gothic" w:cs="Yu Gothic" w:eastAsia="Yu Gothic" w:hAnsi="Yu Gothic"/>
          <w:color w:val="1A1A1A"/>
          <w:sz w:val="22"/>
          <w:szCs w:val="22"/>
        </w:rPr>
        <w:t xml:space="preserve">）。東証プライム上場企業には、TNFDのLEAPアプローチ（特定・評価・アセスメント・準備）に沿った自然関連リスクの開示が求められる流れが強まっています。これにより、規制対応（MOE/MLIT提出）だけでなく、投資家向け報告（TNFD）を目的とする第二の企業購買市場が生まれます。EIAツールキットは両方の目的を一つの調査で同時に達成できます。</w:t>
      </w:r>
    </w:p>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第4章　競合分析</w:t>
      </w:r>
    </w:p>
    <w:p>
      <w:pPr>
        <w:spacing w:before="80" w:after="80"/>
      </w:pPr>
      <w:r>
        <w:rPr>
          <w:rFonts w:ascii="Yu Gothic" w:cs="Yu Gothic" w:eastAsia="Yu Gothic" w:hAnsi="Yu Gothic"/>
          <w:color w:val="1A1A1A"/>
          <w:sz w:val="22"/>
          <w:szCs w:val="22"/>
        </w:rPr>
        <w:t xml:space="preserve">日本の法令に特化したEIA生物多様性ワークフロー管理ソフトウェアは存在しません。これが本製品の根本的な市場ギャップです。競合は以下の3つのカテゴリーに分類されます。</w:t>
      </w:r>
    </w:p>
    <w:p>
      <w:pPr>
        <w:spacing w:before="120" w:after="0"/>
      </w:pPr>
    </w:p>
    <w:p>
      <w:pPr>
        <w:pStyle w:val="Heading2"/>
        <w:spacing w:before="360" w:after="160"/>
      </w:pPr>
      <w:r>
        <w:rPr>
          <w:rFonts w:ascii="Yu Gothic" w:cs="Yu Gothic" w:eastAsia="Yu Gothic" w:hAnsi="Yu Gothic"/>
          <w:b/>
          <w:bCs/>
          <w:color w:val="1A4D2E"/>
          <w:sz w:val="28"/>
          <w:szCs w:val="28"/>
        </w:rPr>
        <w:t xml:space="preserve">4.1 グローバルな生物多様性ソフトウェアプラットフォーム</w:t>
      </w:r>
    </w:p>
    <w:p>
      <w:pPr>
        <w:spacing w:before="120" w:after="0"/>
      </w:pPr>
    </w:p>
    <w:p>
      <w:pPr>
        <w:pStyle w:val="Heading3"/>
        <w:spacing w:before="240" w:after="100"/>
      </w:pPr>
      <w:r>
        <w:rPr>
          <w:rFonts w:ascii="Yu Gothic" w:cs="Yu Gothic" w:eastAsia="Yu Gothic" w:hAnsi="Yu Gothic"/>
          <w:b/>
          <w:bCs/>
          <w:color w:val="C4622D"/>
          <w:sz w:val="24"/>
          <w:szCs w:val="24"/>
        </w:rPr>
        <w:t xml:space="preserve">Okala（英国）</w:t>
      </w:r>
    </w:p>
    <w:p>
      <w:pPr>
        <w:spacing w:before="80" w:after="80"/>
      </w:pPr>
      <w:r>
        <w:rPr>
          <w:rFonts w:ascii="Yu Gothic" w:cs="Yu Gothic" w:eastAsia="Yu Gothic" w:hAnsi="Yu Gothic"/>
          <w:color w:val="1A1A1A"/>
          <w:sz w:val="22"/>
          <w:szCs w:val="22"/>
        </w:rPr>
        <w:t xml:space="preserve">世界最先端の生物多様性モニタリング・報告プラットフォーム。AI対応、カメラトラップ解析・eDNA・音響モニタリング・TNFD/EUDR報告に対応。詳細：</w:t>
      </w:r>
      <w:hyperlink w:history="1" r:id="rIdnllwwxrzohqf5txgjf8m1">
        <w:r>
          <w:rPr>
            <w:rFonts w:ascii="Yu Gothic" w:cs="Yu Gothic" w:eastAsia="Yu Gothic" w:hAnsi="Yu Gothic"/>
            <w:color w:val="1155CC"/>
            <w:sz w:val="22"/>
            <w:szCs w:val="22"/>
            <w:u w:val="single" w:color="1155CC"/>
          </w:rPr>
          <w:t xml:space="preserve">okala.io</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強み</w:t>
            </w:r>
          </w:p>
        </w:tc>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EIAツールキットとの比較における弱点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グローバルスコープ・強力なAI・TNFD対応報告・エンドツーエンドプラットフォーム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日本非対応。日本のレッドリスト未統合。環境省・国土交通省書式での出力不可。エンタープライズ価格で非透明。WildCatcher連携なし。英語ファーストのUX。日本法令コンプライアンスレイヤーなし。</w:t>
            </w:r>
          </w:p>
        </w:tc>
      </w:tr>
    </w:tbl>
    <w:p>
      <w:pPr>
        <w:spacing w:before="120" w:after="0"/>
      </w:pPr>
    </w:p>
    <w:p>
      <w:pPr>
        <w:pStyle w:val="Heading3"/>
        <w:spacing w:before="240" w:after="100"/>
      </w:pPr>
      <w:r>
        <w:rPr>
          <w:rFonts w:ascii="Yu Gothic" w:cs="Yu Gothic" w:eastAsia="Yu Gothic" w:hAnsi="Yu Gothic"/>
          <w:b/>
          <w:bCs/>
          <w:color w:val="C4622D"/>
          <w:sz w:val="24"/>
          <w:szCs w:val="24"/>
        </w:rPr>
        <w:t xml:space="preserve">IBAT（生物多様性統合評価ツール）</w:t>
      </w:r>
    </w:p>
    <w:p>
      <w:pPr>
        <w:spacing w:before="80" w:after="80"/>
      </w:pPr>
      <w:r>
        <w:rPr>
          <w:rFonts w:ascii="Yu Gothic" w:cs="Yu Gothic" w:eastAsia="Yu Gothic" w:hAnsi="Yu Gothic"/>
          <w:color w:val="1A1A1A"/>
          <w:sz w:val="22"/>
          <w:szCs w:val="22"/>
        </w:rPr>
        <w:t xml:space="preserve">IUCN・UNEP-WCMC・BirdLife International運営の世界最権威的生物多様性データプラットフォーム。詳細：</w:t>
      </w:r>
      <w:hyperlink w:history="1" r:id="rIdjsy25l7xx-0c1qpeoffuq">
        <w:r>
          <w:rPr>
            <w:rFonts w:ascii="Yu Gothic" w:cs="Yu Gothic" w:eastAsia="Yu Gothic" w:hAnsi="Yu Gothic"/>
            <w:color w:val="1155CC"/>
            <w:sz w:val="22"/>
            <w:szCs w:val="22"/>
            <w:u w:val="single" w:color="1155CC"/>
          </w:rPr>
          <w:t xml:space="preserve">ibat-alliance.org</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強み</w:t>
            </w:r>
          </w:p>
        </w:tc>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EIAツールキットとの比較における弱点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世界最高水準のデータ権威性・金融機関の信頼・グローバルカバレッジ</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データスクリーニングツールであり、ワークフロー管理プラットフォームではない。現地調査管理・日本語行政報告書生成・手続き進捗管理・WildCatcher連携のいずれも不可。インプット提供ツールに過ぎず、ソリューションではない。</w:t>
            </w:r>
          </w:p>
        </w:tc>
      </w:tr>
    </w:tbl>
    <w:p>
      <w:pPr>
        <w:spacing w:before="120" w:after="0"/>
      </w:pPr>
    </w:p>
    <w:p>
      <w:pPr>
        <w:pStyle w:val="Heading3"/>
        <w:spacing w:before="240" w:after="100"/>
      </w:pPr>
      <w:r>
        <w:rPr>
          <w:rFonts w:ascii="Yu Gothic" w:cs="Yu Gothic" w:eastAsia="Yu Gothic" w:hAnsi="Yu Gothic"/>
          <w:b/>
          <w:bCs/>
          <w:color w:val="C4622D"/>
          <w:sz w:val="24"/>
          <w:szCs w:val="24"/>
        </w:rPr>
        <w:t xml:space="preserve">LEFT（オックスフォード大学生物多様性研究所）</w:t>
      </w:r>
    </w:p>
    <w:p>
      <w:pPr>
        <w:spacing w:before="80" w:after="80"/>
      </w:pPr>
      <w:r>
        <w:rPr>
          <w:rFonts w:ascii="Yu Gothic" w:cs="Yu Gothic" w:eastAsia="Yu Gothic" w:hAnsi="Yu Gothic"/>
          <w:color w:val="1A1A1A"/>
          <w:sz w:val="22"/>
          <w:szCs w:val="22"/>
        </w:rPr>
        <w:t xml:space="preserve">事業立地の事前スクリーニング用自動生態学的価値マッピングツール。フルフィールドEIAの前段階での使用を想定。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強み</w:t>
            </w:r>
          </w:p>
        </w:tc>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EIAツールキットとの比較における弱点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早期段階スクリーニングに有効・無料・科学的信頼性高</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事前計画デスクトップツールに限定。現地調査管理・EIA手続き進捗追跡・データ入力・報告書生成のいずれも不可。初期スクリーニングのみをカバー。</w:t>
            </w:r>
          </w:p>
        </w:tc>
      </w:tr>
    </w:tbl>
    <w:p>
      <w:pPr>
        <w:spacing w:before="120" w:after="0"/>
      </w:pPr>
    </w:p>
    <w:p>
      <w:pPr>
        <w:pStyle w:val="Heading3"/>
        <w:spacing w:before="240" w:after="100"/>
      </w:pPr>
      <w:r>
        <w:rPr>
          <w:rFonts w:ascii="Yu Gothic" w:cs="Yu Gothic" w:eastAsia="Yu Gothic" w:hAnsi="Yu Gothic"/>
          <w:b/>
          <w:bCs/>
          <w:color w:val="C4622D"/>
          <w:sz w:val="24"/>
          <w:szCs w:val="24"/>
        </w:rPr>
        <w:t xml:space="preserve">Quentic / EHS環境管理ソフトウェア</w:t>
      </w:r>
    </w:p>
    <w:p>
      <w:pPr>
        <w:spacing w:before="80" w:after="80"/>
      </w:pPr>
      <w:r>
        <w:rPr>
          <w:rFonts w:ascii="Yu Gothic" w:cs="Yu Gothic" w:eastAsia="Yu Gothic" w:hAnsi="Yu Gothic"/>
          <w:color w:val="1A1A1A"/>
          <w:sz w:val="22"/>
          <w:szCs w:val="22"/>
        </w:rPr>
        <w:t xml:space="preserve">ISO 14001・GHG・廃棄物・エネルギーをカバーするエンタープライズ環境管理プラットフォーム。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強み</w:t>
            </w:r>
          </w:p>
        </w:tc>
        <w:tc>
          <w:tcPr>
            <w:tcW w:type="dxa" w:w="468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EIAツールキットとの比較における弱点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包括的なEHS管理・エンタープライズグレード・優れたダッシュボード</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生物多様性・EIAツールではない。種同定・現地調査・行政報告書生成の機能なし。購買者層・用途が異なる。</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4.2 真の競合：Excel・Word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D2E" w:sz="12"/>
              <w:bottom w:val="none" w:color="FFFFFF" w:sz="0"/>
              <w:right w:val="none" w:color="FFFFFF" w:sz="0"/>
            </w:tcBorders>
            <w:shd w:fill="E8F4EC" w:val="clear"/>
            <w:tcMar>
              <w:top w:type="dxa" w:w="120"/>
              <w:left w:type="dxa" w:w="240"/>
              <w:bottom w:type="dxa" w:w="120"/>
              <w:right w:type="dxa" w:w="120"/>
            </w:tcMar>
          </w:tcPr>
          <w:p>
            <w:r>
              <w:rPr>
                <w:rFonts w:ascii="Yu Gothic" w:cs="Yu Gothic" w:eastAsia="Yu Gothic" w:hAnsi="Yu Gothic"/>
                <w:i/>
                <w:iCs/>
                <w:color w:val="1A1A1A"/>
                <w:sz w:val="22"/>
                <w:szCs w:val="22"/>
              </w:rPr>
              <w:t xml:space="preserve">最も正直な競合分析：日本の環境コンサルタントの95%が、生物多様性EIA業務をMicrosoft Excelでのデータ入力・Wordでの報告書作成・メールでのチームコミュニケーションで管理しています。これが現在の標準です。EIAツールキットが置き換えるのは、高度なグローバルプラットフォームではなく、共有Excelシートです。</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4.3 競合比較マトリクス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900"/>
        <w:gridCol w:w="900"/>
        <w:gridCol w:w="900"/>
        <w:gridCol w:w="860"/>
      </w:tblGrid>
      <w:tr>
        <w:trPr>
          <w:tblHeader/>
        </w:trPr>
        <w:tc>
          <w:tcPr>
            <w:tcW w:type="dxa" w:w="26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機能</w:t>
            </w:r>
          </w:p>
        </w:tc>
        <w:tc>
          <w:tcPr>
            <w:tcW w:type="dxa" w:w="1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EIAツールキット</w:t>
            </w:r>
          </w:p>
        </w:tc>
        <w:tc>
          <w:tcPr>
            <w:tcW w:type="dxa" w:w="1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Okala</w:t>
            </w:r>
          </w:p>
        </w:tc>
        <w:tc>
          <w:tcPr>
            <w:tcW w:type="dxa" w:w="9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IBAT</w:t>
            </w:r>
          </w:p>
        </w:tc>
        <w:tc>
          <w:tcPr>
            <w:tcW w:type="dxa" w:w="9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LEFT</w:t>
            </w:r>
          </w:p>
        </w:tc>
        <w:tc>
          <w:tcPr>
            <w:tcW w:type="dxa" w:w="9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NatureServe</w:t>
            </w:r>
          </w:p>
        </w:tc>
        <w:tc>
          <w:tcPr>
            <w:tcW w:type="dxa" w:w="8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Excel/Word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環境アセスメント法準拠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 完全対応</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手作業</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環境省・国交省書式出力</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 自動生成</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手作業</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日本版レッドリスト統合</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 全48種類</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国際版のみ</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手作業</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WildCatcher連携</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 ネイティブ</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モバイルフィールドアプリ</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限定的</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AI種同定</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 WildCatcher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TNFD報告出力</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 計画済み</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手作業</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日本語ネイティブUI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透明性ある中小企業向け価格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 要問合せ</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 要問合せ</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無料</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個別対応</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無料</w:t>
            </w:r>
          </w:p>
        </w:tc>
      </w:tr>
    </w:tbl>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第5章　最終製品定義</w:t>
      </w:r>
    </w:p>
    <w:p>
      <w:pPr>
        <w:pStyle w:val="Heading2"/>
        <w:spacing w:before="360" w:after="160"/>
      </w:pPr>
      <w:r>
        <w:rPr>
          <w:rFonts w:ascii="Yu Gothic" w:cs="Yu Gothic" w:eastAsia="Yu Gothic" w:hAnsi="Yu Gothic"/>
          <w:b/>
          <w:bCs/>
          <w:color w:val="1A4D2E"/>
          <w:sz w:val="28"/>
          <w:szCs w:val="28"/>
        </w:rPr>
        <w:t xml:space="preserve">5.1 製品ビジョン</w:t>
      </w:r>
    </w:p>
    <w:p>
      <w:pPr>
        <w:spacing w:before="80" w:after="80"/>
      </w:pPr>
      <w:r>
        <w:rPr>
          <w:rFonts w:ascii="Yu Gothic" w:cs="Yu Gothic" w:eastAsia="Yu Gothic" w:hAnsi="Yu Gothic"/>
          <w:color w:val="1A1A1A"/>
          <w:sz w:val="22"/>
          <w:szCs w:val="22"/>
        </w:rPr>
        <w:t xml:space="preserve">EIAツールキットは、初期スコーピングから最終的な行政提出まで、生物多様性分野の環境影響評価を管理するための日本初の専用プラットフォームです。現在ExcelとWordで完全に運用されているプロセスをデジタル化し、報告書作成時間を70%以上短縮し、コンプライアンスエラーをゼロにし、WildCatcherを通じたAIパワードの種同定を統合します。</w:t>
      </w:r>
    </w:p>
    <w:p>
      <w:pPr>
        <w:spacing w:before="120" w:after="0"/>
      </w:pPr>
    </w:p>
    <w:p>
      <w:pPr>
        <w:spacing w:before="80" w:after="80"/>
      </w:pPr>
      <w:r>
        <w:rPr>
          <w:rFonts w:ascii="Yu Gothic" w:cs="Yu Gothic" w:eastAsia="Yu Gothic" w:hAnsi="Yu Gothic"/>
          <w:color w:val="1A1A1A"/>
          <w:sz w:val="22"/>
          <w:szCs w:val="22"/>
        </w:rPr>
        <w:t xml:space="preserve">日本語ネイティブ（英語サブ）のWeb SaaSプラットフォームとして提供し、現地利用向けのモバイルコンパニオンアプリも用意します。日本の法令・日本の種データ・日本の行政書式に完全特化しています。</w:t>
      </w:r>
    </w:p>
    <w:p>
      <w:pPr>
        <w:spacing w:before="120" w:after="0"/>
      </w:pPr>
    </w:p>
    <w:p>
      <w:pPr>
        <w:pStyle w:val="Heading2"/>
        <w:spacing w:before="360" w:after="160"/>
      </w:pPr>
      <w:r>
        <w:rPr>
          <w:rFonts w:ascii="Yu Gothic" w:cs="Yu Gothic" w:eastAsia="Yu Gothic" w:hAnsi="Yu Gothic"/>
          <w:b/>
          <w:bCs/>
          <w:color w:val="1A4D2E"/>
          <w:sz w:val="28"/>
          <w:szCs w:val="28"/>
        </w:rPr>
        <w:t xml:space="preserve">5.2 コアプロダクトモジュール</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モジュール1：プロジェクトハブ</w:t>
      </w:r>
    </w:p>
    <w:p>
      <w:pPr>
        <w:spacing w:before="80" w:after="80"/>
      </w:pPr>
      <w:r>
        <w:rPr>
          <w:rFonts w:ascii="Yu Gothic" w:cs="Yu Gothic" w:eastAsia="Yu Gothic" w:hAnsi="Yu Gothic"/>
          <w:color w:val="1A1A1A"/>
          <w:sz w:val="22"/>
          <w:szCs w:val="22"/>
        </w:rPr>
        <w:t xml:space="preserve">中央ワークスペース。各EIAプロジェクト専用のハブに表示されるもの：事業種別（道路/ダム/風力/太陽光/港湾など）・地図上の位置と都道府県オーバーレイ・クライアント・事業者情報・法定7段階手続きにおける現在の進捗・法定提出期限カレンダー・文書保管庫・チームメンバーの役割。ビジュアルデザインは実際の法定手続き段階を反映したパイプライン/カンバン形式を採用し、コンサルタントが手続き上の現在地を即座に把握できま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モジュール2：スコーピング・調査設計</w:t>
      </w:r>
    </w:p>
    <w:p>
      <w:pPr>
        <w:spacing w:before="80" w:after="80"/>
      </w:pPr>
      <w:r>
        <w:rPr>
          <w:rFonts w:ascii="Yu Gothic" w:cs="Yu Gothic" w:eastAsia="Yu Gothic" w:hAnsi="Yu Gothic"/>
          <w:color w:val="1A1A1A"/>
          <w:sz w:val="22"/>
          <w:szCs w:val="22"/>
        </w:rPr>
        <w:t xml:space="preserve">最も時間節約効果の高いモジュール。事業種別・位置・規模に基づき、環境省の技術指針から直接導出されたロジックで「どの種群を・どの季節に・どの調査手法で」調査すべきかを自動提案します。システムは国内の生物多様性データベースを照会し、対象地域で予想される感度の高い種を事前入力します。GPS経由ポイント・推奨調査時期・担当者割当を含む印刷可能なフィールド調査計画を自動生成します。現在コンサルタントが複数の行政文書を手動で突き合わせながら何週間もかけていた作業が、数分で完了しま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モジュール3：フィールドデータ収集</w:t>
      </w:r>
    </w:p>
    <w:p>
      <w:pPr>
        <w:spacing w:before="80" w:after="80"/>
      </w:pPr>
      <w:r>
        <w:rPr>
          <w:rFonts w:ascii="Yu Gothic" w:cs="Yu Gothic" w:eastAsia="Yu Gothic" w:hAnsi="Yu Gothic"/>
          <w:color w:val="1A1A1A"/>
          <w:sz w:val="22"/>
          <w:szCs w:val="22"/>
        </w:rPr>
        <w:t xml:space="preserve">完全オフライン動作のモバイルコンパニオンアプリ（iOS・Android）。フィールド調査員が記録できる項目：確認種（種名・個体数・GPS座標・日時・写真・確信度・行動）、生息地メモ、植生マッピングポイント、トランセクト経路、ボイスメモ。カメラトラップ作業では、撮影ポイントを登録し、画像をWildCatcherへ同期してAIによる種同定・分類を実行できます。全データはWi-Fi接続時にクラウドプロジェクトへ自動同期。データの二重入力はゼロで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モジュール4：種・生息地解析</w:t>
      </w:r>
    </w:p>
    <w:p>
      <w:pPr>
        <w:spacing w:before="80" w:after="80"/>
      </w:pPr>
      <w:r>
        <w:rPr>
          <w:rFonts w:ascii="Yu Gothic" w:cs="Yu Gothic" w:eastAsia="Yu Gothic" w:hAnsi="Yu Gothic"/>
          <w:color w:val="1A1A1A"/>
          <w:sz w:val="22"/>
          <w:szCs w:val="22"/>
        </w:rPr>
        <w:t xml:space="preserve">インテリジェンスレイヤー。フィールドデータ投入後、システムが自動実行する処理：確認全種を国レベル環境省レッドリストおよび該当都道府県版レッドリストと照合。種の保存法に基づく保護対象種フラグ付け。特定外来生物の特定。事業フットプリントの生息地感度スコア算出。事業区域境界を国立・国定・都道府県立自然公園・自然環境保全地域・既知の野生動物回廊と自動照合。環境影響評価書に必要な正確な書式での影響度評価マトリクスを自動生成。このモジュールは、熟練コンサルタントが現在数週間かけて行う手動照合作業を代替しま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モジュール5：報告書生成</w:t>
      </w:r>
    </w:p>
    <w:p>
      <w:pPr>
        <w:spacing w:before="80" w:after="80"/>
      </w:pPr>
      <w:r>
        <w:rPr>
          <w:rFonts w:ascii="Yu Gothic" w:cs="Yu Gothic" w:eastAsia="Yu Gothic" w:hAnsi="Yu Gothic"/>
          <w:color w:val="1A1A1A"/>
          <w:sz w:val="22"/>
          <w:szCs w:val="22"/>
        </w:rPr>
        <w:t xml:space="preserve">環境影響評価書の生物多様性章をワンクリックで生成。出力形式：環境省・国土交通省標準EIS生物多様性章（Word＋PDF）、都道府県別行政提出書式（47都道府県分のフォーマットライブラリを整備）、投資家向けTNFD LEAP整合の生物多様性データ出力、公聴会用生物多様性サマリー。表・種リスト・地図図表・写真添付資料・標準定型文は全て自動入力済み。コンサルタントは確認・最終調整を行うだけで、白紙からの作成は不要で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モジュール6：コンプライアンス・法令ライブラリ</w:t>
      </w:r>
    </w:p>
    <w:p>
      <w:pPr>
        <w:spacing w:before="80" w:after="80"/>
      </w:pPr>
      <w:r>
        <w:rPr>
          <w:rFonts w:ascii="Yu Gothic" w:cs="Yu Gothic" w:eastAsia="Yu Gothic" w:hAnsi="Yu Gothic"/>
          <w:color w:val="1A1A1A"/>
          <w:sz w:val="22"/>
          <w:szCs w:val="22"/>
        </w:rPr>
        <w:t xml:space="preserve">内蔵の参照レイヤー。関連法令全文（環境アセスメント法・生物多様性基本法・種の保存法・自然公園法など）を収録し、生成報告書内でハイパーリンク参照が可能。法改正時は自動更新。全47都道府県の条例データベースも搭載。法令改正時、影響を受けるアクティブプロジェクトにアラートを送信。コンサルタント会社にとっての法的リスクを大幅に低減するこの機能は、見落とした規制更新が深刻なプロフェッショナルリスクになる現場で特に価値を発揮しま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モジュール7：供用後モニタリング</w:t>
      </w:r>
    </w:p>
    <w:p>
      <w:pPr>
        <w:spacing w:before="80" w:after="80"/>
      </w:pPr>
      <w:r>
        <w:rPr>
          <w:rFonts w:ascii="Yu Gothic" w:cs="Yu Gothic" w:eastAsia="Yu Gothic" w:hAnsi="Yu Gothic"/>
          <w:color w:val="1A1A1A"/>
          <w:sz w:val="22"/>
          <w:szCs w:val="22"/>
        </w:rPr>
        <w:t xml:space="preserve">工事着手後、法令が定める条件下でのベースラインとの定期モニタリングを支援。スケジュール再調査・現在vs.ベースラインの種カウント比較ダッシュボード・供用後モニタリング報告書の生成機能を提供。初回EIA完了後もクライアントとその継続プロジェクトをプラットフォーム上に留め置き、継続的な利用とロングタームなロックインを生み出します。</w:t>
      </w:r>
    </w:p>
    <w:p>
      <w:pPr>
        <w:spacing w:before="120" w:after="0"/>
      </w:pPr>
    </w:p>
    <w:p>
      <w:pPr>
        <w:pStyle w:val="Heading3"/>
        <w:spacing w:before="240" w:after="100"/>
      </w:pPr>
      <w:r>
        <w:rPr>
          <w:rFonts w:ascii="Yu Gothic" w:cs="Yu Gothic" w:eastAsia="Yu Gothic" w:hAnsi="Yu Gothic"/>
          <w:b/>
          <w:bCs/>
          <w:color w:val="C4622D"/>
          <w:sz w:val="24"/>
          <w:szCs w:val="24"/>
        </w:rPr>
        <w:t xml:space="preserve">モジュール8：WildCatcher統合</w:t>
      </w:r>
    </w:p>
    <w:p>
      <w:pPr>
        <w:spacing w:before="80" w:after="80"/>
      </w:pPr>
      <w:r>
        <w:rPr>
          <w:rFonts w:ascii="Yu Gothic" w:cs="Yu Gothic" w:eastAsia="Yu Gothic" w:hAnsi="Yu Gothic"/>
          <w:color w:val="1A1A1A"/>
          <w:sz w:val="22"/>
          <w:szCs w:val="22"/>
        </w:rPr>
        <w:t xml:space="preserve">競合に対する唯一無二のモート（堀）。現地からのカメラトラップ画像はWildCatcherへ直接同期され、AIによる種検出・分類が実行されます。高確信度の検出結果は手動レビューをバイパスしてフィールドデータモジュールへ自動反映。ReCortaのフルプロジェクトサービスでクライアント向けにカスタム構築されたモデルは、そのクライアントのEIAワークフローに直接統合されます。対馬のツシマヤマネコモデルのような事例も、EIAプロジェクトに組み込んで活用できます。この機能を提供できる競合は存在しません。</w:t>
      </w:r>
    </w:p>
    <w:p>
      <w:pPr>
        <w:spacing w:before="120" w:after="0"/>
      </w:pPr>
    </w:p>
    <w:p>
      <w:pPr>
        <w:pStyle w:val="Heading2"/>
        <w:spacing w:before="360" w:after="160"/>
      </w:pPr>
      <w:r>
        <w:rPr>
          <w:rFonts w:ascii="Yu Gothic" w:cs="Yu Gothic" w:eastAsia="Yu Gothic" w:hAnsi="Yu Gothic"/>
          <w:b/>
          <w:bCs/>
          <w:color w:val="1A4D2E"/>
          <w:sz w:val="28"/>
          <w:szCs w:val="28"/>
        </w:rPr>
        <w:t xml:space="preserve">5.3 ユーザー役割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役割</w:t>
            </w:r>
          </w:p>
        </w:tc>
        <w:tc>
          <w:tcPr>
            <w:tcW w:type="dxa" w:w="69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権限・画面</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プロジェクトマネージャー</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全モジュールへのフルアクセス、チーム管理、請求、報告書承認。</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フィールド調査員</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モバイルアプリのみ：データ入力、写真アップロード、GPS記録。報告書生成不可。</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報告書作成者</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全データ閲覧、報告書生成、種リスト編集。請求・管理機能なし。</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クライアント／事業者</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プロジェクト進捗・最終報告書の閲覧のみ。データ入力不可。</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査読者／承認者</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文書レビュー、コメント、承認署名。データ入力不可。</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5.4 技術アーキテクチャ</w:t>
      </w:r>
    </w:p>
    <w:p>
      <w:pPr>
        <w:pStyle w:val="ListParagraph"/>
        <w:numPr>
          <w:ilvl w:val="0"/>
          <w:numId w:val="2"/>
        </w:numPr>
        <w:spacing w:before="60" w:after="60"/>
      </w:pPr>
      <w:r>
        <w:rPr>
          <w:rFonts w:ascii="Yu Gothic" w:cs="Yu Gothic" w:eastAsia="Yu Gothic" w:hAnsi="Yu Gothic"/>
          <w:color w:val="1A1A1A"/>
          <w:sz w:val="22"/>
          <w:szCs w:val="22"/>
        </w:rPr>
        <w:t xml:space="preserve">Webアプリ：Reactフロントエンド。Chrome・Edge デスクトップ対応。現場事務所での利用を想定したタブレットのレスポンシブ対応。</w:t>
      </w:r>
    </w:p>
    <w:p>
      <w:pPr>
        <w:pStyle w:val="ListParagraph"/>
        <w:numPr>
          <w:ilvl w:val="0"/>
          <w:numId w:val="2"/>
        </w:numPr>
        <w:spacing w:before="60" w:after="60"/>
      </w:pPr>
      <w:r>
        <w:rPr>
          <w:rFonts w:ascii="Yu Gothic" w:cs="Yu Gothic" w:eastAsia="Yu Gothic" w:hAnsi="Yu Gothic"/>
          <w:color w:val="1A1A1A"/>
          <w:sz w:val="22"/>
          <w:szCs w:val="22"/>
        </w:rPr>
        <w:t xml:space="preserve">モバイルアプリ：React Native（iOS・Android）。ローカルSQLite同期による完全オフライン対応。</w:t>
      </w:r>
    </w:p>
    <w:p>
      <w:pPr>
        <w:pStyle w:val="ListParagraph"/>
        <w:numPr>
          <w:ilvl w:val="0"/>
          <w:numId w:val="2"/>
        </w:numPr>
        <w:spacing w:before="60" w:after="60"/>
      </w:pPr>
      <w:r>
        <w:rPr>
          <w:rFonts w:ascii="Yu Gothic" w:cs="Yu Gothic" w:eastAsia="Yu Gothic" w:hAnsi="Yu Gothic"/>
          <w:color w:val="1A1A1A"/>
          <w:sz w:val="22"/>
          <w:szCs w:val="22"/>
        </w:rPr>
        <w:t xml:space="preserve">バックエンド：Node.js/Pythonマイクロサービス。データレジデンシー要件に対応するためAWS東京リージョン（ap-northeast-1）上で稼働。</w:t>
      </w:r>
    </w:p>
    <w:p>
      <w:pPr>
        <w:pStyle w:val="ListParagraph"/>
        <w:numPr>
          <w:ilvl w:val="0"/>
          <w:numId w:val="2"/>
        </w:numPr>
        <w:spacing w:before="60" w:after="60"/>
      </w:pPr>
      <w:r>
        <w:rPr>
          <w:rFonts w:ascii="Yu Gothic" w:cs="Yu Gothic" w:eastAsia="Yu Gothic" w:hAnsi="Yu Gothic"/>
          <w:color w:val="1A1A1A"/>
          <w:sz w:val="22"/>
          <w:szCs w:val="22"/>
        </w:rPr>
        <w:t xml:space="preserve">データ保管：全調査データを日本国内に保管。個人情報保護法（APPI）準拠。エンタープライズクライアント向けデータ処理委託契約を整備。</w:t>
      </w:r>
    </w:p>
    <w:p>
      <w:pPr>
        <w:pStyle w:val="ListParagraph"/>
        <w:numPr>
          <w:ilvl w:val="0"/>
          <w:numId w:val="2"/>
        </w:numPr>
        <w:spacing w:before="60" w:after="60"/>
      </w:pPr>
      <w:r>
        <w:rPr>
          <w:rFonts w:ascii="Yu Gothic" w:cs="Yu Gothic" w:eastAsia="Yu Gothic" w:hAnsi="Yu Gothic"/>
          <w:color w:val="1A1A1A"/>
          <w:sz w:val="22"/>
          <w:szCs w:val="22"/>
        </w:rPr>
        <w:t xml:space="preserve">種データベース：環境省レッドリストAPI連携（</w:t>
      </w:r>
      <w:hyperlink w:history="1" r:id="rIdasaeglotnee5aco0t5tny">
        <w:r>
          <w:rPr>
            <w:rFonts w:ascii="Yu Gothic" w:cs="Yu Gothic" w:eastAsia="Yu Gothic" w:hAnsi="Yu Gothic"/>
            <w:color w:val="1155CC"/>
            <w:sz w:val="22"/>
            <w:szCs w:val="22"/>
            <w:u w:val="single" w:color="1155CC"/>
          </w:rPr>
          <w:t xml:space="preserve">環境省レッドリスト</w:t>
        </w:r>
      </w:hyperlink>
      <w:r>
        <w:rPr>
          <w:rFonts w:ascii="Yu Gothic" w:cs="Yu Gothic" w:eastAsia="Yu Gothic" w:hAnsi="Yu Gothic"/>
          <w:color w:val="1A1A1A"/>
          <w:sz w:val="22"/>
          <w:szCs w:val="22"/>
        </w:rPr>
        <w:t xml:space="preserve">）・都道府県版レッドリスト静的データベース（四半期更新）。</w:t>
      </w:r>
    </w:p>
    <w:p>
      <w:pPr>
        <w:pStyle w:val="ListParagraph"/>
        <w:numPr>
          <w:ilvl w:val="0"/>
          <w:numId w:val="2"/>
        </w:numPr>
        <w:spacing w:before="60" w:after="60"/>
      </w:pPr>
      <w:r>
        <w:rPr>
          <w:rFonts w:ascii="Yu Gothic" w:cs="Yu Gothic" w:eastAsia="Yu Gothic" w:hAnsi="Yu Gothic"/>
          <w:color w:val="1A1A1A"/>
          <w:sz w:val="22"/>
          <w:szCs w:val="22"/>
        </w:rPr>
        <w:t xml:space="preserve">地図レイヤー：MapBoxまたはEsri Japan ベースマップ＋政府ライセンスの空間データオーバーレイ（国立公園境界・自然環境保全地域・環境省GISポータルの野生動物回廊データ）。環境省GISポータル：</w:t>
      </w:r>
      <w:hyperlink w:history="1" r:id="rIdsw3klzlejvaihpt40xjga">
        <w:r>
          <w:rPr>
            <w:rFonts w:ascii="Yu Gothic" w:cs="Yu Gothic" w:eastAsia="Yu Gothic" w:hAnsi="Yu Gothic"/>
            <w:color w:val="1155CC"/>
            <w:sz w:val="22"/>
            <w:szCs w:val="22"/>
            <w:u w:val="single" w:color="1155CC"/>
          </w:rPr>
          <w:t xml:space="preserve">環境省GIS</w:t>
        </w:r>
      </w:hyperlink>
    </w:p>
    <w:p>
      <w:pPr>
        <w:pStyle w:val="ListParagraph"/>
        <w:numPr>
          <w:ilvl w:val="0"/>
          <w:numId w:val="2"/>
        </w:numPr>
        <w:spacing w:before="60" w:after="60"/>
      </w:pPr>
      <w:r>
        <w:rPr>
          <w:rFonts w:ascii="Yu Gothic" w:cs="Yu Gothic" w:eastAsia="Yu Gothic" w:hAnsi="Yu Gothic"/>
          <w:color w:val="1A1A1A"/>
          <w:sz w:val="22"/>
          <w:szCs w:val="22"/>
        </w:rPr>
        <w:t xml:space="preserve">WildCatcher統合：WildCatcher検出・分類エンジンへのREST API接続。プロジェクト別モデル選択機能付き。</w:t>
      </w:r>
    </w:p>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第6章　価格・収益モデル</w:t>
      </w:r>
    </w:p>
    <w:p>
      <w:pPr>
        <w:spacing w:before="80" w:after="80"/>
      </w:pPr>
      <w:r>
        <w:rPr>
          <w:rFonts w:ascii="Yu Gothic" w:cs="Yu Gothic" w:eastAsia="Yu Gothic" w:hAnsi="Yu Gothic"/>
          <w:color w:val="1A1A1A"/>
          <w:sz w:val="22"/>
          <w:szCs w:val="22"/>
        </w:rPr>
        <w:t xml:space="preserve">価格設定は、環境コンサルタント会社がコストを考える方法に合わせて設計されています。小規模事務所向けのプロジェクト単位課金、大規模事務所向けの年間定額無制限プランを用意します。EIA費用はクライアントに転嫁可能であり、かつ事業費全体に占める割合が小さいため、価格感度は低い傾向にあります。</w:t>
      </w:r>
    </w:p>
    <w:p>
      <w:pPr>
        <w:spacing w:before="120" w:after="0"/>
      </w:pPr>
    </w:p>
    <w:p>
      <w:pPr>
        <w:pStyle w:val="Heading2"/>
        <w:spacing w:before="360" w:after="160"/>
      </w:pPr>
      <w:r>
        <w:rPr>
          <w:rFonts w:ascii="Yu Gothic" w:cs="Yu Gothic" w:eastAsia="Yu Gothic" w:hAnsi="Yu Gothic"/>
          <w:b/>
          <w:bCs/>
          <w:color w:val="1A4D2E"/>
          <w:sz w:val="28"/>
          <w:szCs w:val="28"/>
        </w:rPr>
        <w:t xml:space="preserve">6.1 価格プラン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プラン</w:t>
            </w:r>
          </w:p>
        </w:tc>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価格</w:t>
            </w:r>
          </w:p>
        </w:tc>
        <w:tc>
          <w:tcPr>
            <w:tcW w:type="dxa" w:w="5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内容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スターター（プロジェクト単位）</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8万円/案件</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1案件の全モジュール利用。ユーザー5名まで。12ヶ月間アクセス。初めてご利用の小規模事務所に最適。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プロフェッショナル（年間）</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48万円/年</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プロジェクト数無制限。ユーザー15名まで。優先サポート。都道府県別書式ライブラリ。47都道府県版レッドリスト全対応。中堅コンサルタント事務所に最適。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エンタープライズ（年間）</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120万円/年</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プロジェクト数・ユーザー数無制限。都道府県条例カスタム設定。専任オンボーディング。APIアクセス。TNFDモジュール含む。大手コンサルタント会社・ゼネコン内製チームに最適。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TNFDオプション</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12万円/年</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投資家向けTNFD LEAP整合の生物多様性データ出力機能。全プランに追加可能。</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カスタムモデルバンドル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要見積</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ReCorta構築のカスタムWildCatcherモデルをEIAプロジェクトへ統合。推論量に応じた従量課金。</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オンボーディング・初期設定</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8万円（初回のみ）</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3時間のオンボーディングセッション・カスタム種テンプレート設定・都道府県書式設定。</w:t>
            </w:r>
          </w:p>
        </w:tc>
      </w:tr>
    </w:tbl>
    <w:p>
      <w:pPr>
        <w:spacing w:before="120" w:after="0"/>
      </w:pPr>
    </w:p>
    <w:p>
      <w:pPr>
        <w:pStyle w:val="Heading2"/>
        <w:spacing w:before="360" w:after="160"/>
      </w:pPr>
      <w:r>
        <w:rPr>
          <w:rFonts w:ascii="Yu Gothic" w:cs="Yu Gothic" w:eastAsia="Yu Gothic" w:hAnsi="Yu Gothic"/>
          <w:b/>
          <w:bCs/>
          <w:color w:val="1A4D2E"/>
          <w:sz w:val="28"/>
          <w:szCs w:val="28"/>
        </w:rPr>
        <w:t xml:space="preserve">6.2 収益予測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シナリオ</w:t>
            </w:r>
          </w:p>
        </w:tc>
        <w:tc>
          <w:tcPr>
            <w:tcW w:type="dxa" w:w="1953"/>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Year 1</w:t>
            </w:r>
          </w:p>
        </w:tc>
        <w:tc>
          <w:tcPr>
            <w:tcW w:type="dxa" w:w="1953"/>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Year 2</w:t>
            </w:r>
          </w:p>
        </w:tc>
        <w:tc>
          <w:tcPr>
            <w:tcW w:type="dxa" w:w="1954"/>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Year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保守的：プロフェッショナル30社＋エンタープライズ5社</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約2,040万円</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約4,080万円</w:t>
            </w:r>
          </w:p>
        </w:tc>
        <w:tc>
          <w:tcPr>
            <w:tcW w:type="dxa" w:w="1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約6,000万円+</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基本：プロフェッショナル80社＋エンタープライズ15社</w:t>
            </w:r>
          </w:p>
        </w:tc>
        <w:tc>
          <w:tcPr>
            <w:tcW w:type="dxa" w:w="19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約4,980万円</w:t>
            </w:r>
          </w:p>
        </w:tc>
        <w:tc>
          <w:tcPr>
            <w:tcW w:type="dxa" w:w="19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約9,500万円</w:t>
            </w:r>
          </w:p>
        </w:tc>
        <w:tc>
          <w:tcPr>
            <w:tcW w:type="dxa" w:w="19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約1.5億円+</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楽観的：プロフェッショナル200社＋エンタープライズ40社</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約1億4,400万円</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約2億5,000万円</w:t>
            </w:r>
          </w:p>
        </w:tc>
        <w:tc>
          <w:tcPr>
            <w:tcW w:type="dxa" w:w="1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約4億円+</w:t>
            </w:r>
          </w:p>
        </w:tc>
      </w:tr>
    </w:tbl>
    <w:p>
      <w:pPr>
        <w:spacing w:before="120" w:after="0"/>
      </w:pPr>
    </w:p>
    <w:p>
      <w:pPr>
        <w:spacing w:before="80" w:after="80"/>
      </w:pPr>
      <w:r>
        <w:rPr>
          <w:rFonts w:ascii="Yu Gothic" w:cs="Yu Gothic" w:eastAsia="Yu Gothic" w:hAnsi="Yu Gothic"/>
          <w:color w:val="1A1A1A"/>
          <w:sz w:val="22"/>
          <w:szCs w:val="22"/>
        </w:rPr>
        <w:t xml:space="preserve">これらの予測は行政との契約を含みません。都道府県行政機関がプラットフォームをEIA管理の標準ツールとして採用した場合、一件の契約で500〜2,000万円規模の追加収益が見込まれます。</w:t>
      </w:r>
    </w:p>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第7章　市場参入戦略（GTM）</w:t>
      </w:r>
    </w:p>
    <w:p>
      <w:pPr>
        <w:pStyle w:val="Heading2"/>
        <w:spacing w:before="360" w:after="160"/>
      </w:pPr>
      <w:r>
        <w:rPr>
          <w:rFonts w:ascii="Yu Gothic" w:cs="Yu Gothic" w:eastAsia="Yu Gothic" w:hAnsi="Yu Gothic"/>
          <w:b/>
          <w:bCs/>
          <w:color w:val="1A4D2E"/>
          <w:sz w:val="28"/>
          <w:szCs w:val="28"/>
        </w:rPr>
        <w:t xml:space="preserve">7.1 販売モーション</w:t>
      </w:r>
    </w:p>
    <w:p>
      <w:pPr>
        <w:spacing w:before="80" w:after="80"/>
      </w:pPr>
      <w:r>
        <w:rPr>
          <w:rFonts w:ascii="Yu Gothic" w:cs="Yu Gothic" w:eastAsia="Yu Gothic" w:hAnsi="Yu Gothic"/>
          <w:color w:val="1A1A1A"/>
          <w:sz w:val="22"/>
          <w:szCs w:val="22"/>
        </w:rPr>
        <w:t xml:space="preserve">EIAツールキットは個人ではなく組織に販売します。意思決定者は、小〜中規模環境コンサルタント会社の代表・主任コンサルタント、または大手建設会社の環境部門長です。主要な販売モーションはPLG（プロダクトレッドグロース）ではなく、ダイレクトアウトリーチ＋デモンストレーションです。</w:t>
      </w:r>
    </w:p>
    <w:p>
      <w:pPr>
        <w:spacing w:before="120" w:after="0"/>
      </w:pPr>
    </w:p>
    <w:p>
      <w:pPr>
        <w:pStyle w:val="Heading3"/>
        <w:spacing w:before="240" w:after="100"/>
      </w:pPr>
      <w:r>
        <w:rPr>
          <w:rFonts w:ascii="Yu Gothic" w:cs="Yu Gothic" w:eastAsia="Yu Gothic" w:hAnsi="Yu Gothic"/>
          <w:b/>
          <w:bCs/>
          <w:color w:val="C4622D"/>
          <w:sz w:val="24"/>
          <w:szCs w:val="24"/>
        </w:rPr>
        <w:t xml:space="preserve">チャネル1：環境コンサルタント会社（主力）</w:t>
      </w:r>
    </w:p>
    <w:p>
      <w:pPr>
        <w:spacing w:before="80" w:after="80"/>
      </w:pPr>
      <w:r>
        <w:rPr>
          <w:rFonts w:ascii="Yu Gothic" w:cs="Yu Gothic" w:eastAsia="Yu Gothic" w:hAnsi="Yu Gothic"/>
          <w:color w:val="1A1A1A"/>
          <w:sz w:val="22"/>
          <w:szCs w:val="22"/>
        </w:rPr>
        <w:t xml:space="preserve">日本には約2,000社の環境コンサルタント会社が登録されています。EIA案件件数上位100〜200社が主要ターゲットです。主要業界団体を通じたアウトリーチが最も有効です：</w:t>
      </w:r>
    </w:p>
    <w:p>
      <w:pPr>
        <w:pStyle w:val="ListParagraph"/>
        <w:numPr>
          <w:ilvl w:val="0"/>
          <w:numId w:val="2"/>
        </w:numPr>
        <w:spacing w:before="60" w:after="60"/>
      </w:pPr>
      <w:r>
        <w:rPr>
          <w:rFonts w:ascii="Yu Gothic" w:cs="Yu Gothic" w:eastAsia="Yu Gothic" w:hAnsi="Yu Gothic"/>
          <w:color w:val="1A1A1A"/>
          <w:sz w:val="22"/>
          <w:szCs w:val="22"/>
        </w:rPr>
        <w:t xml:space="preserve">日本環境アセスメント協会（JEAS）：中核的な専門家協会。年次大会への出展・学会誌への論文投稿が最高レバレッジのチャネルです。詳細：</w:t>
      </w:r>
      <w:hyperlink w:history="1" r:id="rId1er6c9v5xuhellgoql_si">
        <w:r>
          <w:rPr>
            <w:rFonts w:ascii="Yu Gothic" w:cs="Yu Gothic" w:eastAsia="Yu Gothic" w:hAnsi="Yu Gothic"/>
            <w:color w:val="1155CC"/>
            <w:sz w:val="22"/>
            <w:szCs w:val="22"/>
            <w:u w:val="single" w:color="1155CC"/>
          </w:rPr>
          <w:t xml:space="preserve">jeas.org</w:t>
        </w:r>
      </w:hyperlink>
    </w:p>
    <w:p>
      <w:pPr>
        <w:pStyle w:val="ListParagraph"/>
        <w:numPr>
          <w:ilvl w:val="0"/>
          <w:numId w:val="2"/>
        </w:numPr>
        <w:spacing w:before="60" w:after="60"/>
      </w:pPr>
      <w:r>
        <w:rPr>
          <w:rFonts w:ascii="Yu Gothic" w:cs="Yu Gothic" w:eastAsia="Yu Gothic" w:hAnsi="Yu Gothic"/>
          <w:color w:val="1A1A1A"/>
          <w:sz w:val="22"/>
          <w:szCs w:val="22"/>
        </w:rPr>
        <w:t xml:space="preserve">日本環境学会（JSES）：学術・実務家の交差点。</w:t>
      </w:r>
    </w:p>
    <w:p>
      <w:pPr>
        <w:pStyle w:val="ListParagraph"/>
        <w:numPr>
          <w:ilvl w:val="0"/>
          <w:numId w:val="2"/>
        </w:numPr>
        <w:spacing w:before="60" w:after="60"/>
      </w:pPr>
      <w:r>
        <w:rPr>
          <w:rFonts w:ascii="Yu Gothic" w:cs="Yu Gothic" w:eastAsia="Yu Gothic" w:hAnsi="Yu Gothic"/>
          <w:color w:val="1A1A1A"/>
          <w:sz w:val="22"/>
          <w:szCs w:val="22"/>
        </w:rPr>
        <w:t xml:space="preserve">産業環境管理協会（JEMAI）：産業界向けの環境マネジメント団体。</w:t>
      </w:r>
    </w:p>
    <w:p>
      <w:pPr>
        <w:spacing w:before="120" w:after="0"/>
      </w:pPr>
    </w:p>
    <w:p>
      <w:pPr>
        <w:pStyle w:val="Heading3"/>
        <w:spacing w:before="240" w:after="100"/>
      </w:pPr>
      <w:r>
        <w:rPr>
          <w:rFonts w:ascii="Yu Gothic" w:cs="Yu Gothic" w:eastAsia="Yu Gothic" w:hAnsi="Yu Gothic"/>
          <w:b/>
          <w:bCs/>
          <w:color w:val="C4622D"/>
          <w:sz w:val="24"/>
          <w:szCs w:val="24"/>
        </w:rPr>
        <w:t xml:space="preserve">チャネル2：再エネ開発事業者（高成長）</w:t>
      </w:r>
    </w:p>
    <w:p>
      <w:pPr>
        <w:spacing w:before="80" w:after="80"/>
      </w:pPr>
      <w:r>
        <w:rPr>
          <w:rFonts w:ascii="Yu Gothic" w:cs="Yu Gothic" w:eastAsia="Yu Gothic" w:hAnsi="Yu Gothic"/>
          <w:color w:val="1A1A1A"/>
          <w:sz w:val="22"/>
          <w:szCs w:val="22"/>
        </w:rPr>
        <w:t xml:space="preserve">洋上風力・陸上風力・大規模太陽光の開発事業者は全てEIAが必要です。GX戦略により、このセグメントが最速で成長しています。J-Power・JERA・ユーラスエナジー、および日本市場に参入している欧州系風力開発事業者が主要ターゲットです。予算規模が大きく、プロジェクト工程への切迫感があります。</w:t>
      </w:r>
    </w:p>
    <w:p>
      <w:pPr>
        <w:spacing w:before="120" w:after="0"/>
      </w:pPr>
    </w:p>
    <w:p>
      <w:pPr>
        <w:pStyle w:val="Heading3"/>
        <w:spacing w:before="240" w:after="100"/>
      </w:pPr>
      <w:r>
        <w:rPr>
          <w:rFonts w:ascii="Yu Gothic" w:cs="Yu Gothic" w:eastAsia="Yu Gothic" w:hAnsi="Yu Gothic"/>
          <w:b/>
          <w:bCs/>
          <w:color w:val="C4622D"/>
          <w:sz w:val="24"/>
          <w:szCs w:val="24"/>
        </w:rPr>
        <w:t xml:space="preserve">チャネル3：ゼネコン内製環境部門</w:t>
      </w:r>
    </w:p>
    <w:p>
      <w:pPr>
        <w:spacing w:before="80" w:after="80"/>
      </w:pPr>
      <w:r>
        <w:rPr>
          <w:rFonts w:ascii="Yu Gothic" w:cs="Yu Gothic" w:eastAsia="Yu Gothic" w:hAnsi="Yu Gothic"/>
          <w:color w:val="1A1A1A"/>
          <w:sz w:val="22"/>
          <w:szCs w:val="22"/>
        </w:rPr>
        <w:t xml:space="preserve">大林組・清水建設・鹿島建設・大成建設・竹中工務店・熊谷組など主要ゼネコンは全て、自社プロジェクトのEIAを管理する内製環境アセスメント部門を有しています。これらはエンタープライズ層の案件で、調達サイクルは12〜24ヶ月ですが、契約金額が大きく継続性も高いです。</w:t>
      </w:r>
    </w:p>
    <w:p>
      <w:pPr>
        <w:spacing w:before="120" w:after="0"/>
      </w:pPr>
    </w:p>
    <w:p>
      <w:pPr>
        <w:pStyle w:val="Heading3"/>
        <w:spacing w:before="240" w:after="100"/>
      </w:pPr>
      <w:r>
        <w:rPr>
          <w:rFonts w:ascii="Yu Gothic" w:cs="Yu Gothic" w:eastAsia="Yu Gothic" w:hAnsi="Yu Gothic"/>
          <w:b/>
          <w:bCs/>
          <w:color w:val="C4622D"/>
          <w:sz w:val="24"/>
          <w:szCs w:val="24"/>
        </w:rPr>
        <w:t xml:space="preserve">チャネル4：行政パイロットプログラム</w:t>
      </w:r>
    </w:p>
    <w:p>
      <w:pPr>
        <w:spacing w:before="80" w:after="80"/>
      </w:pPr>
      <w:r>
        <w:rPr>
          <w:rFonts w:ascii="Yu Gothic" w:cs="Yu Gothic" w:eastAsia="Yu Gothic" w:hAnsi="Yu Gothic"/>
          <w:color w:val="1A1A1A"/>
          <w:sz w:val="22"/>
          <w:szCs w:val="22"/>
        </w:rPr>
        <w:t xml:space="preserve">環境省はEIA品質向上のための人材育成・普及事業を実施しています。補助金付きパイロット展開（低価格提供と引き換えにフィードバックと行政推薦を取得）は、市場全体での信頼構築への最速ルートです。時間と関係構築が必要ですが、他の競合が追いつけない信頼性上の優位性を生み出します。</w:t>
      </w:r>
    </w:p>
    <w:p>
      <w:pPr>
        <w:spacing w:before="120" w:after="0"/>
      </w:pPr>
    </w:p>
    <w:p>
      <w:pPr>
        <w:pStyle w:val="Heading2"/>
        <w:spacing w:before="360" w:after="160"/>
      </w:pPr>
      <w:r>
        <w:rPr>
          <w:rFonts w:ascii="Yu Gothic" w:cs="Yu Gothic" w:eastAsia="Yu Gothic" w:hAnsi="Yu Gothic"/>
          <w:b/>
          <w:bCs/>
          <w:color w:val="1A4D2E"/>
          <w:sz w:val="28"/>
          <w:szCs w:val="28"/>
        </w:rPr>
        <w:t xml:space="preserve">7.2 ポジショニング・メッセージング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D2E" w:sz="12"/>
              <w:bottom w:val="none" w:color="FFFFFF" w:sz="0"/>
              <w:right w:val="none" w:color="FFFFFF" w:sz="0"/>
            </w:tcBorders>
            <w:shd w:fill="E8F4EC" w:val="clear"/>
            <w:tcMar>
              <w:top w:type="dxa" w:w="120"/>
              <w:left w:type="dxa" w:w="240"/>
              <w:bottom w:type="dxa" w:w="120"/>
              <w:right w:type="dxa" w:w="120"/>
            </w:tcMar>
          </w:tcPr>
          <w:p>
            <w:r>
              <w:rPr>
                <w:rFonts w:ascii="Yu Gothic" w:cs="Yu Gothic" w:eastAsia="Yu Gothic" w:hAnsi="Yu Gothic"/>
                <w:i/>
                <w:iCs/>
                <w:color w:val="1A1A1A"/>
                <w:sz w:val="22"/>
                <w:szCs w:val="22"/>
              </w:rPr>
              <w:t xml:space="preserve">コアメッセージ：「日本法令・日本の生物種・日本の行政書式に特化して構築された、日本初のEIA生物多様性プラットフォーム。報告書作成時間を70%短縮。レッドリスト記載種の見落としゼロ。」</w:t>
            </w:r>
          </w:p>
        </w:tc>
      </w:tr>
    </w:tbl>
    <w:p>
      <w:pPr>
        <w:spacing w:before="120" w:after="0"/>
      </w:pPr>
    </w:p>
    <w:p>
      <w:pPr>
        <w:spacing w:before="80" w:after="80"/>
      </w:pPr>
      <w:r>
        <w:rPr>
          <w:rFonts w:ascii="Yu Gothic" w:cs="Yu Gothic" w:eastAsia="Yu Gothic" w:hAnsi="Yu Gothic"/>
          <w:color w:val="1A1A1A"/>
          <w:sz w:val="22"/>
          <w:szCs w:val="22"/>
        </w:rPr>
        <w:t xml:space="preserve">ターゲット別サブメッセージ：</w:t>
      </w:r>
    </w:p>
    <w:p>
      <w:pPr>
        <w:pStyle w:val="ListParagraph"/>
        <w:numPr>
          <w:ilvl w:val="0"/>
          <w:numId w:val="2"/>
        </w:numPr>
        <w:spacing w:before="60" w:after="60"/>
      </w:pPr>
      <w:r>
        <w:rPr>
          <w:rFonts w:ascii="Yu Gothic" w:cs="Yu Gothic" w:eastAsia="Yu Gothic" w:hAnsi="Yu Gothic"/>
          <w:color w:val="1A1A1A"/>
          <w:sz w:val="22"/>
          <w:szCs w:val="22"/>
        </w:rPr>
        <w:t xml:space="preserve">コンサルタント会社向け：「同じ人員で30%多くのEIA案件を処理できます。」</w:t>
      </w:r>
    </w:p>
    <w:p>
      <w:pPr>
        <w:pStyle w:val="ListParagraph"/>
        <w:numPr>
          <w:ilvl w:val="0"/>
          <w:numId w:val="2"/>
        </w:numPr>
        <w:spacing w:before="60" w:after="60"/>
      </w:pPr>
      <w:r>
        <w:rPr>
          <w:rFonts w:ascii="Yu Gothic" w:cs="Yu Gothic" w:eastAsia="Yu Gothic" w:hAnsi="Yu Gothic"/>
          <w:color w:val="1A1A1A"/>
          <w:sz w:val="22"/>
          <w:szCs w:val="22"/>
        </w:rPr>
        <w:t xml:space="preserve">ゼネコン内製チーム向け：「コンプライアンスリスクをゼロに。全調査・全種・全書式を最初から正確に。」</w:t>
      </w:r>
    </w:p>
    <w:p>
      <w:pPr>
        <w:pStyle w:val="ListParagraph"/>
        <w:numPr>
          <w:ilvl w:val="0"/>
          <w:numId w:val="2"/>
        </w:numPr>
        <w:spacing w:before="60" w:after="60"/>
      </w:pPr>
      <w:r>
        <w:rPr>
          <w:rFonts w:ascii="Yu Gothic" w:cs="Yu Gothic" w:eastAsia="Yu Gothic" w:hAnsi="Yu Gothic"/>
          <w:color w:val="1A1A1A"/>
          <w:sz w:val="22"/>
          <w:szCs w:val="22"/>
        </w:rPr>
        <w:t xml:space="preserve">再エネ開発事業者向け：「許認可取得を早期化。環境省・都道府県が求めるものを熟知しています。」</w:t>
      </w:r>
    </w:p>
    <w:p>
      <w:pPr>
        <w:pStyle w:val="ListParagraph"/>
        <w:numPr>
          <w:ilvl w:val="0"/>
          <w:numId w:val="2"/>
        </w:numPr>
        <w:spacing w:before="60" w:after="60"/>
      </w:pPr>
      <w:r>
        <w:rPr>
          <w:rFonts w:ascii="Yu Gothic" w:cs="Yu Gothic" w:eastAsia="Yu Gothic" w:hAnsi="Yu Gothic"/>
          <w:color w:val="1A1A1A"/>
          <w:sz w:val="22"/>
          <w:szCs w:val="22"/>
        </w:rPr>
        <w:t xml:space="preserve">TNFD開示企業向け：「生物多様性調査データを投資家向けの自然情報開示に自動変換。」</w:t>
      </w:r>
    </w:p>
    <w:p>
      <w:pPr>
        <w:spacing w:before="120" w:after="0"/>
      </w:pPr>
    </w:p>
    <w:p>
      <w:pPr>
        <w:pStyle w:val="Heading2"/>
        <w:spacing w:before="360" w:after="160"/>
      </w:pPr>
      <w:r>
        <w:rPr>
          <w:rFonts w:ascii="Yu Gothic" w:cs="Yu Gothic" w:eastAsia="Yu Gothic" w:hAnsi="Yu Gothic"/>
          <w:b/>
          <w:bCs/>
          <w:color w:val="1A4D2E"/>
          <w:sz w:val="28"/>
          <w:szCs w:val="28"/>
        </w:rPr>
        <w:t xml:space="preserve">7.3 ローンチシーケンス</w:t>
      </w:r>
    </w:p>
    <w:p>
      <w:pPr>
        <w:pStyle w:val="ListParagraph"/>
        <w:numPr>
          <w:ilvl w:val="0"/>
          <w:numId w:val="3"/>
        </w:numPr>
        <w:spacing w:before="60" w:after="60"/>
      </w:pPr>
      <w:r>
        <w:rPr>
          <w:rFonts w:ascii="Yu Gothic" w:cs="Yu Gothic" w:eastAsia="Yu Gothic" w:hAnsi="Yu Gothic"/>
          <w:color w:val="1A1A1A"/>
          <w:sz w:val="22"/>
          <w:szCs w:val="22"/>
        </w:rPr>
        <w:t xml:space="preserve">フェーズ1（1〜6ヶ月）：5〜10社のコンサルタント会社とのクローズドベータ。モジュール2（スコーピング）とモジュール5（報告書生成）に集中。実際の進行中EIA案件でリアルな報告書を構築。フィードバックを徹底収集。</w:t>
      </w:r>
    </w:p>
    <w:p>
      <w:pPr>
        <w:pStyle w:val="ListParagraph"/>
        <w:numPr>
          <w:ilvl w:val="0"/>
          <w:numId w:val="3"/>
        </w:numPr>
        <w:spacing w:before="60" w:after="60"/>
      </w:pPr>
      <w:r>
        <w:rPr>
          <w:rFonts w:ascii="Yu Gothic" w:cs="Yu Gothic" w:eastAsia="Yu Gothic" w:hAnsi="Yu Gothic"/>
          <w:color w:val="1A1A1A"/>
          <w:sz w:val="22"/>
          <w:szCs w:val="22"/>
        </w:rPr>
        <w:t xml:space="preserve">フェーズ2（7〜12ヶ月）：プロフェッショナルプランのみで公開ローンチ。JEAS年次大会で発表。具名入りのコンサルタント会社クライアントとの時間節約効果を示すケーススタディを公表。</w:t>
      </w:r>
    </w:p>
    <w:p>
      <w:pPr>
        <w:pStyle w:val="ListParagraph"/>
        <w:numPr>
          <w:ilvl w:val="0"/>
          <w:numId w:val="3"/>
        </w:numPr>
        <w:spacing w:before="60" w:after="60"/>
      </w:pPr>
      <w:r>
        <w:rPr>
          <w:rFonts w:ascii="Yu Gothic" w:cs="Yu Gothic" w:eastAsia="Yu Gothic" w:hAnsi="Yu Gothic"/>
          <w:color w:val="1A1A1A"/>
          <w:sz w:val="22"/>
          <w:szCs w:val="22"/>
        </w:rPr>
        <w:t xml:space="preserve">フェーズ3（2年目）：エンタープライズプランのローンチ。ゼネコン・再エネ開発事業者へのアウトリーチ開始。日本のTNFD開示推進の流れに合わせてTNFDアドオンモジュールをローンチ。</w:t>
      </w:r>
    </w:p>
    <w:p>
      <w:pPr>
        <w:pStyle w:val="ListParagraph"/>
        <w:numPr>
          <w:ilvl w:val="0"/>
          <w:numId w:val="3"/>
        </w:numPr>
        <w:spacing w:before="60" w:after="60"/>
      </w:pPr>
      <w:r>
        <w:rPr>
          <w:rFonts w:ascii="Yu Gothic" w:cs="Yu Gothic" w:eastAsia="Yu Gothic" w:hAnsi="Yu Gothic"/>
          <w:color w:val="1A1A1A"/>
          <w:sz w:val="22"/>
          <w:szCs w:val="22"/>
        </w:rPr>
        <w:t xml:space="preserve">フェーズ4（3年目以降）：行政チャネル。環境省パイロットプログラムおよび都道府県EIA書式標準化イニシアチブの推進。</w:t>
      </w:r>
    </w:p>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第8章　主要セールスポイントまとめ</w:t>
      </w:r>
    </w:p>
    <w:p>
      <w:pPr>
        <w:spacing w:before="80" w:after="80"/>
      </w:pPr>
      <w:r>
        <w:rPr>
          <w:rFonts w:ascii="Yu Gothic" w:cs="Yu Gothic" w:eastAsia="Yu Gothic" w:hAnsi="Yu Gothic"/>
          <w:color w:val="1A1A1A"/>
          <w:sz w:val="22"/>
          <w:szCs w:val="22"/>
        </w:rPr>
        <w:t xml:space="preserve">これらは商談を成立させるメッセージです。Webサイト・デモ・営業コール・提案書で前面に出すべきポイントです。</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6360"/>
      </w:tblGrid>
      <w:tr>
        <w:trPr>
          <w:tblHeader/>
        </w:trPr>
        <w:tc>
          <w:tcPr>
            <w:tcW w:type="dxa" w:w="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セールスポイント</w:t>
            </w:r>
          </w:p>
        </w:tc>
        <w:tc>
          <w:tcPr>
            <w:tcW w:type="dxa" w:w="6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なぜ競合を制するか</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日本ファースト・日本オンリー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あらゆる競合製品は日本への適応が不十分なグローバルツールです。EIAツールキットは日本の法令・日本の生物種・日本の書式のために一から構築されています。これは機能ではなく、製品そのものです。</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報告書作成が数週間から数時間へ</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EIS生物多様性章は現在、熟練コンサルタントが白紙から作成するのに2〜4週間かかります。ツールキットは完全な草稿を数時間で生成します。これが最大のROI論拠です。</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48種類のレッドリストを内蔵</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国レベルの環境省レッドリストと47都道府県版レッドリストを統合・自動照合します。コンサルタントが手動でレッドリストを検索する必要はゼロ。種の見落としもゼロ。</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WildCatcher統合は唯一無二のモート</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世界のどのEIAプラットフォームも、フィールドAI検出をEIAワークフローに直接接続していません。カメラトラップデータがトラップから種リストを経てEISへ自動で流れます。競合が短期間で模倣できない本質的な参入障壁です。</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法令コンプライアンスレイヤー</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2025年4月施行の新生物多様性法のように法令が改正された際、進行中のプロジェクトにアラートが届きます。他のツールにはこの機能がありません。見落とした規制更新はコンサルタントにとって深刻な法的リスクです。ツールキットはこれを不可能にします。</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洋上風力のタイミング</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日本の洋上風力EIAのボトルネックは文書化済みです。2026年1月の業界コンソーシアムが、不十分なEIAツールをリスクとして明確に指摘しました。EIAツールキットは実名の購買者プールが存在する問題へのソリューションとして登場します。</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TNFD二重目的出力</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行政EIS提出に使用した同一の調査データが、TNFD整合の生物多様性開示書類も自動生成します。日本は世界のTNFD採用をリードしています。追加調査コストゼロで規制対応データを投資家向け報告に転換します。</w:t>
            </w:r>
          </w:p>
        </w:tc>
      </w:tr>
      <w:tr>
        <w:tc>
          <w:tcPr>
            <w:tcW w:type="dxa" w:w="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価値に対する価格</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主要プロジェクトのEIA費用は数千万円規模に達します。年間48万円のツールキットは事業費の誤差範囲内です。調達の障壁は価格ではなく信頼と慣性です。デモがこのギャップを埋めます。</w:t>
            </w:r>
          </w:p>
        </w:tc>
      </w:tr>
    </w:tbl>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第9章　主要リスクと対策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リスク</w:t>
            </w:r>
          </w:p>
        </w:tc>
        <w:tc>
          <w:tcPr>
            <w:tcW w:type="dxa" w:w="6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Yu Gothic" w:cs="Yu Gothic" w:eastAsia="Yu Gothic" w:hAnsi="Yu Gothic"/>
                <w:b/>
                <w:bCs/>
                <w:color w:val="FFFFFF"/>
                <w:sz w:val="20"/>
                <w:szCs w:val="20"/>
              </w:rPr>
              <w:t xml:space="preserve">対策</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エンタープライズの長い調達サイクル</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プロフェッショナルプランをオンラインで素早く契約できる設計を優先。エンタープライズは採用事例が積み重なった後に追う。1社のゼネコン参考顧客がカテゴリ全体の信頼を開く。</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日本固有の法的複雑性</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初日から資格を持つ環境コンサルタントを製品アドバイザーとして起用。その名前を製品に冠することで信頼性と法的正確性を担保。</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都道府県書式の多様性</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まず案件件数上位10都道府県（東京・神奈川・大阪・愛知・千葉・埼玉・北海道・福岡・広島・長野）から開始し、需要に応じて追加。</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データレジデンシーへの懸念</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全データをAWS東京リージョンで保管。ローンチ初日からAPPI準拠。行政クライアントにとって必須要件であり、全ての購買者への信頼シグナルになります。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現行Excel慣行への慣性</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Yu Gothic" w:cs="Yu Gothic" w:eastAsia="Yu Gothic" w:hAnsi="Yu Gothic"/>
                <w:color w:val="1A1A1A"/>
                <w:sz w:val="20"/>
                <w:szCs w:val="20"/>
              </w:rPr>
              <w:t xml:space="preserve">Excel単独では解決できない課題（レッドリスト照合・報告書フォーマット）を強調したデモに集中。これらがコンサルタントが最も嫌う作業であり、全デモの中心に据えます。</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種データベースのメンテナンス</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Yu Gothic" w:cs="Yu Gothic" w:eastAsia="Yu Gothic" w:hAnsi="Yu Gothic"/>
                <w:color w:val="1A1A1A"/>
                <w:sz w:val="20"/>
                <w:szCs w:val="20"/>
              </w:rPr>
              <w:t xml:space="preserve">環境省レッドリストは定期的に更新されます。チームメンバー1名に四半期ごとのデータベース更新担当を割り当て。運用上の問題であり、製品リスクではありません。</w:t>
            </w:r>
          </w:p>
        </w:tc>
      </w:tr>
    </w:tbl>
    <w:p>
      <w:pPr>
        <w:spacing w:before="120" w:after="0"/>
      </w:pPr>
    </w:p>
    <w:p>
      <w:pPr>
        <w:pStyle w:val="Heading1"/>
        <w:pBdr>
          <w:bottom w:val="single" w:color="1A4D2E" w:sz="6" w:space="6"/>
        </w:pBdr>
        <w:spacing w:before="480" w:after="200"/>
      </w:pPr>
      <w:r>
        <w:rPr>
          <w:rFonts w:ascii="Yu Gothic" w:cs="Yu Gothic" w:eastAsia="Yu Gothic" w:hAnsi="Yu Gothic"/>
          <w:b/>
          <w:bCs/>
          <w:color w:val="1A4D2E"/>
          <w:sz w:val="36"/>
          <w:szCs w:val="36"/>
        </w:rPr>
        <w:t xml:space="preserve">第10章　結論</w:t>
      </w:r>
    </w:p>
    <w:p>
      <w:pPr>
        <w:spacing w:before="80" w:after="80"/>
      </w:pPr>
      <w:r>
        <w:rPr>
          <w:rFonts w:ascii="Yu Gothic" w:cs="Yu Gothic" w:eastAsia="Yu Gothic" w:hAnsi="Yu Gothic"/>
          <w:color w:val="1A1A1A"/>
          <w:sz w:val="22"/>
          <w:szCs w:val="22"/>
        </w:rPr>
        <w:t xml:space="preserve">EIAツールキットは、日本において法的義務として存在し、かつ満足なデジタルツールが不在の明確な市場ギャップに対応します。環境影響評価は任意ではなく、年間数百件のプロジェクトに法的に義務付けられています。グローバル競合は全て日本固有性において失敗しています。現状の標準はExcelとWordです。市場規模は大きく、GXと再エネ投資によって急速に成長しており、購買者は事業費に対して価格感度が低い。</w:t>
      </w:r>
    </w:p>
    <w:p>
      <w:pPr>
        <w:spacing w:before="120" w:after="0"/>
      </w:pPr>
    </w:p>
    <w:p>
      <w:pPr>
        <w:spacing w:before="80" w:after="80"/>
      </w:pPr>
      <w:r>
        <w:rPr>
          <w:rFonts w:ascii="Yu Gothic" w:cs="Yu Gothic" w:eastAsia="Yu Gothic" w:hAnsi="Yu Gothic"/>
          <w:color w:val="1A1A1A"/>
          <w:sz w:val="22"/>
          <w:szCs w:val="22"/>
        </w:rPr>
        <w:t xml:space="preserve">WildCatcher連携・既存の自然保護分野での信頼性・フィールドリサーチパートナーシップ・日本ネイティブのポジショニングというReCorta固有の優位性が、このポートフォリオ内で最も確度の高い製品ローンチをEIAツールキットとしています。この市場が存在するかどうかは問いではありません。ReCortaがいかに早くそれを掴むか、が問いです。</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D2E" w:sz="12"/>
              <w:bottom w:val="none" w:color="FFFFFF" w:sz="0"/>
              <w:right w:val="none" w:color="FFFFFF" w:sz="0"/>
            </w:tcBorders>
            <w:shd w:fill="E8F4EC" w:val="clear"/>
            <w:tcMar>
              <w:top w:type="dxa" w:w="120"/>
              <w:left w:type="dxa" w:w="240"/>
              <w:bottom w:type="dxa" w:w="120"/>
              <w:right w:type="dxa" w:w="120"/>
            </w:tcMar>
          </w:tcPr>
          <w:p>
            <w:r>
              <w:rPr>
                <w:rFonts w:ascii="Yu Gothic" w:cs="Yu Gothic" w:eastAsia="Yu Gothic" w:hAnsi="Yu Gothic"/>
                <w:color w:val="1A1A1A"/>
                <w:sz w:val="22"/>
                <w:szCs w:val="22"/>
              </w:rPr>
              <w:t xml:space="preserve">推奨される次のステップ：クローズドベータへの参加意向を持つ環境コンサルタント会社を5社特定します。6ヶ月間の無料アクセスを週次フィードバックセッションと実EIA案件をテストケースとして使用する許可と引き換えに提供します。ベータ参加社が最初の参照顧客となります。参照顧客が最初の50社の有償契約を獲得します。業界団体：</w:t>
            </w:r>
            <w:hyperlink w:history="1" r:id="rIdy1qvhdpbjh7noknxrueao">
              <w:r>
                <w:rPr>
                  <w:rFonts w:ascii="Yu Gothic" w:cs="Yu Gothic" w:eastAsia="Yu Gothic" w:hAnsi="Yu Gothic"/>
                  <w:color w:val="1155CC"/>
                  <w:sz w:val="22"/>
                  <w:szCs w:val="22"/>
                  <w:u w:val="single" w:color="1155CC"/>
                </w:rPr>
                <w:t xml:space="preserve">日本環境アセスメント協会（JEAS）</w:t>
              </w:r>
            </w:hyperlink>
            <w:r>
              <w:rPr>
                <w:rFonts w:ascii="Yu Gothic" w:cs="Yu Gothic" w:eastAsia="Yu Gothic" w:hAnsi="Yu Gothic"/>
                <w:color w:val="1A1A1A"/>
                <w:sz w:val="22"/>
                <w:szCs w:val="22"/>
              </w:rPr>
              <w:t xml:space="preserve">　環境省EIA情報：</w:t>
            </w:r>
            <w:hyperlink w:history="1" r:id="rIdc-yovihnbw50lbeqdmfco">
              <w:r>
                <w:rPr>
                  <w:rFonts w:ascii="Yu Gothic" w:cs="Yu Gothic" w:eastAsia="Yu Gothic" w:hAnsi="Yu Gothic"/>
                  <w:color w:val="1155CC"/>
                  <w:sz w:val="22"/>
                  <w:szCs w:val="22"/>
                  <w:u w:val="single" w:color="1155CC"/>
                </w:rPr>
                <w:t xml:space="preserve">assess.env.go.jp</w:t>
              </w:r>
            </w:hyperlink>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D2E" w:sz="4" w:space="4"/>
      </w:pBdr>
    </w:pPr>
    <w:r>
      <w:rPr>
        <w:rFonts w:ascii="Yu Gothic" w:cs="Yu Gothic" w:eastAsia="Yu Gothic" w:hAnsi="Yu Gothic"/>
        <w:color w:val="888888"/>
        <w:sz w:val="18"/>
        <w:szCs w:val="18"/>
      </w:rPr>
      <w:t xml:space="preserve">社外秘 — ReCorta LLC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D2E" w:sz="4" w:space="4"/>
      </w:pBdr>
    </w:pPr>
    <w:r>
      <w:rPr>
        <w:rFonts w:ascii="Yu Gothic" w:cs="Yu Gothic" w:eastAsia="Yu Gothic" w:hAnsi="Yu Gothic"/>
        <w:color w:val="888888"/>
        <w:sz w:val="18"/>
        <w:szCs w:val="18"/>
      </w:rPr>
      <w:t xml:space="preserve">ReCorta LLC — EIAツールキット</w:t>
    </w:r>
    <w:r>
      <w:rPr>
        <w:rFonts w:ascii="Yu Gothic" w:cs="Yu Gothic" w:eastAsia="Yu Gothic" w:hAnsi="Yu Gothic"/>
        <w:i/>
        <w:iCs/>
        <w:color w:val="888888"/>
        <w:sz w:val="18"/>
        <w:szCs w:val="18"/>
      </w:rPr>
      <w:t xml:space="preserve">  |  市場調査・製品戦略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Yu Gothic" w:cs="Yu Gothic" w:eastAsia="Yu Gothic" w:hAnsi="Yu Gothic"/>
      <w:b/>
      <w:bCs/>
      <w:color w:val="1A4D2E"/>
      <w:sz w:val="36"/>
      <w:szCs w:val="36"/>
    </w:rPr>
  </w:style>
  <w:style w:type="paragraph" w:styleId="Heading2">
    <w:name w:val="Heading 2"/>
    <w:basedOn w:val="Normal"/>
    <w:next w:val="Normal"/>
    <w:qFormat/>
    <w:pPr>
      <w:spacing w:before="360" w:after="160"/>
      <w:outlineLvl w:val="1"/>
    </w:pPr>
    <w:rPr>
      <w:rFonts w:ascii="Yu Gothic" w:cs="Yu Gothic" w:eastAsia="Yu Gothic" w:hAnsi="Yu Gothic"/>
      <w:b/>
      <w:bCs/>
      <w:color w:val="1A4D2E"/>
      <w:sz w:val="28"/>
      <w:szCs w:val="28"/>
    </w:rPr>
  </w:style>
  <w:style w:type="paragraph" w:styleId="Heading3">
    <w:name w:val="Heading 3"/>
    <w:basedOn w:val="Normal"/>
    <w:next w:val="Normal"/>
    <w:qFormat/>
    <w:pPr>
      <w:spacing w:before="240" w:after="100"/>
      <w:outlineLvl w:val="2"/>
    </w:pPr>
    <w:rPr>
      <w:rFonts w:ascii="Yu Gothic" w:cs="Yu Gothic" w:eastAsia="Yu Gothic" w:hAnsi="Yu Gothic"/>
      <w:b/>
      <w:bCs/>
      <w:color w:val="C46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xybmx789taz6rdeu9rvh" Type="http://schemas.openxmlformats.org/officeDocument/2006/relationships/hyperlink" Target="https://tnfd.global/" TargetMode="External"/><Relationship Id="rIdrkezvqgvhv0qlevz6ok9d" Type="http://schemas.openxmlformats.org/officeDocument/2006/relationships/hyperlink" Target="https://laws.e-gov.go.jp/law/409AC0000000081/" TargetMode="External"/><Relationship Id="rId7qgbxu1bcc_gglveia3s8" Type="http://schemas.openxmlformats.org/officeDocument/2006/relationships/hyperlink" Target="https://assess.env.go.jp/5_global/OutlineofEnvironmentalImpact_inJapan/index.html" TargetMode="External"/><Relationship Id="rIdut9mgowxzikrhcgsm9yho" Type="http://schemas.openxmlformats.org/officeDocument/2006/relationships/hyperlink" Target="https://laws.e-gov.go.jp/law/420AC0000000058/" TargetMode="External"/><Relationship Id="rIdingchux8ejbz1tduf_ycf" Type="http://schemas.openxmlformats.org/officeDocument/2006/relationships/hyperlink" Target="https://laws.e-gov.go.jp/law/404AC0000000075/" TargetMode="External"/><Relationship Id="rIdzllzsegzrmfrm1bwb7phh" Type="http://schemas.openxmlformats.org/officeDocument/2006/relationships/hyperlink" Target="https://laws.e-gov.go.jp/law/332AC0000000161/" TargetMode="External"/><Relationship Id="rIdelgwykg87wwyvhxonojfq" Type="http://schemas.openxmlformats.org/officeDocument/2006/relationships/hyperlink" Target="https://laws.e-gov.go.jp/law/347AC0000000085/" TargetMode="External"/><Relationship Id="rIdppigxrds8cyzg1ofryyjt" Type="http://schemas.openxmlformats.org/officeDocument/2006/relationships/hyperlink" Target="https://laws.e-gov.go.jp/law/416AC0000000078/" TargetMode="External"/><Relationship Id="rIdxiqgpjgej2_rj8npp30ow" Type="http://schemas.openxmlformats.org/officeDocument/2006/relationships/hyperlink" Target="https://laws.e-gov.go.jp/law/414AC0000000088/" TargetMode="External"/><Relationship Id="rIdfsbano-qyu0qear0dv2-3" Type="http://schemas.openxmlformats.org/officeDocument/2006/relationships/hyperlink" Target="https://laws.e-gov.go.jp/law/506AC0000000042/" TargetMode="External"/><Relationship Id="rIdrafdqy2ylpxm_rcokhxbf" Type="http://schemas.openxmlformats.org/officeDocument/2006/relationships/hyperlink" Target="https://assess.env.go.jp/files/5_global/EIA_Technical_Guide/EIA+Technical+Guidebook_2020.pdf" TargetMode="External"/><Relationship Id="rIdnk9pnkxfhv1ukiyegflvs" Type="http://schemas.openxmlformats.org/officeDocument/2006/relationships/hyperlink" Target="https://www.env.go.jp/nature/kisho/hozen/redlist.html" TargetMode="External"/><Relationship Id="rId0rgwa74wkp-3tnh3amnvr" Type="http://schemas.openxmlformats.org/officeDocument/2006/relationships/hyperlink" Target="https://tnfd.global/" TargetMode="External"/><Relationship Id="rId7zyqz0i_nq0emnx-g6z0p" Type="http://schemas.openxmlformats.org/officeDocument/2006/relationships/hyperlink" Target="https://www.statista.com/statistics/1301298/japan-market-size-environmental-consulting/" TargetMode="External"/><Relationship Id="rIddlhs1yiq6fesgc9qjn4ho" Type="http://schemas.openxmlformats.org/officeDocument/2006/relationships/hyperlink" Target="https://tnfd.global/tnfd-secures-funding-from-the-government-of-japan/" TargetMode="External"/><Relationship Id="rIdnllwwxrzohqf5txgjf8m1" Type="http://schemas.openxmlformats.org/officeDocument/2006/relationships/hyperlink" Target="https://www.okala.io/" TargetMode="External"/><Relationship Id="rIdjsy25l7xx-0c1qpeoffuq" Type="http://schemas.openxmlformats.org/officeDocument/2006/relationships/hyperlink" Target="https://www.ibat-alliance.org/" TargetMode="External"/><Relationship Id="rIdasaeglotnee5aco0t5tny" Type="http://schemas.openxmlformats.org/officeDocument/2006/relationships/hyperlink" Target="https://www.env.go.jp/nature/kisho/hozen/redlist.html" TargetMode="External"/><Relationship Id="rIdsw3klzlejvaihpt40xjga" Type="http://schemas.openxmlformats.org/officeDocument/2006/relationships/hyperlink" Target="https://gis.biodic.go.jp/" TargetMode="External"/><Relationship Id="rId1er6c9v5xuhellgoql_si" Type="http://schemas.openxmlformats.org/officeDocument/2006/relationships/hyperlink" Target="https://www.jeas.or.jp/" TargetMode="External"/><Relationship Id="rIdy1qvhdpbjh7noknxrueao" Type="http://schemas.openxmlformats.org/officeDocument/2006/relationships/hyperlink" Target="https://www.jeas.or.jp/" TargetMode="External"/><Relationship Id="rIdc-yovihnbw50lbeqdmfco" Type="http://schemas.openxmlformats.org/officeDocument/2006/relationships/hyperlink" Target="https://assess.env.go.jp/" TargetMode="External"/><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2026-03-05T06:23:47.143Z</dcterms:created>
  <dcterms:modified xsi:type="dcterms:W3CDTF">2026-03-05T06:23:47.144Z</dcterms:modified>
</cp:coreProperties>
</file>

<file path=docProps/custom.xml><?xml version="1.0" encoding="utf-8"?>
<Properties xmlns="http://schemas.openxmlformats.org/officeDocument/2006/custom-properties" xmlns:vt="http://schemas.openxmlformats.org/officeDocument/2006/docPropsVTypes"/>
</file>