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240"/>
        <w:jc w:val="center"/>
      </w:pPr>
      <w:r>
        <w:rPr>
          <w:rFonts w:ascii="Times New Roman" w:hAnsi="Times New Roman"/>
          <w:b/>
          <w:i w:val="0"/>
          <w:sz w:val="36"/>
        </w:rPr>
        <w:t>A Cost-Effective Predictive HR Analytics Framework for Sri Lankan SMEs Using Cloud-Native Serverless AI</w:t>
      </w:r>
    </w:p>
    <w:p>
      <w:pPr>
        <w:spacing w:after="120"/>
        <w:jc w:val="center"/>
      </w:pPr>
      <w:r>
        <w:rPr>
          <w:rFonts w:ascii="Times New Roman" w:hAnsi="Times New Roman"/>
          <w:b/>
          <w:i w:val="0"/>
          <w:sz w:val="28"/>
        </w:rPr>
        <w:t>Interim Progress Report</w:t>
      </w:r>
    </w:p>
    <w:p>
      <w:pPr>
        <w:spacing w:after="480"/>
        <w:jc w:val="center"/>
      </w:pPr>
      <w:r>
        <w:rPr>
          <w:rFonts w:ascii="Times New Roman" w:hAnsi="Times New Roman"/>
          <w:b w:val="0"/>
          <w:i w:val="0"/>
          <w:sz w:val="24"/>
        </w:rPr>
        <w:t>COM 4901 — Final Year Individual Research Project</w:t>
      </w:r>
    </w:p>
    <w:p>
      <w:pPr>
        <w:spacing w:after="40"/>
        <w:jc w:val="center"/>
      </w:pPr>
      <w:r>
        <w:rPr>
          <w:rFonts w:ascii="Times New Roman" w:hAnsi="Times New Roman"/>
          <w:b/>
          <w:sz w:val="24"/>
        </w:rPr>
        <w:t xml:space="preserve">Student Name:  </w:t>
      </w:r>
      <w:r>
        <w:rPr>
          <w:rFonts w:ascii="Times New Roman" w:hAnsi="Times New Roman"/>
          <w:sz w:val="24"/>
        </w:rPr>
        <w:t>Theekshana Gimhan</w:t>
      </w:r>
    </w:p>
    <w:p>
      <w:pPr>
        <w:spacing w:after="40"/>
        <w:jc w:val="center"/>
      </w:pPr>
      <w:r>
        <w:rPr>
          <w:rFonts w:ascii="Times New Roman" w:hAnsi="Times New Roman"/>
          <w:b/>
          <w:sz w:val="24"/>
        </w:rPr>
        <w:t xml:space="preserve">Student ID:  </w:t>
      </w:r>
      <w:r>
        <w:rPr>
          <w:rFonts w:ascii="Times New Roman" w:hAnsi="Times New Roman"/>
          <w:sz w:val="24"/>
        </w:rPr>
        <w:t>15002</w:t>
      </w:r>
    </w:p>
    <w:p>
      <w:pPr>
        <w:spacing w:after="40"/>
        <w:jc w:val="center"/>
      </w:pPr>
      <w:r>
        <w:rPr>
          <w:rFonts w:ascii="Times New Roman" w:hAnsi="Times New Roman"/>
          <w:b/>
          <w:sz w:val="24"/>
        </w:rPr>
        <w:t xml:space="preserve">Degree Programme:  </w:t>
      </w:r>
      <w:r>
        <w:rPr>
          <w:rFonts w:ascii="Times New Roman" w:hAnsi="Times New Roman"/>
          <w:sz w:val="24"/>
        </w:rPr>
        <w:t>BSc (Hons) Management Information Systems</w:t>
      </w:r>
    </w:p>
    <w:p>
      <w:pPr>
        <w:spacing w:after="40"/>
        <w:jc w:val="center"/>
      </w:pPr>
      <w:r>
        <w:rPr>
          <w:rFonts w:ascii="Times New Roman" w:hAnsi="Times New Roman"/>
          <w:b/>
          <w:sz w:val="24"/>
        </w:rPr>
        <w:t xml:space="preserve">Supervisor:  </w:t>
      </w:r>
      <w:r>
        <w:rPr>
          <w:rFonts w:ascii="Times New Roman" w:hAnsi="Times New Roman"/>
          <w:sz w:val="24"/>
        </w:rPr>
        <w:t>Ms. Thanuja Irugalbandara</w:t>
      </w:r>
    </w:p>
    <w:p>
      <w:pPr>
        <w:spacing w:after="40"/>
        <w:jc w:val="center"/>
      </w:pPr>
      <w:r>
        <w:rPr>
          <w:rFonts w:ascii="Times New Roman" w:hAnsi="Times New Roman"/>
          <w:b/>
          <w:sz w:val="24"/>
        </w:rPr>
        <w:t xml:space="preserve">University:  </w:t>
      </w:r>
      <w:r>
        <w:rPr>
          <w:rFonts w:ascii="Times New Roman" w:hAnsi="Times New Roman"/>
          <w:sz w:val="24"/>
        </w:rPr>
        <w:t>Kaatsu International University</w:t>
      </w:r>
    </w:p>
    <w:p>
      <w:pPr>
        <w:spacing w:after="40"/>
        <w:jc w:val="center"/>
      </w:pPr>
      <w:r>
        <w:rPr>
          <w:rFonts w:ascii="Times New Roman" w:hAnsi="Times New Roman"/>
          <w:b/>
          <w:sz w:val="24"/>
        </w:rPr>
        <w:t xml:space="preserve">Faculty:  </w:t>
      </w:r>
      <w:r>
        <w:rPr>
          <w:rFonts w:ascii="Times New Roman" w:hAnsi="Times New Roman"/>
          <w:sz w:val="24"/>
        </w:rPr>
        <w:t>Faculty of Computer Science and Engineering</w:t>
      </w:r>
    </w:p>
    <w:p>
      <w:pPr>
        <w:spacing w:after="40"/>
        <w:jc w:val="center"/>
      </w:pPr>
      <w:r>
        <w:rPr>
          <w:rFonts w:ascii="Times New Roman" w:hAnsi="Times New Roman"/>
          <w:b/>
          <w:sz w:val="24"/>
        </w:rPr>
        <w:t xml:space="preserve">Submission:  </w:t>
      </w:r>
      <w:r>
        <w:rPr>
          <w:rFonts w:ascii="Times New Roman" w:hAnsi="Times New Roman"/>
          <w:sz w:val="24"/>
        </w:rPr>
        <w:t>Interim Report — June 2026</w:t>
      </w:r>
    </w:p>
    <w:p>
      <w:pPr>
        <w:spacing w:after="360"/>
      </w:pPr>
    </w:p>
    <w:p>
      <w:pPr>
        <w:spacing w:after="120"/>
        <w:jc w:val="center"/>
      </w:pPr>
      <w:r>
        <w:rPr>
          <w:rFonts w:ascii="Times New Roman" w:hAnsi="Times New Roman"/>
          <w:b w:val="0"/>
          <w:i/>
          <w:sz w:val="22"/>
        </w:rPr>
        <w:t>Submitted in partial fulfilment of the requirements for the degree of Bachelor of Science Honours in Management Information Systems, Kaatsu International University.</w:t>
      </w:r>
    </w:p>
    <w:p>
      <w:r>
        <w:br w:type="page"/>
      </w:r>
    </w:p>
    <w:p>
      <w:pPr>
        <w:pStyle w:val="Heading1"/>
      </w:pPr>
      <w:r>
        <w:rPr>
          <w:rFonts w:ascii="Times New Roman" w:hAnsi="Times New Roman"/>
        </w:rPr>
        <w:t>Abstract</w:t>
      </w:r>
    </w:p>
    <w:p>
      <w:pPr>
        <w:spacing w:after="120"/>
      </w:pPr>
      <w:r>
        <w:rPr>
          <w:rFonts w:ascii="Times New Roman" w:hAnsi="Times New Roman"/>
          <w:b w:val="0"/>
          <w:i w:val="0"/>
          <w:sz w:val="24"/>
        </w:rPr>
        <w:t>Small and Medium Enterprises (SMEs) constitute the backbone of the Sri Lankan economy, yet enterprise predictive HR analytics platforms remain financially inaccessible to them, typically costing LKR 240,000–450,000 per year for a 50-employee firm. This project designs, builds, and evaluates a cost-effective, cloud-native predictive HR analytics framework that forecasts employee attrition risk for under LKR 10,000 per month, integrated directly into an existing production HR platform (NexusHR / Simpala HR). This interim report documents the progress achieved across the proposal's objectives. A production HR platform has been built and deployed on Google Cloud Run; a complete, reproducible machine-learning pipeline has been implemented using a multi-source weighted training strategy (real Saudi and Russian attrition data plus calibrated synthetic Sri Lankan data) validated against held-out real Sri Lankan survey responses; and two attrition models have been trained, deployed behind an IAM-locked serverless inference endpoint, and integrated into the HR product over an API boundary. The central empirical finding to date is a contrast between a weak cross-cultural transfer model (ROC-AUC 0.64) and a strong locally-trained model on eight psychometric constructs (ROC-AUC 0.94), which directly quantifies the need for Sri-Lanka-specific HR data — the very research gap that motivated the study. A live, in-application weekly Pulse Check now supplies those constructs automatically. Measured idle cost is approximately LKR 140 per month, comfortably within the budget target. The report concludes with an honest account of the deviations from the original proposal, the limitations of the present results, and the updated work plan toward the final dissertation.</w:t>
      </w:r>
    </w:p>
    <w:p>
      <w:r>
        <w:br w:type="page"/>
      </w:r>
    </w:p>
    <w:p>
      <w:pPr>
        <w:pStyle w:val="Heading1"/>
      </w:pPr>
      <w:r>
        <w:rPr>
          <w:rFonts w:ascii="Times New Roman" w:hAnsi="Times New Roman"/>
        </w:rPr>
        <w:t>Table of Contents</w:t>
      </w:r>
    </w:p>
    <w:p>
      <w:pPr>
        <w:spacing w:after="40"/>
      </w:pPr>
      <w:r>
        <w:rPr>
          <w:rFonts w:ascii="Times New Roman" w:hAnsi="Times New Roman"/>
          <w:sz w:val="24"/>
        </w:rPr>
        <w:t>1. Introduction</w:t>
      </w:r>
    </w:p>
    <w:p>
      <w:pPr>
        <w:spacing w:after="40"/>
      </w:pPr>
      <w:r>
        <w:rPr>
          <w:rFonts w:ascii="Times New Roman" w:hAnsi="Times New Roman"/>
          <w:sz w:val="24"/>
        </w:rPr>
        <w:t xml:space="preserve">    1.1 Background and Motivation</w:t>
      </w:r>
    </w:p>
    <w:p>
      <w:pPr>
        <w:spacing w:after="40"/>
      </w:pPr>
      <w:r>
        <w:rPr>
          <w:rFonts w:ascii="Times New Roman" w:hAnsi="Times New Roman"/>
          <w:sz w:val="24"/>
        </w:rPr>
        <w:t xml:space="preserve">    1.2 Problem Statement</w:t>
      </w:r>
    </w:p>
    <w:p>
      <w:pPr>
        <w:spacing w:after="40"/>
      </w:pPr>
      <w:r>
        <w:rPr>
          <w:rFonts w:ascii="Times New Roman" w:hAnsi="Times New Roman"/>
          <w:sz w:val="24"/>
        </w:rPr>
        <w:t xml:space="preserve">    1.3 Research Questions</w:t>
      </w:r>
    </w:p>
    <w:p>
      <w:pPr>
        <w:spacing w:after="40"/>
      </w:pPr>
      <w:r>
        <w:rPr>
          <w:rFonts w:ascii="Times New Roman" w:hAnsi="Times New Roman"/>
          <w:sz w:val="24"/>
        </w:rPr>
        <w:t xml:space="preserve">    1.4 Aim and Objectives</w:t>
      </w:r>
    </w:p>
    <w:p>
      <w:pPr>
        <w:spacing w:after="40"/>
      </w:pPr>
      <w:r>
        <w:rPr>
          <w:rFonts w:ascii="Times New Roman" w:hAnsi="Times New Roman"/>
          <w:sz w:val="24"/>
        </w:rPr>
        <w:t xml:space="preserve">    1.5 Scope</w:t>
      </w:r>
    </w:p>
    <w:p>
      <w:pPr>
        <w:spacing w:after="40"/>
      </w:pPr>
      <w:r>
        <w:rPr>
          <w:rFonts w:ascii="Times New Roman" w:hAnsi="Times New Roman"/>
          <w:sz w:val="24"/>
        </w:rPr>
        <w:t>2. Literature Review (Status)</w:t>
      </w:r>
    </w:p>
    <w:p>
      <w:pPr>
        <w:spacing w:after="40"/>
      </w:pPr>
      <w:r>
        <w:rPr>
          <w:rFonts w:ascii="Times New Roman" w:hAnsi="Times New Roman"/>
          <w:sz w:val="24"/>
        </w:rPr>
        <w:t>3. Methodology</w:t>
      </w:r>
    </w:p>
    <w:p>
      <w:pPr>
        <w:spacing w:after="40"/>
      </w:pPr>
      <w:r>
        <w:rPr>
          <w:rFonts w:ascii="Times New Roman" w:hAnsi="Times New Roman"/>
          <w:sz w:val="24"/>
        </w:rPr>
        <w:t xml:space="preserve">    3.1 Research Approach (Design Science)</w:t>
      </w:r>
    </w:p>
    <w:p>
      <w:pPr>
        <w:spacing w:after="40"/>
      </w:pPr>
      <w:r>
        <w:rPr>
          <w:rFonts w:ascii="Times New Roman" w:hAnsi="Times New Roman"/>
          <w:sz w:val="24"/>
        </w:rPr>
        <w:t xml:space="preserve">    3.2 Data Strategy</w:t>
      </w:r>
    </w:p>
    <w:p>
      <w:pPr>
        <w:spacing w:after="40"/>
      </w:pPr>
      <w:r>
        <w:rPr>
          <w:rFonts w:ascii="Times New Roman" w:hAnsi="Times New Roman"/>
          <w:sz w:val="24"/>
        </w:rPr>
        <w:t xml:space="preserve">    3.3 Machine-Learning Approach</w:t>
      </w:r>
    </w:p>
    <w:p>
      <w:pPr>
        <w:spacing w:after="40"/>
      </w:pPr>
      <w:r>
        <w:rPr>
          <w:rFonts w:ascii="Times New Roman" w:hAnsi="Times New Roman"/>
          <w:sz w:val="24"/>
        </w:rPr>
        <w:t>4. Design and Implementation Progress</w:t>
      </w:r>
    </w:p>
    <w:p>
      <w:pPr>
        <w:spacing w:after="40"/>
      </w:pPr>
      <w:r>
        <w:rPr>
          <w:rFonts w:ascii="Times New Roman" w:hAnsi="Times New Roman"/>
          <w:sz w:val="24"/>
        </w:rPr>
        <w:t xml:space="preserve">    4.1 System Architecture</w:t>
      </w:r>
    </w:p>
    <w:p>
      <w:pPr>
        <w:spacing w:after="40"/>
      </w:pPr>
      <w:r>
        <w:rPr>
          <w:rFonts w:ascii="Times New Roman" w:hAnsi="Times New Roman"/>
          <w:sz w:val="24"/>
        </w:rPr>
        <w:t xml:space="preserve">    4.2 The HR Platform</w:t>
      </w:r>
    </w:p>
    <w:p>
      <w:pPr>
        <w:spacing w:after="40"/>
      </w:pPr>
      <w:r>
        <w:rPr>
          <w:rFonts w:ascii="Times New Roman" w:hAnsi="Times New Roman"/>
          <w:sz w:val="24"/>
        </w:rPr>
        <w:t xml:space="preserve">    4.3 Machine-Learning Pipeline</w:t>
      </w:r>
    </w:p>
    <w:p>
      <w:pPr>
        <w:spacing w:after="40"/>
      </w:pPr>
      <w:r>
        <w:rPr>
          <w:rFonts w:ascii="Times New Roman" w:hAnsi="Times New Roman"/>
          <w:sz w:val="24"/>
        </w:rPr>
        <w:t xml:space="preserve">    4.4 Serverless Inference and HR-App Integration</w:t>
      </w:r>
    </w:p>
    <w:p>
      <w:pPr>
        <w:spacing w:after="40"/>
      </w:pPr>
      <w:r>
        <w:rPr>
          <w:rFonts w:ascii="Times New Roman" w:hAnsi="Times New Roman"/>
          <w:sz w:val="24"/>
        </w:rPr>
        <w:t xml:space="preserve">    4.5 The Pulse Check — Automated Construct Capture</w:t>
      </w:r>
    </w:p>
    <w:p>
      <w:pPr>
        <w:spacing w:after="40"/>
      </w:pPr>
      <w:r>
        <w:rPr>
          <w:rFonts w:ascii="Times New Roman" w:hAnsi="Times New Roman"/>
          <w:sz w:val="24"/>
        </w:rPr>
        <w:t>5. Preliminary Results and Evaluation</w:t>
      </w:r>
    </w:p>
    <w:p>
      <w:pPr>
        <w:spacing w:after="40"/>
      </w:pPr>
      <w:r>
        <w:rPr>
          <w:rFonts w:ascii="Times New Roman" w:hAnsi="Times New Roman"/>
          <w:sz w:val="24"/>
        </w:rPr>
        <w:t xml:space="preserve">    5.1 Headline Result: Transfer vs Local</w:t>
      </w:r>
    </w:p>
    <w:p>
      <w:pPr>
        <w:spacing w:after="40"/>
      </w:pPr>
      <w:r>
        <w:rPr>
          <w:rFonts w:ascii="Times New Roman" w:hAnsi="Times New Roman"/>
          <w:sz w:val="24"/>
        </w:rPr>
        <w:t xml:space="preserve">    5.2 Cost Evaluation</w:t>
      </w:r>
    </w:p>
    <w:p>
      <w:pPr>
        <w:spacing w:after="40"/>
      </w:pPr>
      <w:r>
        <w:rPr>
          <w:rFonts w:ascii="Times New Roman" w:hAnsi="Times New Roman"/>
          <w:sz w:val="24"/>
        </w:rPr>
        <w:t xml:space="preserve">    5.3 Honest Limitations</w:t>
      </w:r>
    </w:p>
    <w:p>
      <w:pPr>
        <w:spacing w:after="40"/>
      </w:pPr>
      <w:r>
        <w:rPr>
          <w:rFonts w:ascii="Times New Roman" w:hAnsi="Times New Roman"/>
          <w:sz w:val="24"/>
        </w:rPr>
        <w:t>6. Progress Summary, Deviations and Updated Plan</w:t>
      </w:r>
    </w:p>
    <w:p>
      <w:pPr>
        <w:spacing w:after="40"/>
      </w:pPr>
      <w:r>
        <w:rPr>
          <w:rFonts w:ascii="Times New Roman" w:hAnsi="Times New Roman"/>
          <w:sz w:val="24"/>
        </w:rPr>
        <w:t xml:space="preserve">    6.1 Progress Against Objectives</w:t>
      </w:r>
    </w:p>
    <w:p>
      <w:pPr>
        <w:spacing w:after="40"/>
      </w:pPr>
      <w:r>
        <w:rPr>
          <w:rFonts w:ascii="Times New Roman" w:hAnsi="Times New Roman"/>
          <w:sz w:val="24"/>
        </w:rPr>
        <w:t xml:space="preserve">    6.2 Deviations from the Proposal and their Justification</w:t>
      </w:r>
    </w:p>
    <w:p>
      <w:pPr>
        <w:spacing w:after="40"/>
      </w:pPr>
      <w:r>
        <w:rPr>
          <w:rFonts w:ascii="Times New Roman" w:hAnsi="Times New Roman"/>
          <w:sz w:val="24"/>
        </w:rPr>
        <w:t xml:space="preserve">    6.3 Risk Register</w:t>
      </w:r>
    </w:p>
    <w:p>
      <w:pPr>
        <w:spacing w:after="40"/>
      </w:pPr>
      <w:r>
        <w:rPr>
          <w:rFonts w:ascii="Times New Roman" w:hAnsi="Times New Roman"/>
          <w:sz w:val="24"/>
        </w:rPr>
        <w:t xml:space="preserve">    6.4 Updated Work Plan</w:t>
      </w:r>
    </w:p>
    <w:p>
      <w:pPr>
        <w:spacing w:after="40"/>
      </w:pPr>
      <w:r>
        <w:rPr>
          <w:rFonts w:ascii="Times New Roman" w:hAnsi="Times New Roman"/>
          <w:sz w:val="24"/>
        </w:rPr>
        <w:t>References</w:t>
      </w:r>
    </w:p>
    <w:p>
      <w:r>
        <w:br w:type="page"/>
      </w:r>
    </w:p>
    <w:p>
      <w:pPr>
        <w:pStyle w:val="Heading1"/>
      </w:pPr>
      <w:r>
        <w:rPr>
          <w:rFonts w:ascii="Times New Roman" w:hAnsi="Times New Roman"/>
        </w:rPr>
        <w:t>1. Introduction</w:t>
      </w:r>
    </w:p>
    <w:p>
      <w:pPr>
        <w:pStyle w:val="Heading2"/>
      </w:pPr>
      <w:r>
        <w:rPr>
          <w:rFonts w:ascii="Times New Roman" w:hAnsi="Times New Roman"/>
        </w:rPr>
        <w:t>1.1 Background and Motivation</w:t>
      </w:r>
    </w:p>
    <w:p>
      <w:pPr>
        <w:spacing w:after="120"/>
      </w:pPr>
      <w:r>
        <w:rPr>
          <w:rFonts w:ascii="Times New Roman" w:hAnsi="Times New Roman"/>
          <w:b w:val="0"/>
          <w:i w:val="0"/>
          <w:sz w:val="24"/>
        </w:rPr>
        <w:t>Small and Medium Enterprises (SMEs) form the backbone of Sri Lanka's economy, contributing approximately 52% of national Gross Domestic Product and employing around 45% of the workforce [1]. Despite this significance, most Sri Lankan SMEs still manage human resources through manual, paper-based, or spreadsheet-driven processes [2]. Under such reactive models, critical decisions — notably identifying employees at risk of resignation — are made only after the loss has occurred, incurring recruitment, onboarding, and knowledge-loss costs.</w:t>
      </w:r>
    </w:p>
    <w:p>
      <w:pPr>
        <w:spacing w:after="120"/>
      </w:pPr>
      <w:r>
        <w:rPr>
          <w:rFonts w:ascii="Times New Roman" w:hAnsi="Times New Roman"/>
          <w:b w:val="0"/>
          <w:i w:val="0"/>
          <w:sz w:val="24"/>
        </w:rPr>
        <w:t>The global HR-technology market addresses this with AI-powered platforms such as SAP SuccessFactors, Workday, and Oracle HCM Cloud. These typically use per-employee-per-month pricing of roughly USD 8–15, equating to LKR 240,000–450,000 annually for a 50-employee SME [4] — financially out of reach for the firms that would benefit most. Recent advances in cloud-native, serverless computing have changed the economics of deploying machine learning: services that scale to zero enable a pay-per-prediction model that removes idle infrastructure cost [5], [6]. This creates an opportunity to deliver enterprise-grade predictive analytics to resource-constrained SMEs at a fraction of the conventional cost, in alignment with Sri Lanka's National AI and Digital Economy strategies [7].</w:t>
      </w:r>
    </w:p>
    <w:p>
      <w:pPr>
        <w:pStyle w:val="Heading2"/>
      </w:pPr>
      <w:r>
        <w:rPr>
          <w:rFonts w:ascii="Times New Roman" w:hAnsi="Times New Roman"/>
        </w:rPr>
        <w:t>1.2 Problem Statement</w:t>
      </w:r>
    </w:p>
    <w:p>
      <w:pPr>
        <w:spacing w:after="120"/>
      </w:pPr>
      <w:r>
        <w:rPr>
          <w:rFonts w:ascii="Times New Roman" w:hAnsi="Times New Roman"/>
          <w:b w:val="0"/>
          <w:i w:val="0"/>
          <w:sz w:val="24"/>
        </w:rPr>
        <w:t>Employee turnover imposes a disproportionate burden on SMEs: replacing a departing employee costs an estimated 50–200% of annual salary once recruitment, onboarding, training, and lost productivity are included [8]. Sri Lanka's intensifying skilled-worker emigration (over 300,000 departures annually) makes retention of remaining staff a survival factor [17]. Although machine learning has been shown to predict attrition effectively [9], [10], adoption among SMEs is low due to three barriers: cost (enterprise PEPM pricing), infrastructure (on-premise AI requires GPUs and DevOps expertise [11]), and integration (standalone tools create data silos disconnected from HR workflows [12]). The research gap is therefore a cost-optimised, cloud-native predictive analytics framework that is (a) financially accessible (under LKR 10,000/month), (b) architecturally integrated into an existing HR system, and (c) contextualised for the Sri Lankan workforce.</w:t>
      </w:r>
    </w:p>
    <w:p>
      <w:pPr>
        <w:pStyle w:val="Heading2"/>
      </w:pPr>
      <w:r>
        <w:rPr>
          <w:rFonts w:ascii="Times New Roman" w:hAnsi="Times New Roman"/>
        </w:rPr>
        <w:t>1.3 Research Questions</w:t>
      </w:r>
    </w:p>
    <w:p>
      <w:pPr>
        <w:pStyle w:val="ListBullet"/>
        <w:spacing w:after="60"/>
      </w:pPr>
      <w:r>
        <w:rPr>
          <w:rFonts w:ascii="Times New Roman" w:hAnsi="Times New Roman"/>
          <w:b/>
          <w:sz w:val="24"/>
        </w:rPr>
        <w:t xml:space="preserve">RQ1: </w:t>
      </w:r>
      <w:r>
        <w:rPr>
          <w:rFonts w:ascii="Times New Roman" w:hAnsi="Times New Roman"/>
          <w:sz w:val="24"/>
        </w:rPr>
        <w:t>What are the most significant predictors of employee attrition derivable for the Sri Lankan SME context, and to what extent do attrition patterns transfer from international data to Sri Lanka?</w:t>
      </w:r>
    </w:p>
    <w:p>
      <w:pPr>
        <w:pStyle w:val="ListBullet"/>
        <w:spacing w:after="60"/>
      </w:pPr>
      <w:r>
        <w:rPr>
          <w:rFonts w:ascii="Times New Roman" w:hAnsi="Times New Roman"/>
          <w:b/>
          <w:sz w:val="24"/>
        </w:rPr>
        <w:t xml:space="preserve">RQ2: </w:t>
      </w:r>
      <w:r>
        <w:rPr>
          <w:rFonts w:ascii="Times New Roman" w:hAnsi="Times New Roman"/>
          <w:sz w:val="24"/>
        </w:rPr>
        <w:t>To what extent can a serverless cloud architecture reduce the operational cost of deploying HR predictive analytics relative to persistent infrastructure, and can it remain within a monthly budget of LKR 10,000?</w:t>
      </w:r>
    </w:p>
    <w:p>
      <w:pPr>
        <w:pStyle w:val="ListBullet"/>
        <w:spacing w:after="60"/>
      </w:pPr>
      <w:r>
        <w:rPr>
          <w:rFonts w:ascii="Times New Roman" w:hAnsi="Times New Roman"/>
          <w:b/>
          <w:sz w:val="24"/>
        </w:rPr>
        <w:t xml:space="preserve">RQ3: </w:t>
      </w:r>
      <w:r>
        <w:rPr>
          <w:rFonts w:ascii="Times New Roman" w:hAnsi="Times New Roman"/>
          <w:sz w:val="24"/>
        </w:rPr>
        <w:t>Can a hybrid dataset approach — combining real international attrition data with calibrated synthetic data — produce a usable attrition classifier for the low-volume Sri Lankan SME data environment?</w:t>
      </w:r>
    </w:p>
    <w:p>
      <w:pPr>
        <w:pStyle w:val="Heading2"/>
      </w:pPr>
      <w:r>
        <w:rPr>
          <w:rFonts w:ascii="Times New Roman" w:hAnsi="Times New Roman"/>
        </w:rPr>
        <w:t>1.4 Aim and Objectives</w:t>
      </w:r>
    </w:p>
    <w:p>
      <w:pPr>
        <w:spacing w:after="120"/>
      </w:pPr>
      <w:r>
        <w:rPr>
          <w:rFonts w:ascii="Times New Roman" w:hAnsi="Times New Roman"/>
          <w:b w:val="0"/>
          <w:i/>
          <w:sz w:val="24"/>
        </w:rPr>
        <w:t>Aim: to design, develop, and evaluate a cost-effective, serverless AI-driven predictive analytics module integrated into an existing cloud-native HR system to forecast employee attrition risk for Sri Lankan SMEs.</w:t>
      </w:r>
    </w:p>
    <w:p>
      <w:pPr>
        <w:pStyle w:val="ListBullet"/>
        <w:spacing w:after="60"/>
      </w:pPr>
      <w:r>
        <w:rPr>
          <w:rFonts w:ascii="Times New Roman" w:hAnsi="Times New Roman"/>
          <w:b/>
          <w:sz w:val="24"/>
        </w:rPr>
        <w:t xml:space="preserve">O1 — Feature identification: </w:t>
      </w:r>
      <w:r>
        <w:rPr>
          <w:rFonts w:ascii="Times New Roman" w:hAnsi="Times New Roman"/>
          <w:sz w:val="24"/>
        </w:rPr>
        <w:t>identify behavioural and psychometric predictors of attrition appropriate to the Sri Lankan SME context, in compliance with the Sri Lanka Personal Data Protection Act No. 9 of 2022 [15].</w:t>
      </w:r>
    </w:p>
    <w:p>
      <w:pPr>
        <w:pStyle w:val="ListBullet"/>
        <w:spacing w:after="60"/>
      </w:pPr>
      <w:r>
        <w:rPr>
          <w:rFonts w:ascii="Times New Roman" w:hAnsi="Times New Roman"/>
          <w:b/>
          <w:sz w:val="24"/>
        </w:rPr>
        <w:t xml:space="preserve">O2 — Architecture design: </w:t>
      </w:r>
      <w:r>
        <w:rPr>
          <w:rFonts w:ascii="Times New Roman" w:hAnsi="Times New Roman"/>
          <w:sz w:val="24"/>
        </w:rPr>
        <w:t>design a serverless cloud architecture maintaining low monthly operational cost for a 20–50 employee organisation, with a verifiable cost baseline against always-on deployments.</w:t>
      </w:r>
    </w:p>
    <w:p>
      <w:pPr>
        <w:pStyle w:val="ListBullet"/>
        <w:spacing w:after="60"/>
      </w:pPr>
      <w:r>
        <w:rPr>
          <w:rFonts w:ascii="Times New Roman" w:hAnsi="Times New Roman"/>
          <w:b/>
          <w:sz w:val="24"/>
        </w:rPr>
        <w:t xml:space="preserve">O3 — Model development: </w:t>
      </w:r>
      <w:r>
        <w:rPr>
          <w:rFonts w:ascii="Times New Roman" w:hAnsi="Times New Roman"/>
          <w:sz w:val="24"/>
        </w:rPr>
        <w:t>develop and train ML classification models using a hybrid dataset strategy, targeting a usable early-warning operating point (high recall on the attrition class).</w:t>
      </w:r>
    </w:p>
    <w:p>
      <w:pPr>
        <w:pStyle w:val="ListBullet"/>
        <w:spacing w:after="60"/>
      </w:pPr>
      <w:r>
        <w:rPr>
          <w:rFonts w:ascii="Times New Roman" w:hAnsi="Times New Roman"/>
          <w:b/>
          <w:sz w:val="24"/>
        </w:rPr>
        <w:t xml:space="preserve">O4 — System integration: </w:t>
      </w:r>
      <w:r>
        <w:rPr>
          <w:rFonts w:ascii="Times New Roman" w:hAnsi="Times New Roman"/>
          <w:sz w:val="24"/>
        </w:rPr>
        <w:t>implement an integrated risk-insights interface within the HR product, including SHAP-based explanations.</w:t>
      </w:r>
    </w:p>
    <w:p>
      <w:pPr>
        <w:pStyle w:val="ListBullet"/>
        <w:spacing w:after="60"/>
      </w:pPr>
      <w:r>
        <w:rPr>
          <w:rFonts w:ascii="Times New Roman" w:hAnsi="Times New Roman"/>
          <w:b/>
          <w:sz w:val="24"/>
        </w:rPr>
        <w:t xml:space="preserve">O5 — Evaluation: </w:t>
      </w:r>
      <w:r>
        <w:rPr>
          <w:rFonts w:ascii="Times New Roman" w:hAnsi="Times New Roman"/>
          <w:sz w:val="24"/>
        </w:rPr>
        <w:t>evaluate predictive performance, deployment cost, and usability (System Usability Scale).</w:t>
      </w:r>
    </w:p>
    <w:p>
      <w:pPr>
        <w:pStyle w:val="Heading2"/>
      </w:pPr>
      <w:r>
        <w:rPr>
          <w:rFonts w:ascii="Times New Roman" w:hAnsi="Times New Roman"/>
        </w:rPr>
        <w:t>1.5 Scope</w:t>
      </w:r>
    </w:p>
    <w:p>
      <w:pPr>
        <w:spacing w:after="120"/>
      </w:pPr>
      <w:r>
        <w:rPr>
          <w:rFonts w:ascii="Times New Roman" w:hAnsi="Times New Roman"/>
          <w:b w:val="0"/>
          <w:i w:val="0"/>
          <w:sz w:val="24"/>
        </w:rPr>
        <w:t>In scope: binary attrition-risk classification; a serverless prediction service; an in-product risk-insights interface with SHAP explanations; cost benchmarking; a calibrated synthetic-data pipeline; and privacy-preserving data handling. Out of scope: real-time communications monitoring, mobile development, changes to core payroll/leave/attendance logic, multi-language NLP, and succession planning.</w:t>
      </w:r>
    </w:p>
    <w:p>
      <w:r>
        <w:br w:type="page"/>
      </w:r>
    </w:p>
    <w:p>
      <w:pPr>
        <w:pStyle w:val="Heading1"/>
      </w:pPr>
      <w:r>
        <w:rPr>
          <w:rFonts w:ascii="Times New Roman" w:hAnsi="Times New Roman"/>
        </w:rPr>
        <w:t>2. Literature Review (Status)</w:t>
      </w:r>
    </w:p>
    <w:p>
      <w:pPr>
        <w:spacing w:after="120"/>
      </w:pPr>
      <w:r>
        <w:rPr>
          <w:rFonts w:ascii="Times New Roman" w:hAnsi="Times New Roman"/>
          <w:b w:val="0"/>
          <w:i w:val="0"/>
          <w:sz w:val="24"/>
        </w:rPr>
        <w:t>The literature review established in the proposal has been consolidated and extended during implementation. It is organised into three themes and is substantially complete; remaining work is the integration of explainability and resampling literature surfaced during model development.</w:t>
      </w:r>
    </w:p>
    <w:p>
      <w:pPr>
        <w:pStyle w:val="Heading3"/>
      </w:pPr>
      <w:r>
        <w:rPr>
          <w:rFonts w:ascii="Times New Roman" w:hAnsi="Times New Roman"/>
        </w:rPr>
        <w:t>Machine Learning for Employee Attrition Prediction</w:t>
      </w:r>
    </w:p>
    <w:p>
      <w:pPr>
        <w:spacing w:after="120"/>
      </w:pPr>
      <w:r>
        <w:rPr>
          <w:rFonts w:ascii="Times New Roman" w:hAnsi="Times New Roman"/>
          <w:b w:val="0"/>
          <w:i w:val="0"/>
          <w:sz w:val="24"/>
        </w:rPr>
        <w:t>Ensemble tree methods — particularly Random Forest and Gradient Boosting — consistently outperform logistic regression for turnover classification, exceeding 85% accuracy on benchmark data [9], [10]. Tree ensembles are well suited to tabular HR data because they capture non-linear feature interactions [9]. The IBM HR Analytics dataset (1,470 records, 35 features) is the field's common benchmark [14]. A recurring limitation is reliance on Western corporate datasets with little validation in developing-economy SME settings — a gap this project targets directly.</w:t>
      </w:r>
    </w:p>
    <w:p>
      <w:pPr>
        <w:pStyle w:val="Heading3"/>
      </w:pPr>
      <w:r>
        <w:rPr>
          <w:rFonts w:ascii="Times New Roman" w:hAnsi="Times New Roman"/>
        </w:rPr>
        <w:t>Serverless and Cloud-Native AI Economics</w:t>
      </w:r>
    </w:p>
    <w:p>
      <w:pPr>
        <w:spacing w:after="120"/>
      </w:pPr>
      <w:r>
        <w:rPr>
          <w:rFonts w:ascii="Times New Roman" w:hAnsi="Times New Roman"/>
          <w:b w:val="0"/>
          <w:i w:val="0"/>
          <w:sz w:val="24"/>
        </w:rPr>
        <w:t>Comparative studies show serverless architectures offer strong cost and scalability advantages for intermittent workloads [6] — precisely the usage profile of scheduled or on-demand HR predictions. Managed ML platforms enable pay-per-prediction pricing that removes idle compute cost [5], and the Machine-Learning-as-a-Service paradigm lowers the infrastructure-expertise barrier for non-technical organisations [11]. No prior study, however, quantifies the cost of predictive HR analytics under an explicit SME budget constraint (under LKR 10,000/month).</w:t>
      </w:r>
    </w:p>
    <w:p>
      <w:pPr>
        <w:pStyle w:val="Heading3"/>
      </w:pPr>
      <w:r>
        <w:rPr>
          <w:rFonts w:ascii="Times New Roman" w:hAnsi="Times New Roman"/>
        </w:rPr>
        <w:t>The Digital Divide and HR Analytics Integration in Sri Lankan SMEs</w:t>
      </w:r>
    </w:p>
    <w:p>
      <w:pPr>
        <w:spacing w:after="120"/>
      </w:pPr>
      <w:r>
        <w:rPr>
          <w:rFonts w:ascii="Times New Roman" w:hAnsi="Times New Roman"/>
          <w:b w:val="0"/>
          <w:i w:val="0"/>
          <w:sz w:val="24"/>
        </w:rPr>
        <w:t>Sri Lankan SMEs face well-documented barriers to digital transformation — limited finance, scarce skills, and weak infrastructure [1], [2], [3] — compounded by skilled-worker emigration that makes retention strategic [17]. Even where analytics are adopted, disconnection from operational HR systems creates silos that undermine practical value [12]. Two methodological pillars adopted during implementation are also grounded in the literature: SHAP for exact, model-agnostic feature attribution [18], and SMOTE-family resampling for class imbalance [19]. Finally, the distinction between turnover intention and observed turnover (the intention–behaviour gap [20]) is central to interpreting the validation data used in this study.</w:t>
      </w:r>
    </w:p>
    <w:p>
      <w:r>
        <w:br w:type="page"/>
      </w:r>
    </w:p>
    <w:p>
      <w:pPr>
        <w:pStyle w:val="Heading1"/>
      </w:pPr>
      <w:r>
        <w:rPr>
          <w:rFonts w:ascii="Times New Roman" w:hAnsi="Times New Roman"/>
        </w:rPr>
        <w:t>3. Methodology</w:t>
      </w:r>
    </w:p>
    <w:p>
      <w:pPr>
        <w:pStyle w:val="Heading2"/>
      </w:pPr>
      <w:r>
        <w:rPr>
          <w:rFonts w:ascii="Times New Roman" w:hAnsi="Times New Roman"/>
        </w:rPr>
        <w:t>3.1 Research Approach (Design Science)</w:t>
      </w:r>
    </w:p>
    <w:p>
      <w:pPr>
        <w:spacing w:after="120"/>
      </w:pPr>
      <w:r>
        <w:rPr>
          <w:rFonts w:ascii="Times New Roman" w:hAnsi="Times New Roman"/>
          <w:b w:val="0"/>
          <w:i w:val="0"/>
          <w:sz w:val="24"/>
        </w:rPr>
        <w:t>The project follows the Design Science Research (DSR) methodology [13], appropriate for development-oriented research in which the construction and evaluation of an IT artifact is the primary contribution. The artifact here is the integrated, cost-effective predictive HR analytics framework. The work proceeds through problem identification, data preparation, model development, architecture design and cloud integration, product integration, and evaluation.</w:t>
      </w:r>
    </w:p>
    <w:p>
      <w:pPr>
        <w:pStyle w:val="Heading2"/>
      </w:pPr>
      <w:r>
        <w:rPr>
          <w:rFonts w:ascii="Times New Roman" w:hAnsi="Times New Roman"/>
        </w:rPr>
        <w:t>3.2 Data Strategy</w:t>
      </w:r>
    </w:p>
    <w:p>
      <w:pPr>
        <w:spacing w:after="120"/>
      </w:pPr>
      <w:r>
        <w:rPr>
          <w:rFonts w:ascii="Times New Roman" w:hAnsi="Times New Roman"/>
          <w:b w:val="0"/>
          <w:i w:val="0"/>
          <w:sz w:val="24"/>
        </w:rPr>
        <w:t>No public, individual-level HR attrition dataset exists for Sri Lanka. The closest available proxy is a 2023 survey of 230 Sri Lankan startup employees measuring turnover intention on an ordinal scale [21] — not observed resignations. The model therefore cannot be trained exclusively on Sri Lankan data. The adopted strategy is multi-source weighted training: train on real international data from developing economies with comparable workforce dynamics, augment with calibrated synthetic data carrying Sri Lankan feature distributions, and validate exclusively on the held-out real Sri Lankan responses.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168"/>
          </w:tcPr>
          <w:p>
            <w:r/>
            <w:r>
              <w:rPr>
                <w:rFonts w:ascii="Times New Roman" w:hAnsi="Times New Roman"/>
                <w:b/>
                <w:sz w:val="21"/>
              </w:rPr>
              <w:t>Source</w:t>
            </w:r>
          </w:p>
        </w:tc>
        <w:tc>
          <w:tcPr>
            <w:tcW w:type="dxa" w:w="1152"/>
          </w:tcPr>
          <w:p>
            <w:r/>
            <w:r>
              <w:rPr>
                <w:rFonts w:ascii="Times New Roman" w:hAnsi="Times New Roman"/>
                <w:b/>
                <w:sz w:val="21"/>
              </w:rPr>
              <w:t>Records</w:t>
            </w:r>
          </w:p>
        </w:tc>
        <w:tc>
          <w:tcPr>
            <w:tcW w:type="dxa" w:w="2880"/>
          </w:tcPr>
          <w:p>
            <w:r/>
            <w:r>
              <w:rPr>
                <w:rFonts w:ascii="Times New Roman" w:hAnsi="Times New Roman"/>
                <w:b/>
                <w:sz w:val="21"/>
              </w:rPr>
              <w:t>Type</w:t>
            </w:r>
          </w:p>
        </w:tc>
        <w:tc>
          <w:tcPr>
            <w:tcW w:type="dxa" w:w="1008"/>
          </w:tcPr>
          <w:p>
            <w:r/>
            <w:r>
              <w:rPr>
                <w:rFonts w:ascii="Times New Roman" w:hAnsi="Times New Roman"/>
                <w:b/>
                <w:sz w:val="21"/>
              </w:rPr>
              <w:t>Weight</w:t>
            </w:r>
          </w:p>
        </w:tc>
        <w:tc>
          <w:tcPr>
            <w:tcW w:type="dxa" w:w="1440"/>
          </w:tcPr>
          <w:p>
            <w:r/>
            <w:r>
              <w:rPr>
                <w:rFonts w:ascii="Times New Roman" w:hAnsi="Times New Roman"/>
                <w:b/>
                <w:sz w:val="21"/>
              </w:rPr>
              <w:t>Role</w:t>
            </w:r>
          </w:p>
        </w:tc>
      </w:tr>
      <w:tr>
        <w:tc>
          <w:tcPr>
            <w:tcW w:type="dxa" w:w="3168"/>
          </w:tcPr>
          <w:p>
            <w:r/>
            <w:r>
              <w:rPr>
                <w:rFonts w:ascii="Times New Roman" w:hAnsi="Times New Roman"/>
                <w:sz w:val="21"/>
              </w:rPr>
              <w:t>Saudi Employee Attrition</w:t>
            </w:r>
          </w:p>
        </w:tc>
        <w:tc>
          <w:tcPr>
            <w:tcW w:type="dxa" w:w="1152"/>
          </w:tcPr>
          <w:p>
            <w:r/>
            <w:r>
              <w:rPr>
                <w:rFonts w:ascii="Times New Roman" w:hAnsi="Times New Roman"/>
                <w:sz w:val="21"/>
              </w:rPr>
              <w:t>1,191</w:t>
            </w:r>
          </w:p>
        </w:tc>
        <w:tc>
          <w:tcPr>
            <w:tcW w:type="dxa" w:w="2880"/>
          </w:tcPr>
          <w:p>
            <w:r/>
            <w:r>
              <w:rPr>
                <w:rFonts w:ascii="Times New Roman" w:hAnsi="Times New Roman"/>
                <w:sz w:val="21"/>
              </w:rPr>
              <w:t>Real, developing-country private sector</w:t>
            </w:r>
          </w:p>
        </w:tc>
        <w:tc>
          <w:tcPr>
            <w:tcW w:type="dxa" w:w="1008"/>
          </w:tcPr>
          <w:p>
            <w:r/>
            <w:r>
              <w:rPr>
                <w:rFonts w:ascii="Times New Roman" w:hAnsi="Times New Roman"/>
                <w:sz w:val="21"/>
              </w:rPr>
              <w:t>2.0</w:t>
            </w:r>
          </w:p>
        </w:tc>
        <w:tc>
          <w:tcPr>
            <w:tcW w:type="dxa" w:w="1440"/>
          </w:tcPr>
          <w:p>
            <w:r/>
            <w:r>
              <w:rPr>
                <w:rFonts w:ascii="Times New Roman" w:hAnsi="Times New Roman"/>
                <w:sz w:val="21"/>
              </w:rPr>
              <w:t>Training</w:t>
            </w:r>
          </w:p>
        </w:tc>
      </w:tr>
      <w:tr>
        <w:tc>
          <w:tcPr>
            <w:tcW w:type="dxa" w:w="3168"/>
          </w:tcPr>
          <w:p>
            <w:r/>
            <w:r>
              <w:rPr>
                <w:rFonts w:ascii="Times New Roman" w:hAnsi="Times New Roman"/>
                <w:sz w:val="21"/>
              </w:rPr>
              <w:t>Russian Employee Turnover</w:t>
            </w:r>
          </w:p>
        </w:tc>
        <w:tc>
          <w:tcPr>
            <w:tcW w:type="dxa" w:w="1152"/>
          </w:tcPr>
          <w:p>
            <w:r/>
            <w:r>
              <w:rPr>
                <w:rFonts w:ascii="Times New Roman" w:hAnsi="Times New Roman"/>
                <w:sz w:val="21"/>
              </w:rPr>
              <w:t>1,129</w:t>
            </w:r>
          </w:p>
        </w:tc>
        <w:tc>
          <w:tcPr>
            <w:tcW w:type="dxa" w:w="2880"/>
          </w:tcPr>
          <w:p>
            <w:r/>
            <w:r>
              <w:rPr>
                <w:rFonts w:ascii="Times New Roman" w:hAnsi="Times New Roman"/>
                <w:sz w:val="21"/>
              </w:rPr>
              <w:t>Real, private-sector company</w:t>
            </w:r>
          </w:p>
        </w:tc>
        <w:tc>
          <w:tcPr>
            <w:tcW w:type="dxa" w:w="1008"/>
          </w:tcPr>
          <w:p>
            <w:r/>
            <w:r>
              <w:rPr>
                <w:rFonts w:ascii="Times New Roman" w:hAnsi="Times New Roman"/>
                <w:sz w:val="21"/>
              </w:rPr>
              <w:t>2.0</w:t>
            </w:r>
          </w:p>
        </w:tc>
        <w:tc>
          <w:tcPr>
            <w:tcW w:type="dxa" w:w="1440"/>
          </w:tcPr>
          <w:p>
            <w:r/>
            <w:r>
              <w:rPr>
                <w:rFonts w:ascii="Times New Roman" w:hAnsi="Times New Roman"/>
                <w:sz w:val="21"/>
              </w:rPr>
              <w:t>Training</w:t>
            </w:r>
          </w:p>
        </w:tc>
      </w:tr>
      <w:tr>
        <w:tc>
          <w:tcPr>
            <w:tcW w:type="dxa" w:w="3168"/>
          </w:tcPr>
          <w:p>
            <w:r/>
            <w:r>
              <w:rPr>
                <w:rFonts w:ascii="Times New Roman" w:hAnsi="Times New Roman"/>
                <w:sz w:val="21"/>
              </w:rPr>
              <w:t>Calibrated synthetic (SL context)</w:t>
            </w:r>
          </w:p>
        </w:tc>
        <w:tc>
          <w:tcPr>
            <w:tcW w:type="dxa" w:w="1152"/>
          </w:tcPr>
          <w:p>
            <w:r/>
            <w:r>
              <w:rPr>
                <w:rFonts w:ascii="Times New Roman" w:hAnsi="Times New Roman"/>
                <w:sz w:val="21"/>
              </w:rPr>
              <w:t>500</w:t>
            </w:r>
          </w:p>
        </w:tc>
        <w:tc>
          <w:tcPr>
            <w:tcW w:type="dxa" w:w="2880"/>
          </w:tcPr>
          <w:p>
            <w:r/>
            <w:r>
              <w:rPr>
                <w:rFonts w:ascii="Times New Roman" w:hAnsi="Times New Roman"/>
                <w:sz w:val="21"/>
              </w:rPr>
              <w:t>Simulated, Sri Lankan SME</w:t>
            </w:r>
          </w:p>
        </w:tc>
        <w:tc>
          <w:tcPr>
            <w:tcW w:type="dxa" w:w="1008"/>
          </w:tcPr>
          <w:p>
            <w:r/>
            <w:r>
              <w:rPr>
                <w:rFonts w:ascii="Times New Roman" w:hAnsi="Times New Roman"/>
                <w:sz w:val="21"/>
              </w:rPr>
              <w:t>0.5</w:t>
            </w:r>
          </w:p>
        </w:tc>
        <w:tc>
          <w:tcPr>
            <w:tcW w:type="dxa" w:w="1440"/>
          </w:tcPr>
          <w:p>
            <w:r/>
            <w:r>
              <w:rPr>
                <w:rFonts w:ascii="Times New Roman" w:hAnsi="Times New Roman"/>
                <w:sz w:val="21"/>
              </w:rPr>
              <w:t>Training</w:t>
            </w:r>
          </w:p>
        </w:tc>
      </w:tr>
      <w:tr>
        <w:tc>
          <w:tcPr>
            <w:tcW w:type="dxa" w:w="3168"/>
          </w:tcPr>
          <w:p>
            <w:r/>
            <w:r>
              <w:rPr>
                <w:rFonts w:ascii="Times New Roman" w:hAnsi="Times New Roman"/>
                <w:sz w:val="21"/>
              </w:rPr>
              <w:t>Sri Lanka startup survey [21]</w:t>
            </w:r>
          </w:p>
        </w:tc>
        <w:tc>
          <w:tcPr>
            <w:tcW w:type="dxa" w:w="1152"/>
          </w:tcPr>
          <w:p>
            <w:r/>
            <w:r>
              <w:rPr>
                <w:rFonts w:ascii="Times New Roman" w:hAnsi="Times New Roman"/>
                <w:sz w:val="21"/>
              </w:rPr>
              <w:t>230</w:t>
            </w:r>
          </w:p>
        </w:tc>
        <w:tc>
          <w:tcPr>
            <w:tcW w:type="dxa" w:w="2880"/>
          </w:tcPr>
          <w:p>
            <w:r/>
            <w:r>
              <w:rPr>
                <w:rFonts w:ascii="Times New Roman" w:hAnsi="Times New Roman"/>
                <w:sz w:val="21"/>
              </w:rPr>
              <w:t>Real, turnover intention</w:t>
            </w:r>
          </w:p>
        </w:tc>
        <w:tc>
          <w:tcPr>
            <w:tcW w:type="dxa" w:w="1008"/>
          </w:tcPr>
          <w:p>
            <w:r/>
            <w:r>
              <w:rPr>
                <w:rFonts w:ascii="Times New Roman" w:hAnsi="Times New Roman"/>
                <w:sz w:val="21"/>
              </w:rPr>
              <w:t>—</w:t>
            </w:r>
          </w:p>
        </w:tc>
        <w:tc>
          <w:tcPr>
            <w:tcW w:type="dxa" w:w="1440"/>
          </w:tcPr>
          <w:p>
            <w:r/>
            <w:r>
              <w:rPr>
                <w:rFonts w:ascii="Times New Roman" w:hAnsi="Times New Roman"/>
                <w:sz w:val="21"/>
              </w:rPr>
              <w:t>Held-out validation</w:t>
            </w:r>
          </w:p>
        </w:tc>
      </w:tr>
      <w:tr>
        <w:tc>
          <w:tcPr>
            <w:tcW w:type="dxa" w:w="3168"/>
          </w:tcPr>
          <w:p>
            <w:r/>
            <w:r>
              <w:rPr>
                <w:rFonts w:ascii="Times New Roman" w:hAnsi="Times New Roman"/>
                <w:sz w:val="21"/>
              </w:rPr>
              <w:t>IBM HR Analytics</w:t>
            </w:r>
          </w:p>
        </w:tc>
        <w:tc>
          <w:tcPr>
            <w:tcW w:type="dxa" w:w="1152"/>
          </w:tcPr>
          <w:p>
            <w:r/>
            <w:r>
              <w:rPr>
                <w:rFonts w:ascii="Times New Roman" w:hAnsi="Times New Roman"/>
                <w:sz w:val="21"/>
              </w:rPr>
              <w:t>1,470</w:t>
            </w:r>
          </w:p>
        </w:tc>
        <w:tc>
          <w:tcPr>
            <w:tcW w:type="dxa" w:w="2880"/>
          </w:tcPr>
          <w:p>
            <w:r/>
            <w:r>
              <w:rPr>
                <w:rFonts w:ascii="Times New Roman" w:hAnsi="Times New Roman"/>
                <w:sz w:val="21"/>
              </w:rPr>
              <w:t>Synthetic benchmark</w:t>
            </w:r>
          </w:p>
        </w:tc>
        <w:tc>
          <w:tcPr>
            <w:tcW w:type="dxa" w:w="1008"/>
          </w:tcPr>
          <w:p>
            <w:r/>
            <w:r>
              <w:rPr>
                <w:rFonts w:ascii="Times New Roman" w:hAnsi="Times New Roman"/>
                <w:sz w:val="21"/>
              </w:rPr>
              <w:t>—</w:t>
            </w:r>
          </w:p>
        </w:tc>
        <w:tc>
          <w:tcPr>
            <w:tcW w:type="dxa" w:w="1440"/>
          </w:tcPr>
          <w:p>
            <w:r/>
            <w:r>
              <w:rPr>
                <w:rFonts w:ascii="Times New Roman" w:hAnsi="Times New Roman"/>
                <w:sz w:val="21"/>
              </w:rPr>
              <w:t>Published comparison only</w:t>
            </w:r>
          </w:p>
        </w:tc>
      </w:tr>
    </w:tbl>
    <w:p>
      <w:pPr>
        <w:spacing w:after="40"/>
      </w:pPr>
    </w:p>
    <w:p>
      <w:pPr>
        <w:spacing w:after="200"/>
        <w:jc w:val="center"/>
      </w:pPr>
      <w:r>
        <w:rPr>
          <w:rFonts w:ascii="Times New Roman" w:hAnsi="Times New Roman"/>
          <w:i/>
          <w:sz w:val="20"/>
        </w:rPr>
        <w:t>Table 1: Multi-source data strategy (master training set = 2,820 records).</w:t>
      </w:r>
    </w:p>
    <w:p>
      <w:pPr>
        <w:spacing w:after="120"/>
      </w:pPr>
      <w:r>
        <w:rPr>
          <w:rFonts w:ascii="Times New Roman" w:hAnsi="Times New Roman"/>
          <w:b w:val="0"/>
          <w:i w:val="0"/>
          <w:sz w:val="24"/>
        </w:rPr>
        <w:t>Three normalisation decisions ensure cross-source comparability. First, monthly income is z-score normalised within each source before merging, so the model learns relative salary position rather than incompatible nominal currencies. Second, ordinal survey features measured on a 1–3 scale in the training data but a 1–5 scale in the Sri Lankan survey are min-max rescaled within each dataset. Third, features not collected by a given source are retained as missing (NaN) rather than zero, preserving the distinction between 'measured as zero' and 'not measured'; median imputation is then applied explicitly at train time. The synthetic data is not hand-coded: a logistic regression is fitted on 2,550 real records to obtain coefficient directions and magnitudes (job satisfaction emerges as the dominant driver), while the intercept is recomputed to target a 15% base attrition rate consistent with Sri Lankan labour-market reports rather than the ~43% international base rate.</w:t>
      </w:r>
    </w:p>
    <w:p>
      <w:pPr>
        <w:pStyle w:val="Heading2"/>
      </w:pPr>
      <w:r>
        <w:rPr>
          <w:rFonts w:ascii="Times New Roman" w:hAnsi="Times New Roman"/>
        </w:rPr>
        <w:t>3.3 Machine-Learning Approach</w:t>
      </w:r>
    </w:p>
    <w:p>
      <w:pPr>
        <w:pStyle w:val="ListBullet"/>
        <w:spacing w:after="60"/>
      </w:pPr>
      <w:r>
        <w:rPr>
          <w:rFonts w:ascii="Times New Roman" w:hAnsi="Times New Roman"/>
          <w:b/>
          <w:sz w:val="24"/>
        </w:rPr>
        <w:t xml:space="preserve">Model: </w:t>
      </w:r>
      <w:r>
        <w:rPr>
          <w:rFonts w:ascii="Times New Roman" w:hAnsi="Times New Roman"/>
          <w:sz w:val="24"/>
        </w:rPr>
        <w:t>scikit-learn Random Forest with SMOTE-family resampling for class imbalance, chosen over managed AutoML for transparency, exact explainability, and near-zero cost.</w:t>
      </w:r>
    </w:p>
    <w:p>
      <w:pPr>
        <w:pStyle w:val="ListBullet"/>
        <w:spacing w:after="60"/>
      </w:pPr>
      <w:r>
        <w:rPr>
          <w:rFonts w:ascii="Times New Roman" w:hAnsi="Times New Roman"/>
          <w:b/>
          <w:sz w:val="24"/>
        </w:rPr>
        <w:t xml:space="preserve">Explainability: </w:t>
      </w:r>
      <w:r>
        <w:rPr>
          <w:rFonts w:ascii="Times New Roman" w:hAnsi="Times New Roman"/>
          <w:sz w:val="24"/>
        </w:rPr>
        <w:t>SHAP TreeExplainer (exact) for per-prediction feature attribution [18].</w:t>
      </w:r>
    </w:p>
    <w:p>
      <w:pPr>
        <w:pStyle w:val="ListBullet"/>
        <w:spacing w:after="60"/>
      </w:pPr>
      <w:r>
        <w:rPr>
          <w:rFonts w:ascii="Times New Roman" w:hAnsi="Times New Roman"/>
          <w:b/>
          <w:sz w:val="24"/>
        </w:rPr>
        <w:t xml:space="preserve">Validation: </w:t>
      </w:r>
      <w:r>
        <w:rPr>
          <w:rFonts w:ascii="Times New Roman" w:hAnsi="Times New Roman"/>
          <w:sz w:val="24"/>
        </w:rPr>
        <w:t>the 230 Sri Lankan records are kept entirely held out; the local model additionally uses repeated stratified 5-fold cross-validation within that data, reported as a multi-seed mean.</w:t>
      </w:r>
    </w:p>
    <w:p>
      <w:pPr>
        <w:pStyle w:val="ListBullet"/>
        <w:spacing w:after="60"/>
      </w:pPr>
      <w:r>
        <w:rPr>
          <w:rFonts w:ascii="Times New Roman" w:hAnsi="Times New Roman"/>
          <w:b/>
          <w:sz w:val="24"/>
        </w:rPr>
        <w:t xml:space="preserve">Primary metric: </w:t>
      </w:r>
      <w:r>
        <w:rPr>
          <w:rFonts w:ascii="Times New Roman" w:hAnsi="Times New Roman"/>
          <w:sz w:val="24"/>
        </w:rPr>
        <w:t>recall on the attrition class (minimising false negatives), reported alongside precision, F1, ROC-AUC, PR-AUC, and confusion matrices — never recall in isolation.</w:t>
      </w:r>
    </w:p>
    <w:p>
      <w:r>
        <w:br w:type="page"/>
      </w:r>
    </w:p>
    <w:p>
      <w:pPr>
        <w:pStyle w:val="Heading1"/>
      </w:pPr>
      <w:r>
        <w:rPr>
          <w:rFonts w:ascii="Times New Roman" w:hAnsi="Times New Roman"/>
        </w:rPr>
        <w:t>4. Design and Implementation Progress</w:t>
      </w:r>
    </w:p>
    <w:p>
      <w:pPr>
        <w:pStyle w:val="Heading2"/>
      </w:pPr>
      <w:r>
        <w:rPr>
          <w:rFonts w:ascii="Times New Roman" w:hAnsi="Times New Roman"/>
        </w:rPr>
        <w:t>4.1 System Architecture</w:t>
      </w:r>
    </w:p>
    <w:p>
      <w:pPr>
        <w:spacing w:after="120"/>
      </w:pPr>
      <w:r>
        <w:rPr>
          <w:rFonts w:ascii="Times New Roman" w:hAnsi="Times New Roman"/>
          <w:b w:val="0"/>
          <w:i w:val="0"/>
          <w:sz w:val="24"/>
        </w:rPr>
        <w:t>The framework uses a two-system design connected over an API boundary rather than a monolith. The first system is the production HR platform (React 19 front end; Node.js / Express 5 / Prisma 6 back end; PostgreSQL), deployed on Google Cloud Run. The second is a standalone machine-learning inference microservice (Python / FastAPI) that serves the trained models. The HR back end calls the inference service over authenticated HTTP. This separation keeps the cost-sensitive ML component independently deployable and allows both systems to scale to zero when idle.</w:t>
      </w:r>
    </w:p>
    <w:p>
      <w:pPr>
        <w:pStyle w:val="Heading2"/>
      </w:pPr>
      <w:r>
        <w:rPr>
          <w:rFonts w:ascii="Times New Roman" w:hAnsi="Times New Roman"/>
        </w:rPr>
        <w:t>4.2 The HR Platform</w:t>
      </w:r>
    </w:p>
    <w:p>
      <w:pPr>
        <w:spacing w:after="120"/>
      </w:pPr>
      <w:r>
        <w:rPr>
          <w:rFonts w:ascii="Times New Roman" w:hAnsi="Times New Roman"/>
          <w:b w:val="0"/>
          <w:i w:val="0"/>
          <w:sz w:val="24"/>
        </w:rPr>
        <w:t>The base HR platform is production-grade and operational, providing payroll (with Sri Lankan EPF, ETF, and PAYE calculation), leave, attendance, and document management, with multi-tenant isolation and role-based access control. It is continuously deployed to Cloud Run via an automated pipeline. This platform supplies both the operational context for the analytics module and the user interface in which risk insights are surfaced.</w:t>
      </w:r>
    </w:p>
    <w:p>
      <w:pPr>
        <w:pStyle w:val="Heading2"/>
      </w:pPr>
      <w:r>
        <w:rPr>
          <w:rFonts w:ascii="Times New Roman" w:hAnsi="Times New Roman"/>
        </w:rPr>
        <w:t>4.3 Machine-Learning Pipeline</w:t>
      </w:r>
    </w:p>
    <w:p>
      <w:pPr>
        <w:spacing w:after="120"/>
      </w:pPr>
      <w:r>
        <w:rPr>
          <w:rFonts w:ascii="Times New Roman" w:hAnsi="Times New Roman"/>
          <w:b w:val="0"/>
          <w:i w:val="0"/>
          <w:sz w:val="24"/>
        </w:rPr>
        <w:t>A complete, reproducible five-stage pipeline has been implemented: dataset acquisition; raw preprocessing (including robust multi-encoding handling for the Cyrillic Russian source); calibration of the logistic coefficients used for synthetic generation; calibrated synthetic-data generation; and a merge-and-clean stage that assembles the 2,820-record master training set, the 230-record held-out Sri Lankan validation set, and the IBM benchmark. The merge stage asserts target integrity (binary, non-missing labels, with every source contributing labelled rows) before writing. A training stage then fits the models, performs cross-validation, computes SHAP attributions, and emits a structured training report.</w:t>
      </w:r>
    </w:p>
    <w:p>
      <w:pPr>
        <w:pStyle w:val="Heading2"/>
      </w:pPr>
      <w:r>
        <w:rPr>
          <w:rFonts w:ascii="Times New Roman" w:hAnsi="Times New Roman"/>
        </w:rPr>
        <w:t>4.4 Serverless Inference and HR-App Integration</w:t>
      </w:r>
    </w:p>
    <w:p>
      <w:pPr>
        <w:spacing w:after="120"/>
      </w:pPr>
      <w:r>
        <w:rPr>
          <w:rFonts w:ascii="Times New Roman" w:hAnsi="Times New Roman"/>
          <w:b w:val="0"/>
          <w:i w:val="0"/>
          <w:sz w:val="24"/>
        </w:rPr>
        <w:t>Both models are deployed behind an IAM-locked Cloud Run inference service that scales to zero. The service exposes health, model-info, and prediction routes, returning for each request the probability, decision threshold, risk band, and per-request SHAP contributions. Train/serve parity is enforced by mirroring the training-time preprocessing (encoding, persisted rescale bounds, and median imputation) exactly in the serving code. The HR back end integrates with this service through a dependency-free proxy that mints a Google-signed identity token from the Cloud Run metadata server and forwards requests; the corresponding risk-insights card is surfaced on the employee detail page of the HR front end, gated by a dedicated permission. A cold-start tolerance (extended timeout plus a single retry) was added so that the first request after idle does not fail, while preserving scale-to-zero.</w:t>
      </w:r>
    </w:p>
    <w:p>
      <w:pPr>
        <w:pStyle w:val="Heading2"/>
      </w:pPr>
      <w:r>
        <w:rPr>
          <w:rFonts w:ascii="Times New Roman" w:hAnsi="Times New Roman"/>
        </w:rPr>
        <w:t>4.5 The Pulse Check — Automated Construct Capture</w:t>
      </w:r>
    </w:p>
    <w:p>
      <w:pPr>
        <w:spacing w:after="120"/>
      </w:pPr>
      <w:r>
        <w:rPr>
          <w:rFonts w:ascii="Times New Roman" w:hAnsi="Times New Roman"/>
          <w:b w:val="0"/>
          <w:i w:val="0"/>
          <w:sz w:val="24"/>
        </w:rPr>
        <w:t>The strongest model consumes eight psychometric constructs whose natural production source is an employee survey rather than operational HR records. To supply these automatically and at low cost, a lightweight in-application weekly Pulse Check has been implemented and deployed: a 16-item Likert micro-survey (two items per construct) whose responses are averaged into the eight constructs using the same mean-of-items definition used in training, then scored against the inference service and stored once per employee per week. This was chosen in preference to a heavier conversational-AI agent specifically to preserve the cost objective. By design, employees see only a confirmation and never their own risk score; the resulting risk signal is visible to managers. Scoring is best-effort, so a model outage never blocks a submission.</w:t>
      </w:r>
    </w:p>
    <w:p>
      <w:r>
        <w:br w:type="page"/>
      </w:r>
    </w:p>
    <w:p>
      <w:pPr>
        <w:pStyle w:val="Heading1"/>
      </w:pPr>
      <w:r>
        <w:rPr>
          <w:rFonts w:ascii="Times New Roman" w:hAnsi="Times New Roman"/>
        </w:rPr>
        <w:t>5. Preliminary Results and Evaluation</w:t>
      </w:r>
    </w:p>
    <w:p>
      <w:pPr>
        <w:pStyle w:val="Heading2"/>
      </w:pPr>
      <w:r>
        <w:rPr>
          <w:rFonts w:ascii="Times New Roman" w:hAnsi="Times New Roman"/>
        </w:rPr>
        <w:t>5.1 Headline Result: Transfer vs Local</w:t>
      </w:r>
    </w:p>
    <w:p>
      <w:pPr>
        <w:spacing w:after="120"/>
      </w:pPr>
      <w:r>
        <w:rPr>
          <w:rFonts w:ascii="Times New Roman" w:hAnsi="Times New Roman"/>
          <w:b w:val="0"/>
          <w:i w:val="0"/>
          <w:sz w:val="24"/>
        </w:rPr>
        <w:t>The training stage reports two models side by side; the contrast between them is the project's central empirical contribution to date.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024"/>
          </w:tcPr>
          <w:p>
            <w:r/>
            <w:r>
              <w:rPr>
                <w:rFonts w:ascii="Times New Roman" w:hAnsi="Times New Roman"/>
                <w:b/>
                <w:sz w:val="21"/>
              </w:rPr>
              <w:t>Model</w:t>
            </w:r>
          </w:p>
        </w:tc>
        <w:tc>
          <w:tcPr>
            <w:tcW w:type="dxa" w:w="1152"/>
          </w:tcPr>
          <w:p>
            <w:r/>
            <w:r>
              <w:rPr>
                <w:rFonts w:ascii="Times New Roman" w:hAnsi="Times New Roman"/>
                <w:b/>
                <w:sz w:val="21"/>
              </w:rPr>
              <w:t>Features</w:t>
            </w:r>
          </w:p>
        </w:tc>
        <w:tc>
          <w:tcPr>
            <w:tcW w:type="dxa" w:w="1440"/>
          </w:tcPr>
          <w:p>
            <w:r/>
            <w:r>
              <w:rPr>
                <w:rFonts w:ascii="Times New Roman" w:hAnsi="Times New Roman"/>
                <w:b/>
                <w:sz w:val="21"/>
              </w:rPr>
              <w:t>SL ROC-AUC</w:t>
            </w:r>
          </w:p>
        </w:tc>
        <w:tc>
          <w:tcPr>
            <w:tcW w:type="dxa" w:w="1296"/>
          </w:tcPr>
          <w:p>
            <w:r/>
            <w:r>
              <w:rPr>
                <w:rFonts w:ascii="Times New Roman" w:hAnsi="Times New Roman"/>
                <w:b/>
                <w:sz w:val="21"/>
              </w:rPr>
              <w:t>SL PR-AUC</w:t>
            </w:r>
          </w:p>
        </w:tc>
        <w:tc>
          <w:tcPr>
            <w:tcW w:type="dxa" w:w="2880"/>
          </w:tcPr>
          <w:p>
            <w:r/>
            <w:r>
              <w:rPr>
                <w:rFonts w:ascii="Times New Roman" w:hAnsi="Times New Roman"/>
                <w:b/>
                <w:sz w:val="21"/>
              </w:rPr>
              <w:t>Usable operating point</w:t>
            </w:r>
          </w:p>
        </w:tc>
      </w:tr>
      <w:tr>
        <w:tc>
          <w:tcPr>
            <w:tcW w:type="dxa" w:w="3024"/>
          </w:tcPr>
          <w:p>
            <w:r/>
            <w:r>
              <w:rPr>
                <w:rFonts w:ascii="Times New Roman" w:hAnsi="Times New Roman"/>
                <w:sz w:val="21"/>
              </w:rPr>
              <w:t>Transfer (international → SL)</w:t>
            </w:r>
          </w:p>
        </w:tc>
        <w:tc>
          <w:tcPr>
            <w:tcW w:type="dxa" w:w="1152"/>
          </w:tcPr>
          <w:p>
            <w:r/>
            <w:r>
              <w:rPr>
                <w:rFonts w:ascii="Times New Roman" w:hAnsi="Times New Roman"/>
                <w:sz w:val="21"/>
              </w:rPr>
              <w:t>4 shared</w:t>
            </w:r>
          </w:p>
        </w:tc>
        <w:tc>
          <w:tcPr>
            <w:tcW w:type="dxa" w:w="1440"/>
          </w:tcPr>
          <w:p>
            <w:r/>
            <w:r>
              <w:rPr>
                <w:rFonts w:ascii="Times New Roman" w:hAnsi="Times New Roman"/>
                <w:sz w:val="21"/>
              </w:rPr>
              <w:t>0.64</w:t>
            </w:r>
          </w:p>
        </w:tc>
        <w:tc>
          <w:tcPr>
            <w:tcW w:type="dxa" w:w="1296"/>
          </w:tcPr>
          <w:p>
            <w:r/>
            <w:r>
              <w:rPr>
                <w:rFonts w:ascii="Times New Roman" w:hAnsi="Times New Roman"/>
                <w:sz w:val="21"/>
              </w:rPr>
              <w:t>0.29</w:t>
            </w:r>
          </w:p>
        </w:tc>
        <w:tc>
          <w:tcPr>
            <w:tcW w:type="dxa" w:w="2880"/>
          </w:tcPr>
          <w:p>
            <w:r/>
            <w:r>
              <w:rPr>
                <w:rFonts w:ascii="Times New Roman" w:hAnsi="Times New Roman"/>
                <w:sz w:val="21"/>
              </w:rPr>
              <w:t>None — recall 0.80 forces precision ~0.15</w:t>
            </w:r>
          </w:p>
        </w:tc>
      </w:tr>
      <w:tr>
        <w:tc>
          <w:tcPr>
            <w:tcW w:type="dxa" w:w="3024"/>
          </w:tcPr>
          <w:p>
            <w:r/>
            <w:r>
              <w:rPr>
                <w:rFonts w:ascii="Times New Roman" w:hAnsi="Times New Roman"/>
                <w:sz w:val="21"/>
              </w:rPr>
              <w:t>Local (within SL, 8 constructs)</w:t>
            </w:r>
          </w:p>
        </w:tc>
        <w:tc>
          <w:tcPr>
            <w:tcW w:type="dxa" w:w="1152"/>
          </w:tcPr>
          <w:p>
            <w:r/>
            <w:r>
              <w:rPr>
                <w:rFonts w:ascii="Times New Roman" w:hAnsi="Times New Roman"/>
                <w:sz w:val="21"/>
              </w:rPr>
              <w:t>8</w:t>
            </w:r>
          </w:p>
        </w:tc>
        <w:tc>
          <w:tcPr>
            <w:tcW w:type="dxa" w:w="1440"/>
          </w:tcPr>
          <w:p>
            <w:r/>
            <w:r>
              <w:rPr>
                <w:rFonts w:ascii="Times New Roman" w:hAnsi="Times New Roman"/>
                <w:sz w:val="21"/>
              </w:rPr>
              <w:t>0.94</w:t>
            </w:r>
          </w:p>
        </w:tc>
        <w:tc>
          <w:tcPr>
            <w:tcW w:type="dxa" w:w="1296"/>
          </w:tcPr>
          <w:p>
            <w:r/>
            <w:r>
              <w:rPr>
                <w:rFonts w:ascii="Times New Roman" w:hAnsi="Times New Roman"/>
                <w:sz w:val="21"/>
              </w:rPr>
              <w:t>0.79</w:t>
            </w:r>
          </w:p>
        </w:tc>
        <w:tc>
          <w:tcPr>
            <w:tcW w:type="dxa" w:w="2880"/>
          </w:tcPr>
          <w:p>
            <w:r/>
            <w:r>
              <w:rPr>
                <w:rFonts w:ascii="Times New Roman" w:hAnsi="Times New Roman"/>
                <w:sz w:val="21"/>
              </w:rPr>
              <w:t>Precision 0.73 / Recall 0.82 at threshold 0.30</w:t>
            </w:r>
          </w:p>
        </w:tc>
      </w:tr>
    </w:tbl>
    <w:p>
      <w:pPr>
        <w:spacing w:after="40"/>
      </w:pPr>
    </w:p>
    <w:p>
      <w:pPr>
        <w:spacing w:after="200"/>
        <w:jc w:val="center"/>
      </w:pPr>
      <w:r>
        <w:rPr>
          <w:rFonts w:ascii="Times New Roman" w:hAnsi="Times New Roman"/>
          <w:i/>
          <w:sz w:val="20"/>
        </w:rPr>
        <w:t>Table 2: Cross-cultural transfer model vs locally-trained model on the held-out Sri Lankan data.</w:t>
      </w:r>
    </w:p>
    <w:p>
      <w:pPr>
        <w:spacing w:after="120"/>
      </w:pPr>
      <w:r>
        <w:rPr>
          <w:rFonts w:ascii="Times New Roman" w:hAnsi="Times New Roman"/>
          <w:b w:val="0"/>
          <w:i w:val="0"/>
          <w:sz w:val="24"/>
        </w:rPr>
        <w:t>Cross-cultural transfer of attrition patterns is weak (ROC-AUC 0.64, barely above chance), whereas a locally-trained model on rich, same-instrument psychometric features is strong and usable (ROC-AUC 0.94, with a genuine early-warning operating point catching 27 of 33 at-risk respondents). This directly quantifies why Sri Lanka requires its own HR data — the precise gap that motivated the project. The weak transfer result is not a failure; it is the evidence. The local model's most influential constructs (work-life balance, co-worker support, innovative work behaviour, and job satisfaction) are interpretable and consistent with the turnover literature.</w:t>
      </w:r>
    </w:p>
    <w:p>
      <w:pPr>
        <w:spacing w:after="40"/>
        <w:jc w:val="center"/>
      </w:pPr>
      <w:r>
        <w:drawing>
          <wp:inline xmlns:a="http://schemas.openxmlformats.org/drawingml/2006/main" xmlns:pic="http://schemas.openxmlformats.org/drawingml/2006/picture">
            <wp:extent cx="5120640" cy="3008376"/>
            <wp:docPr id="1" name="Picture 1"/>
            <wp:cNvGraphicFramePr>
              <a:graphicFrameLocks noChangeAspect="1"/>
            </wp:cNvGraphicFramePr>
            <a:graphic>
              <a:graphicData uri="http://schemas.openxmlformats.org/drawingml/2006/picture">
                <pic:pic>
                  <pic:nvPicPr>
                    <pic:cNvPr id="0" name="shap_local.png"/>
                    <pic:cNvPicPr/>
                  </pic:nvPicPr>
                  <pic:blipFill>
                    <a:blip r:embed="rId9"/>
                    <a:stretch>
                      <a:fillRect/>
                    </a:stretch>
                  </pic:blipFill>
                  <pic:spPr>
                    <a:xfrm>
                      <a:off x="0" y="0"/>
                      <a:ext cx="5120640" cy="3008376"/>
                    </a:xfrm>
                    <a:prstGeom prst="rect"/>
                  </pic:spPr>
                </pic:pic>
              </a:graphicData>
            </a:graphic>
          </wp:inline>
        </w:drawing>
      </w:r>
    </w:p>
    <w:p>
      <w:pPr>
        <w:spacing w:after="200"/>
        <w:jc w:val="center"/>
      </w:pPr>
      <w:r>
        <w:rPr>
          <w:rFonts w:ascii="Times New Roman" w:hAnsi="Times New Roman"/>
          <w:i/>
          <w:sz w:val="20"/>
        </w:rPr>
        <w:t>Figure 1: SHAP summary (beeswarm) for the local model. Each point is one respondent; position shows the construct's contribution to predicted flight-risk intention, colour shows the construct value (blue = low, red = high). Lower work-life balance, co-worker support, and job satisfaction push risk upward, as expected.</w:t>
      </w:r>
    </w:p>
    <w:p>
      <w:pPr>
        <w:pStyle w:val="Heading2"/>
      </w:pPr>
      <w:r>
        <w:rPr>
          <w:rFonts w:ascii="Times New Roman" w:hAnsi="Times New Roman"/>
        </w:rPr>
        <w:t>5.2 Cost Evaluation</w:t>
      </w:r>
    </w:p>
    <w:p>
      <w:pPr>
        <w:spacing w:after="120"/>
      </w:pPr>
      <w:r>
        <w:rPr>
          <w:rFonts w:ascii="Times New Roman" w:hAnsi="Times New Roman"/>
          <w:b w:val="0"/>
          <w:i w:val="0"/>
          <w:sz w:val="24"/>
        </w:rPr>
        <w:t>Because both the HR platform and the ML inference service run on Cloud Run and scale to zero, idle cost is effectively nil. The measured/estimated operational cost is approximately LKR 140 per month for a representative 50-employee workload (daily attendance logging, weekly pulse checks, ~100 predictions/month, and one retraining run). Even at ten times this usage the cost remains under LKR 1,500 — well within the LKR 10,000 target, providing strong preliminary evidence for RQ2. A formal three-architecture comparison using exported billing data is scheduled for the evaluation phase.</w:t>
      </w:r>
    </w:p>
    <w:p>
      <w:pPr>
        <w:pStyle w:val="Heading2"/>
      </w:pPr>
      <w:r>
        <w:rPr>
          <w:rFonts w:ascii="Times New Roman" w:hAnsi="Times New Roman"/>
        </w:rPr>
        <w:t>5.3 Honest Limitations</w:t>
      </w:r>
    </w:p>
    <w:p>
      <w:pPr>
        <w:spacing w:after="120"/>
      </w:pPr>
      <w:r>
        <w:rPr>
          <w:rFonts w:ascii="Times New Roman" w:hAnsi="Times New Roman"/>
          <w:b w:val="0"/>
          <w:i w:val="0"/>
          <w:sz w:val="24"/>
        </w:rPr>
        <w:t>The following are properties of the available data, not defects, and they bound the present claims:</w:t>
      </w:r>
    </w:p>
    <w:p>
      <w:pPr>
        <w:pStyle w:val="ListBullet"/>
        <w:spacing w:after="60"/>
      </w:pPr>
      <w:r>
        <w:rPr>
          <w:rFonts w:ascii="Times New Roman" w:hAnsi="Times New Roman"/>
          <w:b/>
          <w:sz w:val="24"/>
        </w:rPr>
        <w:t xml:space="preserve">Small N for the local model: </w:t>
      </w:r>
      <w:r>
        <w:rPr>
          <w:rFonts w:ascii="Times New Roman" w:hAnsi="Times New Roman"/>
          <w:sz w:val="24"/>
        </w:rPr>
        <w:t>230 records with ~33 positives; the 0.94 ROC-AUC is reported as a repeated cross-validation mean (range 0.93–0.94) and is encouraging rather than definitive.</w:t>
      </w:r>
    </w:p>
    <w:p>
      <w:pPr>
        <w:pStyle w:val="ListBullet"/>
        <w:spacing w:after="60"/>
      </w:pPr>
      <w:r>
        <w:rPr>
          <w:rFonts w:ascii="Times New Roman" w:hAnsi="Times New Roman"/>
          <w:b/>
          <w:sz w:val="24"/>
        </w:rPr>
        <w:t xml:space="preserve">Intention, not behaviour: </w:t>
      </w:r>
      <w:r>
        <w:rPr>
          <w:rFonts w:ascii="Times New Roman" w:hAnsi="Times New Roman"/>
          <w:sz w:val="24"/>
        </w:rPr>
        <w:t>both models predict turnover intention (composite ≥ 3.5), not observed resignations; results are a flight-risk proxy subject to the intention–behaviour gap [20].</w:t>
      </w:r>
    </w:p>
    <w:p>
      <w:pPr>
        <w:pStyle w:val="ListBullet"/>
        <w:spacing w:after="60"/>
      </w:pPr>
      <w:r>
        <w:rPr>
          <w:rFonts w:ascii="Times New Roman" w:hAnsi="Times New Roman"/>
          <w:b/>
          <w:sz w:val="24"/>
        </w:rPr>
        <w:t xml:space="preserve">Differing feature provenance: </w:t>
      </w:r>
      <w:r>
        <w:rPr>
          <w:rFonts w:ascii="Times New Roman" w:hAnsi="Times New Roman"/>
          <w:sz w:val="24"/>
        </w:rPr>
        <w:t>the transfer model is limited to the four internationally-shared features (dominated by age), while the local model's eight constructs are survey-sourced; the two target different deployment paths.</w:t>
      </w:r>
    </w:p>
    <w:p>
      <w:pPr>
        <w:pStyle w:val="ListBullet"/>
        <w:spacing w:after="60"/>
      </w:pPr>
      <w:r>
        <w:rPr>
          <w:rFonts w:ascii="Times New Roman" w:hAnsi="Times New Roman"/>
          <w:b/>
          <w:sz w:val="24"/>
        </w:rPr>
        <w:t xml:space="preserve">Base-rate mismatch: </w:t>
      </w:r>
      <w:r>
        <w:rPr>
          <w:rFonts w:ascii="Times New Roman" w:hAnsi="Times New Roman"/>
          <w:sz w:val="24"/>
        </w:rPr>
        <w:t>international training prevalence (~42%) differs from the Sri Lankan rate (14.3%); thresholds are tuned on a held-out split and the full metric suite is reported at each operating point.</w:t>
      </w:r>
    </w:p>
    <w:p>
      <w:pPr>
        <w:spacing w:after="40"/>
        <w:jc w:val="center"/>
      </w:pPr>
      <w:r>
        <w:drawing>
          <wp:inline xmlns:a="http://schemas.openxmlformats.org/drawingml/2006/main" xmlns:pic="http://schemas.openxmlformats.org/drawingml/2006/picture">
            <wp:extent cx="5120640" cy="1984248"/>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120640" cy="1984248"/>
                    </a:xfrm>
                    <a:prstGeom prst="rect"/>
                  </pic:spPr>
                </pic:pic>
              </a:graphicData>
            </a:graphic>
          </wp:inline>
        </w:drawing>
      </w:r>
    </w:p>
    <w:p>
      <w:pPr>
        <w:spacing w:after="200"/>
        <w:jc w:val="center"/>
      </w:pPr>
      <w:r>
        <w:rPr>
          <w:rFonts w:ascii="Times New Roman" w:hAnsi="Times New Roman"/>
          <w:i/>
          <w:sz w:val="20"/>
        </w:rPr>
        <w:t>Figure 2: SHAP summary for the cross-cultural transfer model. With only the four internationally-shared features, the model leans heavily on Age, illustrating why transfer alone is a weak basis for Sri Lankan attrition prediction.</w:t>
      </w:r>
    </w:p>
    <w:p>
      <w:pPr>
        <w:spacing w:after="120"/>
      </w:pPr>
      <w:r>
        <w:rPr>
          <w:rFonts w:ascii="Times New Roman" w:hAnsi="Times New Roman"/>
          <w:b w:val="0"/>
          <w:i w:val="0"/>
          <w:sz w:val="24"/>
        </w:rPr>
        <w:t>Accordingly, the thesis will lead with the transfer-vs-local comparison as the empirical contribution rather than a single universal recall headline. Obtaining real Sri Lankan attrition (not intention) data from a partner SME is identified as the highest-value future work.</w:t>
      </w:r>
    </w:p>
    <w:p>
      <w:r>
        <w:br w:type="page"/>
      </w:r>
    </w:p>
    <w:p>
      <w:pPr>
        <w:pStyle w:val="Heading1"/>
      </w:pPr>
      <w:r>
        <w:rPr>
          <w:rFonts w:ascii="Times New Roman" w:hAnsi="Times New Roman"/>
        </w:rPr>
        <w:t>6. Progress Summary, Deviations and Updated Plan</w:t>
      </w:r>
    </w:p>
    <w:p>
      <w:pPr>
        <w:pStyle w:val="Heading2"/>
      </w:pPr>
      <w:r>
        <w:rPr>
          <w:rFonts w:ascii="Times New Roman" w:hAnsi="Times New Roman"/>
        </w:rPr>
        <w:t>6.1 Progress Against Objectives</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tcPr>
          <w:p>
            <w:r/>
            <w:r>
              <w:rPr>
                <w:rFonts w:ascii="Times New Roman" w:hAnsi="Times New Roman"/>
                <w:b/>
                <w:sz w:val="21"/>
              </w:rPr>
              <w:t>Objective</w:t>
            </w:r>
          </w:p>
        </w:tc>
        <w:tc>
          <w:tcPr>
            <w:tcW w:type="dxa" w:w="2448"/>
          </w:tcPr>
          <w:p>
            <w:r/>
            <w:r>
              <w:rPr>
                <w:rFonts w:ascii="Times New Roman" w:hAnsi="Times New Roman"/>
                <w:b/>
                <w:sz w:val="21"/>
              </w:rPr>
              <w:t>Status</w:t>
            </w:r>
          </w:p>
        </w:tc>
        <w:tc>
          <w:tcPr>
            <w:tcW w:type="dxa" w:w="4320"/>
          </w:tcPr>
          <w:p>
            <w:r/>
            <w:r>
              <w:rPr>
                <w:rFonts w:ascii="Times New Roman" w:hAnsi="Times New Roman"/>
                <w:b/>
                <w:sz w:val="21"/>
              </w:rPr>
              <w:t>Evidence</w:t>
            </w:r>
          </w:p>
        </w:tc>
      </w:tr>
      <w:tr>
        <w:tc>
          <w:tcPr>
            <w:tcW w:type="dxa" w:w="2736"/>
          </w:tcPr>
          <w:p>
            <w:r/>
            <w:r>
              <w:rPr>
                <w:rFonts w:ascii="Times New Roman" w:hAnsi="Times New Roman"/>
                <w:sz w:val="21"/>
              </w:rPr>
              <w:t>O1 Feature identification</w:t>
            </w:r>
          </w:p>
        </w:tc>
        <w:tc>
          <w:tcPr>
            <w:tcW w:type="dxa" w:w="2448"/>
          </w:tcPr>
          <w:p>
            <w:r/>
            <w:r>
              <w:rPr>
                <w:rFonts w:ascii="Times New Roman" w:hAnsi="Times New Roman"/>
                <w:sz w:val="21"/>
              </w:rPr>
              <w:t>Largely complete</w:t>
            </w:r>
          </w:p>
        </w:tc>
        <w:tc>
          <w:tcPr>
            <w:tcW w:type="dxa" w:w="4320"/>
          </w:tcPr>
          <w:p>
            <w:r/>
            <w:r>
              <w:rPr>
                <w:rFonts w:ascii="Times New Roman" w:hAnsi="Times New Roman"/>
                <w:sz w:val="21"/>
              </w:rPr>
              <w:t>Calibrated predictors + 8 validated psychometric constructs identified; PDPA-compliant handling.</w:t>
            </w:r>
          </w:p>
        </w:tc>
      </w:tr>
      <w:tr>
        <w:tc>
          <w:tcPr>
            <w:tcW w:type="dxa" w:w="2736"/>
          </w:tcPr>
          <w:p>
            <w:r/>
            <w:r>
              <w:rPr>
                <w:rFonts w:ascii="Times New Roman" w:hAnsi="Times New Roman"/>
                <w:sz w:val="21"/>
              </w:rPr>
              <w:t>O2 Architecture design</w:t>
            </w:r>
          </w:p>
        </w:tc>
        <w:tc>
          <w:tcPr>
            <w:tcW w:type="dxa" w:w="2448"/>
          </w:tcPr>
          <w:p>
            <w:r/>
            <w:r>
              <w:rPr>
                <w:rFonts w:ascii="Times New Roman" w:hAnsi="Times New Roman"/>
                <w:sz w:val="21"/>
              </w:rPr>
              <w:t>Complete (preliminary cost shown)</w:t>
            </w:r>
          </w:p>
        </w:tc>
        <w:tc>
          <w:tcPr>
            <w:tcW w:type="dxa" w:w="4320"/>
          </w:tcPr>
          <w:p>
            <w:r/>
            <w:r>
              <w:rPr>
                <w:rFonts w:ascii="Times New Roman" w:hAnsi="Times New Roman"/>
                <w:sz w:val="21"/>
              </w:rPr>
              <w:t>Serverless two-system architecture deployed; idle cost ~LKR 140/month.</w:t>
            </w:r>
          </w:p>
        </w:tc>
      </w:tr>
      <w:tr>
        <w:tc>
          <w:tcPr>
            <w:tcW w:type="dxa" w:w="2736"/>
          </w:tcPr>
          <w:p>
            <w:r/>
            <w:r>
              <w:rPr>
                <w:rFonts w:ascii="Times New Roman" w:hAnsi="Times New Roman"/>
                <w:sz w:val="21"/>
              </w:rPr>
              <w:t>O3 Model development</w:t>
            </w:r>
          </w:p>
        </w:tc>
        <w:tc>
          <w:tcPr>
            <w:tcW w:type="dxa" w:w="2448"/>
          </w:tcPr>
          <w:p>
            <w:r/>
            <w:r>
              <w:rPr>
                <w:rFonts w:ascii="Times New Roman" w:hAnsi="Times New Roman"/>
                <w:sz w:val="21"/>
              </w:rPr>
              <w:t>Complete (first iteration)</w:t>
            </w:r>
          </w:p>
        </w:tc>
        <w:tc>
          <w:tcPr>
            <w:tcW w:type="dxa" w:w="4320"/>
          </w:tcPr>
          <w:p>
            <w:r/>
            <w:r>
              <w:rPr>
                <w:rFonts w:ascii="Times New Roman" w:hAnsi="Times New Roman"/>
                <w:sz w:val="21"/>
              </w:rPr>
              <w:t>Two models trained; local model usable at P0.73/R0.82; SHAP integrated.</w:t>
            </w:r>
          </w:p>
        </w:tc>
      </w:tr>
      <w:tr>
        <w:tc>
          <w:tcPr>
            <w:tcW w:type="dxa" w:w="2736"/>
          </w:tcPr>
          <w:p>
            <w:r/>
            <w:r>
              <w:rPr>
                <w:rFonts w:ascii="Times New Roman" w:hAnsi="Times New Roman"/>
                <w:sz w:val="21"/>
              </w:rPr>
              <w:t>O4 System integration</w:t>
            </w:r>
          </w:p>
        </w:tc>
        <w:tc>
          <w:tcPr>
            <w:tcW w:type="dxa" w:w="2448"/>
          </w:tcPr>
          <w:p>
            <w:r/>
            <w:r>
              <w:rPr>
                <w:rFonts w:ascii="Times New Roman" w:hAnsi="Times New Roman"/>
                <w:sz w:val="21"/>
              </w:rPr>
              <w:t>Complete</w:t>
            </w:r>
          </w:p>
        </w:tc>
        <w:tc>
          <w:tcPr>
            <w:tcW w:type="dxa" w:w="4320"/>
          </w:tcPr>
          <w:p>
            <w:r/>
            <w:r>
              <w:rPr>
                <w:rFonts w:ascii="Times New Roman" w:hAnsi="Times New Roman"/>
                <w:sz w:val="21"/>
              </w:rPr>
              <w:t>Inference service + HR-app proxy + risk card + live Pulse Check.</w:t>
            </w:r>
          </w:p>
        </w:tc>
      </w:tr>
      <w:tr>
        <w:tc>
          <w:tcPr>
            <w:tcW w:type="dxa" w:w="2736"/>
          </w:tcPr>
          <w:p>
            <w:r/>
            <w:r>
              <w:rPr>
                <w:rFonts w:ascii="Times New Roman" w:hAnsi="Times New Roman"/>
                <w:sz w:val="21"/>
              </w:rPr>
              <w:t>O5 Evaluation</w:t>
            </w:r>
          </w:p>
        </w:tc>
        <w:tc>
          <w:tcPr>
            <w:tcW w:type="dxa" w:w="2448"/>
          </w:tcPr>
          <w:p>
            <w:r/>
            <w:r>
              <w:rPr>
                <w:rFonts w:ascii="Times New Roman" w:hAnsi="Times New Roman"/>
                <w:sz w:val="21"/>
              </w:rPr>
              <w:t>In progress</w:t>
            </w:r>
          </w:p>
        </w:tc>
        <w:tc>
          <w:tcPr>
            <w:tcW w:type="dxa" w:w="4320"/>
          </w:tcPr>
          <w:p>
            <w:r/>
            <w:r>
              <w:rPr>
                <w:rFonts w:ascii="Times New Roman" w:hAnsi="Times New Roman"/>
                <w:sz w:val="21"/>
              </w:rPr>
              <w:t>Predictive metrics done; formal cost comparison + SUS study pending.</w:t>
            </w:r>
          </w:p>
        </w:tc>
      </w:tr>
    </w:tbl>
    <w:p>
      <w:pPr>
        <w:spacing w:after="40"/>
      </w:pPr>
    </w:p>
    <w:p>
      <w:pPr>
        <w:spacing w:after="200"/>
        <w:jc w:val="center"/>
      </w:pPr>
      <w:r>
        <w:rPr>
          <w:rFonts w:ascii="Times New Roman" w:hAnsi="Times New Roman"/>
          <w:i/>
          <w:sz w:val="20"/>
        </w:rPr>
        <w:t>Table 3: Progress against the proposal's objectives.</w:t>
      </w:r>
    </w:p>
    <w:p>
      <w:pPr>
        <w:pStyle w:val="Heading2"/>
      </w:pPr>
      <w:r>
        <w:rPr>
          <w:rFonts w:ascii="Times New Roman" w:hAnsi="Times New Roman"/>
        </w:rPr>
        <w:t>6.2 Deviations from the Proposal and their Justification</w:t>
      </w:r>
    </w:p>
    <w:p>
      <w:pPr>
        <w:spacing w:after="120"/>
      </w:pPr>
      <w:r>
        <w:rPr>
          <w:rFonts w:ascii="Times New Roman" w:hAnsi="Times New Roman"/>
          <w:b w:val="0"/>
          <w:i w:val="0"/>
          <w:sz w:val="24"/>
        </w:rPr>
        <w:t>Implementation surfaced evidence that justified several deliberate, defensible deviations from the original plan. These are reported transparently as they form part of the research narrative.</w:t>
      </w:r>
    </w:p>
    <w:p>
      <w:pPr>
        <w:pStyle w:val="ListBullet"/>
        <w:spacing w:after="60"/>
      </w:pPr>
      <w:r>
        <w:rPr>
          <w:rFonts w:ascii="Times New Roman" w:hAnsi="Times New Roman"/>
          <w:b/>
          <w:sz w:val="24"/>
        </w:rPr>
        <w:t xml:space="preserve">Inference platform: </w:t>
      </w:r>
      <w:r>
        <w:rPr>
          <w:rFonts w:ascii="Times New Roman" w:hAnsi="Times New Roman"/>
          <w:sz w:val="24"/>
        </w:rPr>
        <w:t>Cloud Run with a self-hosted scikit-learn model replaced Vertex AI AutoML. AutoML is costly per training run, opaque, and incompatible with exact SHAP; a transparent Random Forest gives comparable accuracy at near-zero cost, better serving both the cost objective and the explainability requirement.</w:t>
      </w:r>
    </w:p>
    <w:p>
      <w:pPr>
        <w:pStyle w:val="ListBullet"/>
        <w:spacing w:after="60"/>
      </w:pPr>
      <w:r>
        <w:rPr>
          <w:rFonts w:ascii="Times New Roman" w:hAnsi="Times New Roman"/>
          <w:b/>
          <w:sz w:val="24"/>
        </w:rPr>
        <w:t xml:space="preserve">Training data: </w:t>
      </w:r>
      <w:r>
        <w:rPr>
          <w:rFonts w:ascii="Times New Roman" w:hAnsi="Times New Roman"/>
          <w:sz w:val="24"/>
        </w:rPr>
        <w:t>real multi-source international data (Saudi + Russian) replaced reliance on the IBM dataset for training. IBM data is itself synthetic with fictional income units; it is retained as a published benchmark only, while real attrition events drive training.</w:t>
      </w:r>
    </w:p>
    <w:p>
      <w:pPr>
        <w:pStyle w:val="ListBullet"/>
        <w:spacing w:after="60"/>
      </w:pPr>
      <w:r>
        <w:rPr>
          <w:rFonts w:ascii="Times New Roman" w:hAnsi="Times New Roman"/>
          <w:b/>
          <w:sz w:val="24"/>
        </w:rPr>
        <w:t xml:space="preserve">Predictive features: </w:t>
      </w:r>
      <w:r>
        <w:rPr>
          <w:rFonts w:ascii="Times New Roman" w:hAnsi="Times New Roman"/>
          <w:sz w:val="24"/>
        </w:rPr>
        <w:t>the strongest signal came not from operational HR data alone but from psychometric constructs. This motivated the two-model design and the Pulse Check as the construct source — a finding that strengthens, rather than weakens, the contribution.</w:t>
      </w:r>
    </w:p>
    <w:p>
      <w:pPr>
        <w:pStyle w:val="ListBullet"/>
        <w:spacing w:after="60"/>
      </w:pPr>
      <w:r>
        <w:rPr>
          <w:rFonts w:ascii="Times New Roman" w:hAnsi="Times New Roman"/>
          <w:b/>
          <w:sz w:val="24"/>
        </w:rPr>
        <w:t xml:space="preserve">Framing of the headline metric: </w:t>
      </w:r>
      <w:r>
        <w:rPr>
          <w:rFonts w:ascii="Times New Roman" w:hAnsi="Times New Roman"/>
          <w:sz w:val="24"/>
        </w:rPr>
        <w:t>rather than asserting a single '&gt;80% recall' result, the project reports the transfer-vs-local contrast, which is a more honest and more original contribution given the data reality.</w:t>
      </w:r>
    </w:p>
    <w:p>
      <w:pPr>
        <w:pStyle w:val="Heading2"/>
      </w:pPr>
      <w:r>
        <w:rPr>
          <w:rFonts w:ascii="Times New Roman" w:hAnsi="Times New Roman"/>
        </w:rPr>
        <w:t>6.3 Risk Register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r/>
            <w:r>
              <w:rPr>
                <w:rFonts w:ascii="Times New Roman" w:hAnsi="Times New Roman"/>
                <w:b/>
                <w:sz w:val="21"/>
              </w:rPr>
              <w:t>Risk</w:t>
            </w:r>
          </w:p>
        </w:tc>
        <w:tc>
          <w:tcPr>
            <w:tcW w:type="dxa" w:w="1296"/>
          </w:tcPr>
          <w:p>
            <w:r/>
            <w:r>
              <w:rPr>
                <w:rFonts w:ascii="Times New Roman" w:hAnsi="Times New Roman"/>
                <w:b/>
                <w:sz w:val="21"/>
              </w:rPr>
              <w:t>Likelihood</w:t>
            </w:r>
          </w:p>
        </w:tc>
        <w:tc>
          <w:tcPr>
            <w:tcW w:type="dxa" w:w="1152"/>
          </w:tcPr>
          <w:p>
            <w:r/>
            <w:r>
              <w:rPr>
                <w:rFonts w:ascii="Times New Roman" w:hAnsi="Times New Roman"/>
                <w:b/>
                <w:sz w:val="21"/>
              </w:rPr>
              <w:t>Impact</w:t>
            </w:r>
          </w:p>
        </w:tc>
        <w:tc>
          <w:tcPr>
            <w:tcW w:type="dxa" w:w="4032"/>
          </w:tcPr>
          <w:p>
            <w:r/>
            <w:r>
              <w:rPr>
                <w:rFonts w:ascii="Times New Roman" w:hAnsi="Times New Roman"/>
                <w:b/>
                <w:sz w:val="21"/>
              </w:rPr>
              <w:t>Mitigation</w:t>
            </w:r>
          </w:p>
        </w:tc>
      </w:tr>
      <w:tr>
        <w:tc>
          <w:tcPr>
            <w:tcW w:type="dxa" w:w="2880"/>
          </w:tcPr>
          <w:p>
            <w:r/>
            <w:r>
              <w:rPr>
                <w:rFonts w:ascii="Times New Roman" w:hAnsi="Times New Roman"/>
                <w:sz w:val="21"/>
              </w:rPr>
              <w:t>No real SL attrition (vs intention) data</w:t>
            </w:r>
          </w:p>
        </w:tc>
        <w:tc>
          <w:tcPr>
            <w:tcW w:type="dxa" w:w="1296"/>
          </w:tcPr>
          <w:p>
            <w:r/>
            <w:r>
              <w:rPr>
                <w:rFonts w:ascii="Times New Roman" w:hAnsi="Times New Roman"/>
                <w:sz w:val="21"/>
              </w:rPr>
              <w:t>High</w:t>
            </w:r>
          </w:p>
        </w:tc>
        <w:tc>
          <w:tcPr>
            <w:tcW w:type="dxa" w:w="1152"/>
          </w:tcPr>
          <w:p>
            <w:r/>
            <w:r>
              <w:rPr>
                <w:rFonts w:ascii="Times New Roman" w:hAnsi="Times New Roman"/>
                <w:sz w:val="21"/>
              </w:rPr>
              <w:t>Medium</w:t>
            </w:r>
          </w:p>
        </w:tc>
        <w:tc>
          <w:tcPr>
            <w:tcW w:type="dxa" w:w="4032"/>
          </w:tcPr>
          <w:p>
            <w:r/>
            <w:r>
              <w:rPr>
                <w:rFonts w:ascii="Times New Roman" w:hAnsi="Times New Roman"/>
                <w:sz w:val="21"/>
              </w:rPr>
              <w:t>Framework/methodology is the contribution; pipeline accepts partner data at highest weight without redesign.</w:t>
            </w:r>
          </w:p>
        </w:tc>
      </w:tr>
      <w:tr>
        <w:tc>
          <w:tcPr>
            <w:tcW w:type="dxa" w:w="2880"/>
          </w:tcPr>
          <w:p>
            <w:r/>
            <w:r>
              <w:rPr>
                <w:rFonts w:ascii="Times New Roman" w:hAnsi="Times New Roman"/>
                <w:sz w:val="21"/>
              </w:rPr>
              <w:t>Small validation N limits claims</w:t>
            </w:r>
          </w:p>
        </w:tc>
        <w:tc>
          <w:tcPr>
            <w:tcW w:type="dxa" w:w="1296"/>
          </w:tcPr>
          <w:p>
            <w:r/>
            <w:r>
              <w:rPr>
                <w:rFonts w:ascii="Times New Roman" w:hAnsi="Times New Roman"/>
                <w:sz w:val="21"/>
              </w:rPr>
              <w:t>High</w:t>
            </w:r>
          </w:p>
        </w:tc>
        <w:tc>
          <w:tcPr>
            <w:tcW w:type="dxa" w:w="1152"/>
          </w:tcPr>
          <w:p>
            <w:r/>
            <w:r>
              <w:rPr>
                <w:rFonts w:ascii="Times New Roman" w:hAnsi="Times New Roman"/>
                <w:sz w:val="21"/>
              </w:rPr>
              <w:t>Medium</w:t>
            </w:r>
          </w:p>
        </w:tc>
        <w:tc>
          <w:tcPr>
            <w:tcW w:type="dxa" w:w="4032"/>
          </w:tcPr>
          <w:p>
            <w:r/>
            <w:r>
              <w:rPr>
                <w:rFonts w:ascii="Times New Roman" w:hAnsi="Times New Roman"/>
                <w:sz w:val="21"/>
              </w:rPr>
              <w:t>Repeated CV with seed range; report full metric suite and limitations explicitly.</w:t>
            </w:r>
          </w:p>
        </w:tc>
      </w:tr>
      <w:tr>
        <w:tc>
          <w:tcPr>
            <w:tcW w:type="dxa" w:w="2880"/>
          </w:tcPr>
          <w:p>
            <w:r/>
            <w:r>
              <w:rPr>
                <w:rFonts w:ascii="Times New Roman" w:hAnsi="Times New Roman"/>
                <w:sz w:val="21"/>
              </w:rPr>
              <w:t>GCP cost exceeds target</w:t>
            </w:r>
          </w:p>
        </w:tc>
        <w:tc>
          <w:tcPr>
            <w:tcW w:type="dxa" w:w="1296"/>
          </w:tcPr>
          <w:p>
            <w:r/>
            <w:r>
              <w:rPr>
                <w:rFonts w:ascii="Times New Roman" w:hAnsi="Times New Roman"/>
                <w:sz w:val="21"/>
              </w:rPr>
              <w:t>Low</w:t>
            </w:r>
          </w:p>
        </w:tc>
        <w:tc>
          <w:tcPr>
            <w:tcW w:type="dxa" w:w="1152"/>
          </w:tcPr>
          <w:p>
            <w:r/>
            <w:r>
              <w:rPr>
                <w:rFonts w:ascii="Times New Roman" w:hAnsi="Times New Roman"/>
                <w:sz w:val="21"/>
              </w:rPr>
              <w:t>Medium</w:t>
            </w:r>
          </w:p>
        </w:tc>
        <w:tc>
          <w:tcPr>
            <w:tcW w:type="dxa" w:w="4032"/>
          </w:tcPr>
          <w:p>
            <w:r/>
            <w:r>
              <w:rPr>
                <w:rFonts w:ascii="Times New Roman" w:hAnsi="Times New Roman"/>
                <w:sz w:val="21"/>
              </w:rPr>
              <w:t>Scale-to-zero services; billing alerts; large safety margin already demonstrated.</w:t>
            </w:r>
          </w:p>
        </w:tc>
      </w:tr>
      <w:tr>
        <w:tc>
          <w:tcPr>
            <w:tcW w:type="dxa" w:w="2880"/>
          </w:tcPr>
          <w:p>
            <w:r/>
            <w:r>
              <w:rPr>
                <w:rFonts w:ascii="Times New Roman" w:hAnsi="Times New Roman"/>
                <w:sz w:val="21"/>
              </w:rPr>
              <w:t>SUS below target</w:t>
            </w:r>
          </w:p>
        </w:tc>
        <w:tc>
          <w:tcPr>
            <w:tcW w:type="dxa" w:w="1296"/>
          </w:tcPr>
          <w:p>
            <w:r/>
            <w:r>
              <w:rPr>
                <w:rFonts w:ascii="Times New Roman" w:hAnsi="Times New Roman"/>
                <w:sz w:val="21"/>
              </w:rPr>
              <w:t>Medium</w:t>
            </w:r>
          </w:p>
        </w:tc>
        <w:tc>
          <w:tcPr>
            <w:tcW w:type="dxa" w:w="1152"/>
          </w:tcPr>
          <w:p>
            <w:r/>
            <w:r>
              <w:rPr>
                <w:rFonts w:ascii="Times New Roman" w:hAnsi="Times New Roman"/>
                <w:sz w:val="21"/>
              </w:rPr>
              <w:t>Medium</w:t>
            </w:r>
          </w:p>
        </w:tc>
        <w:tc>
          <w:tcPr>
            <w:tcW w:type="dxa" w:w="4032"/>
          </w:tcPr>
          <w:p>
            <w:r/>
            <w:r>
              <w:rPr>
                <w:rFonts w:ascii="Times New Roman" w:hAnsi="Times New Roman"/>
                <w:sz w:val="21"/>
              </w:rPr>
              <w:t>Pilot with 2–3 users and iterate dashboard UX before the formal study.</w:t>
            </w:r>
          </w:p>
        </w:tc>
      </w:tr>
      <w:tr>
        <w:tc>
          <w:tcPr>
            <w:tcW w:type="dxa" w:w="2880"/>
          </w:tcPr>
          <w:p>
            <w:r/>
            <w:r>
              <w:rPr>
                <w:rFonts w:ascii="Times New Roman" w:hAnsi="Times New Roman"/>
                <w:sz w:val="21"/>
              </w:rPr>
              <w:t>PDPA compliance gap</w:t>
            </w:r>
          </w:p>
        </w:tc>
        <w:tc>
          <w:tcPr>
            <w:tcW w:type="dxa" w:w="1296"/>
          </w:tcPr>
          <w:p>
            <w:r/>
            <w:r>
              <w:rPr>
                <w:rFonts w:ascii="Times New Roman" w:hAnsi="Times New Roman"/>
                <w:sz w:val="21"/>
              </w:rPr>
              <w:t>Low</w:t>
            </w:r>
          </w:p>
        </w:tc>
        <w:tc>
          <w:tcPr>
            <w:tcW w:type="dxa" w:w="1152"/>
          </w:tcPr>
          <w:p>
            <w:r/>
            <w:r>
              <w:rPr>
                <w:rFonts w:ascii="Times New Roman" w:hAnsi="Times New Roman"/>
                <w:sz w:val="21"/>
              </w:rPr>
              <w:t>High</w:t>
            </w:r>
          </w:p>
        </w:tc>
        <w:tc>
          <w:tcPr>
            <w:tcW w:type="dxa" w:w="4032"/>
          </w:tcPr>
          <w:p>
            <w:r/>
            <w:r>
              <w:rPr>
                <w:rFonts w:ascii="Times New Roman" w:hAnsi="Times New Roman"/>
                <w:sz w:val="21"/>
              </w:rPr>
              <w:t>PII stripped at the database layer; no identifiers in features; audited exports.</w:t>
            </w:r>
          </w:p>
        </w:tc>
      </w:tr>
    </w:tbl>
    <w:p>
      <w:pPr>
        <w:spacing w:after="40"/>
      </w:pPr>
    </w:p>
    <w:p>
      <w:pPr>
        <w:spacing w:after="200"/>
        <w:jc w:val="center"/>
      </w:pPr>
      <w:r>
        <w:rPr>
          <w:rFonts w:ascii="Times New Roman" w:hAnsi="Times New Roman"/>
          <w:i/>
          <w:sz w:val="20"/>
        </w:rPr>
        <w:t>Table 4: Principal project risks and mitigations.</w:t>
      </w:r>
    </w:p>
    <w:p>
      <w:pPr>
        <w:pStyle w:val="Heading2"/>
      </w:pPr>
      <w:r>
        <w:rPr>
          <w:rFonts w:ascii="Times New Roman" w:hAnsi="Times New Roman"/>
        </w:rPr>
        <w:t>6.4 Updated Work Plan</w:t>
      </w:r>
    </w:p>
    <w:tbl>
      <w:tblPr>
        <w:tblStyle w:val="LightGrid-Accent1"/>
        <w:tblW w:type="auto" w:w="0"/>
        <w:jc w:val="center"/>
        <w:tblLook w:firstColumn="1" w:firstRow="1" w:lastColumn="0" w:lastRow="0" w:noHBand="0" w:noVBand="1" w:val="04A0"/>
      </w:tblPr>
      <w:tblGrid>
        <w:gridCol w:w="4680"/>
        <w:gridCol w:w="4680"/>
      </w:tblGrid>
      <w:tr>
        <w:tc>
          <w:tcPr>
            <w:tcW w:type="dxa" w:w="2016"/>
          </w:tcPr>
          <w:p>
            <w:r/>
            <w:r>
              <w:rPr>
                <w:rFonts w:ascii="Times New Roman" w:hAnsi="Times New Roman"/>
                <w:b/>
                <w:sz w:val="21"/>
              </w:rPr>
              <w:t>Period</w:t>
            </w:r>
          </w:p>
        </w:tc>
        <w:tc>
          <w:tcPr>
            <w:tcW w:type="dxa" w:w="7344"/>
          </w:tcPr>
          <w:p>
            <w:r/>
            <w:r>
              <w:rPr>
                <w:rFonts w:ascii="Times New Roman" w:hAnsi="Times New Roman"/>
                <w:b/>
                <w:sz w:val="21"/>
              </w:rPr>
              <w:t>Planned activity</w:t>
            </w:r>
          </w:p>
        </w:tc>
      </w:tr>
      <w:tr>
        <w:tc>
          <w:tcPr>
            <w:tcW w:type="dxa" w:w="2016"/>
          </w:tcPr>
          <w:p>
            <w:r/>
            <w:r>
              <w:rPr>
                <w:rFonts w:ascii="Times New Roman" w:hAnsi="Times New Roman"/>
                <w:sz w:val="21"/>
              </w:rPr>
              <w:t>Jul 2026</w:t>
            </w:r>
          </w:p>
        </w:tc>
        <w:tc>
          <w:tcPr>
            <w:tcW w:type="dxa" w:w="7344"/>
          </w:tcPr>
          <w:p>
            <w:r/>
            <w:r>
              <w:rPr>
                <w:rFonts w:ascii="Times New Roman" w:hAnsi="Times New Roman"/>
                <w:sz w:val="21"/>
              </w:rPr>
              <w:t>Formal three-architecture cost comparison from exported GCP billing data; finalise evaluation tables and figures.</w:t>
            </w:r>
          </w:p>
        </w:tc>
      </w:tr>
      <w:tr>
        <w:tc>
          <w:tcPr>
            <w:tcW w:type="dxa" w:w="2016"/>
          </w:tcPr>
          <w:p>
            <w:r/>
            <w:r>
              <w:rPr>
                <w:rFonts w:ascii="Times New Roman" w:hAnsi="Times New Roman"/>
                <w:sz w:val="21"/>
              </w:rPr>
              <w:t>Jul 2026</w:t>
            </w:r>
          </w:p>
        </w:tc>
        <w:tc>
          <w:tcPr>
            <w:tcW w:type="dxa" w:w="7344"/>
          </w:tcPr>
          <w:p>
            <w:r/>
            <w:r>
              <w:rPr>
                <w:rFonts w:ascii="Times New Roman" w:hAnsi="Times New Roman"/>
                <w:sz w:val="21"/>
              </w:rPr>
              <w:t>Usability evaluation (System Usability Scale) with 5–10 SME stakeholder personas; incorporate feedback.</w:t>
            </w:r>
          </w:p>
        </w:tc>
      </w:tr>
      <w:tr>
        <w:tc>
          <w:tcPr>
            <w:tcW w:type="dxa" w:w="2016"/>
          </w:tcPr>
          <w:p>
            <w:r/>
            <w:r>
              <w:rPr>
                <w:rFonts w:ascii="Times New Roman" w:hAnsi="Times New Roman"/>
                <w:sz w:val="21"/>
              </w:rPr>
              <w:t>Jul–Aug 2026</w:t>
            </w:r>
          </w:p>
        </w:tc>
        <w:tc>
          <w:tcPr>
            <w:tcW w:type="dxa" w:w="7344"/>
          </w:tcPr>
          <w:p>
            <w:r/>
            <w:r>
              <w:rPr>
                <w:rFonts w:ascii="Times New Roman" w:hAnsi="Times New Roman"/>
                <w:sz w:val="21"/>
              </w:rPr>
              <w:t>Optional data-protection hardening (automated PII scanning) and analytics queries; pursue a partner SME for real attrition data if feasible.</w:t>
            </w:r>
          </w:p>
        </w:tc>
      </w:tr>
      <w:tr>
        <w:tc>
          <w:tcPr>
            <w:tcW w:type="dxa" w:w="2016"/>
          </w:tcPr>
          <w:p>
            <w:r/>
            <w:r>
              <w:rPr>
                <w:rFonts w:ascii="Times New Roman" w:hAnsi="Times New Roman"/>
                <w:sz w:val="21"/>
              </w:rPr>
              <w:t>Aug 2026</w:t>
            </w:r>
          </w:p>
        </w:tc>
        <w:tc>
          <w:tcPr>
            <w:tcW w:type="dxa" w:w="7344"/>
          </w:tcPr>
          <w:p>
            <w:r/>
            <w:r>
              <w:rPr>
                <w:rFonts w:ascii="Times New Roman" w:hAnsi="Times New Roman"/>
                <w:sz w:val="21"/>
              </w:rPr>
              <w:t>Write and format the final dissertation; plagiarism check; supervisor review at least one week before submission (final report due 31 August 2026).</w:t>
            </w:r>
          </w:p>
        </w:tc>
      </w:tr>
      <w:tr>
        <w:tc>
          <w:tcPr>
            <w:tcW w:type="dxa" w:w="2016"/>
          </w:tcPr>
          <w:p>
            <w:r/>
            <w:r>
              <w:rPr>
                <w:rFonts w:ascii="Times New Roman" w:hAnsi="Times New Roman"/>
                <w:sz w:val="21"/>
              </w:rPr>
              <w:t>Sep 2026</w:t>
            </w:r>
          </w:p>
        </w:tc>
        <w:tc>
          <w:tcPr>
            <w:tcW w:type="dxa" w:w="7344"/>
          </w:tcPr>
          <w:p>
            <w:r/>
            <w:r>
              <w:rPr>
                <w:rFonts w:ascii="Times New Roman" w:hAnsi="Times New Roman"/>
                <w:sz w:val="21"/>
              </w:rPr>
              <w:t>Final presentation and demonstration.</w:t>
            </w:r>
          </w:p>
        </w:tc>
      </w:tr>
    </w:tbl>
    <w:p>
      <w:pPr>
        <w:spacing w:after="40"/>
      </w:pPr>
    </w:p>
    <w:p>
      <w:pPr>
        <w:spacing w:after="200"/>
        <w:jc w:val="center"/>
      </w:pPr>
      <w:r>
        <w:rPr>
          <w:rFonts w:ascii="Times New Roman" w:hAnsi="Times New Roman"/>
          <w:i/>
          <w:sz w:val="20"/>
        </w:rPr>
        <w:t>Table 5: Updated work plan to final submission.</w:t>
      </w:r>
    </w:p>
    <w:p>
      <w:pPr>
        <w:spacing w:after="120"/>
      </w:pPr>
      <w:r>
        <w:rPr>
          <w:rFonts w:ascii="Times New Roman" w:hAnsi="Times New Roman"/>
          <w:b w:val="0"/>
          <w:i w:val="0"/>
          <w:sz w:val="24"/>
        </w:rPr>
        <w:t>In summary, the project has reached a mature state well beyond a typical interim stage: a deployed product, a reproducible ML pipeline, a live serverless inference service with in-product integration, and a clear, honest empirical finding. The remaining work is principally formal evaluation (cost and usability) and the writing of the final dissertation.</w:t>
      </w:r>
    </w:p>
    <w:p>
      <w:r>
        <w:br w:type="page"/>
      </w:r>
    </w:p>
    <w:p>
      <w:pPr>
        <w:pStyle w:val="Heading1"/>
      </w:pPr>
      <w:r>
        <w:rPr>
          <w:rFonts w:ascii="Times New Roman" w:hAnsi="Times New Roman"/>
        </w:rPr>
        <w:t>References</w:t>
      </w:r>
    </w:p>
    <w:p>
      <w:pPr>
        <w:spacing w:after="80" w:line="240" w:lineRule="auto"/>
      </w:pPr>
      <w:r>
        <w:rPr>
          <w:rFonts w:ascii="Times New Roman" w:hAnsi="Times New Roman"/>
          <w:sz w:val="22"/>
        </w:rPr>
        <w:t>[1] Department of Census and Statistics, "Sri Lanka Labour Force Survey — Annual Report 2023," Ministry of Finance, Sri Lanka, 2023.</w:t>
      </w:r>
    </w:p>
    <w:p>
      <w:pPr>
        <w:spacing w:after="80" w:line="240" w:lineRule="auto"/>
      </w:pPr>
      <w:r>
        <w:rPr>
          <w:rFonts w:ascii="Times New Roman" w:hAnsi="Times New Roman"/>
          <w:sz w:val="22"/>
        </w:rPr>
        <w:t>[2] S. Kirupananthan, M. Kayathiry, and S. Niroshan, "Exploring Challenges for Artificial Intelligence Readiness in SMEs in Sri Lanka," Vavuniya Journal of Business Management, vol. 4, no. 1, 2024.</w:t>
      </w:r>
    </w:p>
    <w:p>
      <w:pPr>
        <w:spacing w:after="80" w:line="240" w:lineRule="auto"/>
      </w:pPr>
      <w:r>
        <w:rPr>
          <w:rFonts w:ascii="Times New Roman" w:hAnsi="Times New Roman"/>
          <w:sz w:val="22"/>
        </w:rPr>
        <w:t>[3] Information and Communication Technology Agency of Sri Lanka (ICTA), "Sri Lanka Digital Economy Report 2023," ICTA, Colombo, 2023.</w:t>
      </w:r>
    </w:p>
    <w:p>
      <w:pPr>
        <w:spacing w:after="80" w:line="240" w:lineRule="auto"/>
      </w:pPr>
      <w:r>
        <w:rPr>
          <w:rFonts w:ascii="Times New Roman" w:hAnsi="Times New Roman"/>
          <w:sz w:val="22"/>
        </w:rPr>
        <w:t>[4] B. Charney, "HR Software Pricing Guide: How Much Does HR Software Cost?," People Managing People, 2024.</w:t>
      </w:r>
    </w:p>
    <w:p>
      <w:pPr>
        <w:spacing w:after="80" w:line="240" w:lineRule="auto"/>
      </w:pPr>
      <w:r>
        <w:rPr>
          <w:rFonts w:ascii="Times New Roman" w:hAnsi="Times New Roman"/>
          <w:sz w:val="22"/>
        </w:rPr>
        <w:t>[5] Google Cloud, "Vertex AI: Train and Deploy ML Models," Google LLC, 2024.</w:t>
      </w:r>
    </w:p>
    <w:p>
      <w:pPr>
        <w:spacing w:after="80" w:line="240" w:lineRule="auto"/>
      </w:pPr>
      <w:r>
        <w:rPr>
          <w:rFonts w:ascii="Times New Roman" w:hAnsi="Times New Roman"/>
          <w:sz w:val="22"/>
        </w:rPr>
        <w:t>[6] N. Kodakandla, "Serverless Architectures: A Comparative Study of Performance, Scalability, and Cost in Cloud-native Applications," Iconic Research and Engineering Journals, vol. 5, no. 2, pp. 136–150, 2021.</w:t>
      </w:r>
    </w:p>
    <w:p>
      <w:pPr>
        <w:spacing w:after="80" w:line="240" w:lineRule="auto"/>
      </w:pPr>
      <w:r>
        <w:rPr>
          <w:rFonts w:ascii="Times New Roman" w:hAnsi="Times New Roman"/>
          <w:sz w:val="22"/>
        </w:rPr>
        <w:t>[7] Ministry of Technology, "Artificial Intelligence in Sri Lanka: White Paper," Government of Sri Lanka, 2024.</w:t>
      </w:r>
    </w:p>
    <w:p>
      <w:pPr>
        <w:spacing w:after="80" w:line="240" w:lineRule="auto"/>
      </w:pPr>
      <w:r>
        <w:rPr>
          <w:rFonts w:ascii="Times New Roman" w:hAnsi="Times New Roman"/>
          <w:sz w:val="22"/>
        </w:rPr>
        <w:t>[8] D. G. Allen, "Retaining Talent: A Guide to Analyzing and Managing Employee Turnover," SHRM, Alexandria, VA, 2008.</w:t>
      </w:r>
    </w:p>
    <w:p>
      <w:pPr>
        <w:spacing w:after="80" w:line="240" w:lineRule="auto"/>
      </w:pPr>
      <w:r>
        <w:rPr>
          <w:rFonts w:ascii="Times New Roman" w:hAnsi="Times New Roman"/>
          <w:sz w:val="22"/>
        </w:rPr>
        <w:t>[9] I. H. Sarker, "Machine Learning: Algorithms, Real-World Applications and Research Directions," SN Computer Science, vol. 2, no. 3, pp. 1–21, 2021.</w:t>
      </w:r>
    </w:p>
    <w:p>
      <w:pPr>
        <w:spacing w:after="80" w:line="240" w:lineRule="auto"/>
      </w:pPr>
      <w:r>
        <w:rPr>
          <w:rFonts w:ascii="Times New Roman" w:hAnsi="Times New Roman"/>
          <w:sz w:val="22"/>
        </w:rPr>
        <w:t>[10] R. Punnoose and P. Ajit, "Prediction of Employee Turnover in Organizations using Machine Learning Algorithms," Int. J. Advanced Research in Artificial Intelligence, vol. 5, no. 9, pp. 22–26, 2016.</w:t>
      </w:r>
    </w:p>
    <w:p>
      <w:pPr>
        <w:spacing w:after="80" w:line="240" w:lineRule="auto"/>
      </w:pPr>
      <w:r>
        <w:rPr>
          <w:rFonts w:ascii="Times New Roman" w:hAnsi="Times New Roman"/>
          <w:sz w:val="22"/>
        </w:rPr>
        <w:t>[11] M. Ribeiro, K. Grolinger, and M. A. M. Capretz, "MLaaS: Machine Learning as a Service," in Proc. IEEE ICMLA, 2015, pp. 896–902.</w:t>
      </w:r>
    </w:p>
    <w:p>
      <w:pPr>
        <w:spacing w:after="80" w:line="240" w:lineRule="auto"/>
      </w:pPr>
      <w:r>
        <w:rPr>
          <w:rFonts w:ascii="Times New Roman" w:hAnsi="Times New Roman"/>
          <w:sz w:val="22"/>
        </w:rPr>
        <w:t>[12] D. Angrave, A. Charlwood, I. Kirkpatrick, M. Lawrence, and M. Stuart, "HR and Analytics: Why HR is Set to Fail the Big Data Challenge," Human Resource Management Journal, vol. 26, no. 1, pp. 1–11, 2016.</w:t>
      </w:r>
    </w:p>
    <w:p>
      <w:pPr>
        <w:spacing w:after="80" w:line="240" w:lineRule="auto"/>
      </w:pPr>
      <w:r>
        <w:rPr>
          <w:rFonts w:ascii="Times New Roman" w:hAnsi="Times New Roman"/>
          <w:sz w:val="22"/>
        </w:rPr>
        <w:t>[13] A. R. Hevner, S. T. March, J. Park, and S. Ram, "Design Science in Information Systems Research," MIS Quarterly, vol. 28, no. 1, pp. 75–105, 2004.</w:t>
      </w:r>
    </w:p>
    <w:p>
      <w:pPr>
        <w:spacing w:after="80" w:line="240" w:lineRule="auto"/>
      </w:pPr>
      <w:r>
        <w:rPr>
          <w:rFonts w:ascii="Times New Roman" w:hAnsi="Times New Roman"/>
          <w:sz w:val="22"/>
        </w:rPr>
        <w:t>[14] IBM, "IBM HR Analytics Employee Attrition &amp; Performance Dataset," Kaggle, 2017.</w:t>
      </w:r>
    </w:p>
    <w:p>
      <w:pPr>
        <w:spacing w:after="80" w:line="240" w:lineRule="auto"/>
      </w:pPr>
      <w:r>
        <w:rPr>
          <w:rFonts w:ascii="Times New Roman" w:hAnsi="Times New Roman"/>
          <w:sz w:val="22"/>
        </w:rPr>
        <w:t>[15] Parliament of Sri Lanka, "Personal Data Protection Act, No. 9 of 2022," Government Gazette of the Democratic Socialist Republic of Sri Lanka, 2022.</w:t>
      </w:r>
    </w:p>
    <w:p>
      <w:pPr>
        <w:spacing w:after="80" w:line="240" w:lineRule="auto"/>
      </w:pPr>
      <w:r>
        <w:rPr>
          <w:rFonts w:ascii="Times New Roman" w:hAnsi="Times New Roman"/>
          <w:sz w:val="22"/>
        </w:rPr>
        <w:t>[16] J. Brooke, "SUS — A Quick and Dirty Usability Scale," in Usability Evaluation in Industry, London: Taylor &amp; Francis, 1996, pp. 189–194.</w:t>
      </w:r>
    </w:p>
    <w:p>
      <w:pPr>
        <w:spacing w:after="80" w:line="240" w:lineRule="auto"/>
      </w:pPr>
      <w:r>
        <w:rPr>
          <w:rFonts w:ascii="Times New Roman" w:hAnsi="Times New Roman"/>
          <w:sz w:val="22"/>
        </w:rPr>
        <w:t>[17] Sri Lanka Bureau of Foreign Employment, "Annual Statistical Report of Foreign Employment 2023," SLBFE, Colombo, 2023.</w:t>
      </w:r>
    </w:p>
    <w:p>
      <w:pPr>
        <w:spacing w:after="80" w:line="240" w:lineRule="auto"/>
      </w:pPr>
      <w:r>
        <w:rPr>
          <w:rFonts w:ascii="Times New Roman" w:hAnsi="Times New Roman"/>
          <w:sz w:val="22"/>
        </w:rPr>
        <w:t>[18] S. M. Lundberg and S.-I. Lee, "A Unified Approach to Interpreting Model Predictions," in Advances in Neural Information Processing Systems (NeurIPS), 2017, pp. 4765–4774.</w:t>
      </w:r>
    </w:p>
    <w:p>
      <w:pPr>
        <w:spacing w:after="80" w:line="240" w:lineRule="auto"/>
      </w:pPr>
      <w:r>
        <w:rPr>
          <w:rFonts w:ascii="Times New Roman" w:hAnsi="Times New Roman"/>
          <w:sz w:val="22"/>
        </w:rPr>
        <w:t>[19] N. V. Chawla, K. W. Bowyer, L. O. Hall, and W. P. Kegelmeyer, "SMOTE: Synthetic Minority Over-sampling Technique," Journal of Artificial Intelligence Research, vol. 16, pp. 321–357, 2002.</w:t>
      </w:r>
    </w:p>
    <w:p>
      <w:pPr>
        <w:spacing w:after="80" w:line="240" w:lineRule="auto"/>
      </w:pPr>
      <w:r>
        <w:rPr>
          <w:rFonts w:ascii="Times New Roman" w:hAnsi="Times New Roman"/>
          <w:sz w:val="22"/>
        </w:rPr>
        <w:t>[20] R. W. Griffeth, P. W. Hom, and S. Gaertner, "A Meta-Analysis of Antecedents and Correlates of Employee Turnover: Update, Moderator Tests, and Research Implications for the Next Millennium," Journal of Management, vol. 26, no. 3, pp. 463–488, 2000.</w:t>
      </w:r>
    </w:p>
    <w:p>
      <w:pPr>
        <w:spacing w:after="80" w:line="240" w:lineRule="auto"/>
      </w:pPr>
      <w:r>
        <w:rPr>
          <w:rFonts w:ascii="Times New Roman" w:hAnsi="Times New Roman"/>
          <w:sz w:val="22"/>
        </w:rPr>
        <w:t>[21] L. Kanchana and R. Jayathilaka, "Factors impacting employee turnover intentions among professionals in Sri Lankan startups," PLOS ONE, vol. 18, no. 2, e0281729, 2023, doi: 10.1371/journal.pone.0281729.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