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br/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v0.1.5 friend-install documentation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3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End w:id="33"/>
    <w:bookmarkStart w:id="34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4"/>
    <w:bookmarkStart w:id="40" w:name="design-principles"/>
    <w:p>
      <w:pPr>
        <w:pStyle w:val="Heading2"/>
      </w:pPr>
      <w:r>
        <w:t xml:space="preserve">Design Principles</w:t>
      </w:r>
    </w:p>
    <w:bookmarkStart w:id="35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5"/>
    <w:bookmarkStart w:id="36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user should not have to copy and paste large context packets.</w:t>
      </w:r>
    </w:p>
    <w:bookmarkEnd w:id="36"/>
    <w:bookmarkStart w:id="37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7"/>
    <w:bookmarkStart w:id="38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8"/>
    <w:bookmarkStart w:id="39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migration automation, and heavier enterprise orchestration are later</w:t>
      </w:r>
      <w:r>
        <w:t xml:space="preserve"> </w:t>
      </w:r>
      <w:r>
        <w:t xml:space="preserve">work.</w:t>
      </w:r>
    </w:p>
    <w:bookmarkEnd w:id="39"/>
    <w:bookmarkEnd w:id="40"/>
    <w:bookmarkStart w:id="41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1"/>
    <w:bookmarkStart w:id="42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2"/>
    <w:bookmarkStart w:id="43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3"/>
    <w:bookmarkEnd w:id="44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2026-06-08T23:40:43Z</dcterms:created>
  <dcterms:modified xsi:type="dcterms:W3CDTF">2026-06-08T23:40:43Z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