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 If support needs a reproducible</w:t>
      </w:r>
      <w:r>
        <w:t xml:space="preserve"> </w:t>
      </w:r>
      <w:r>
        <w:t xml:space="preserve">Codex check,</w:t>
      </w:r>
      <w:r>
        <w:t xml:space="preserve"> </w:t>
      </w:r>
      <w:r>
        <w:rPr>
          <w:rStyle w:val="VerbatimChar"/>
        </w:rPr>
        <w:t xml:space="preserve">lodestone client-smoke --client codex</w:t>
      </w:r>
      <w:r>
        <w:t xml:space="preserve"> </w:t>
      </w:r>
      <w:r>
        <w:t xml:space="preserve">validates the generated</w:t>
      </w:r>
      <w:r>
        <w:t xml:space="preserve"> </w:t>
      </w:r>
      <w:r>
        <w:t xml:space="preserve">config and local MCP launcher, then prints exact Codex smoke commands.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2026-06-13T06:00:00Z</dcterms:created>
  <dcterms:modified xsi:type="dcterms:W3CDTF">2026-06-13T06:00:00Z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