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INFORMATION SECURITY POLICY SUITE</w:t>
      </w:r>
    </w:p>
    <w:p>
      <w:pPr>
        <w:spacing w:after="300"/>
        <w:jc w:val="center"/>
      </w:pPr>
      <w:r>
        <w:rPr>
          <w:rFonts w:ascii="Calibri" w:cs="Calibri" w:eastAsia="Calibri" w:hAnsi="Calibri"/>
          <w:i/>
          <w:iCs/>
          <w:color w:val="444444"/>
          <w:sz w:val="22"/>
          <w:szCs w:val="22"/>
        </w:rPr>
        <w:t xml:space="preserve">Access Control · Vulnerability Management · Incident Response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2F2F2" w:val="clear"/>
          </w:tcPr>
          <w:p>
            <w:r>
              <w:rPr>
                <w:rFonts w:ascii="Calibri" w:cs="Calibri" w:eastAsia="Calibri" w:hAnsi="Calibri"/>
                <w:b/>
                <w:bCs/>
                <w:sz w:val="20"/>
                <w:szCs w:val="20"/>
              </w:rPr>
              <w:t xml:space="preserve">Document Owner</w:t>
            </w:r>
          </w:p>
        </w:tc>
        <w:tc>
          <w:tcPr>
            <w:tcW w:type="dxa" w:w="6850"/>
          </w:tcPr>
          <w:p>
            <w:r>
              <w:rPr>
                <w:rFonts w:ascii="Calibri" w:cs="Calibri" w:eastAsia="Calibri" w:hAnsi="Calibri"/>
                <w:sz w:val="20"/>
                <w:szCs w:val="20"/>
              </w:rPr>
              <w:t xml:space="preserve">Sodeeq Kareem</w:t>
            </w:r>
          </w:p>
        </w:tc>
      </w:tr>
      <w:tr>
        <w:tc>
          <w:tcPr>
            <w:tcW w:type="dxa" w:w="2500"/>
            <w:shd w:fill="F2F2F2" w:val="clear"/>
          </w:tcPr>
          <w:p>
            <w:r>
              <w:rPr>
                <w:rFonts w:ascii="Calibri" w:cs="Calibri" w:eastAsia="Calibri" w:hAnsi="Calibri"/>
                <w:b/>
                <w:bCs/>
                <w:sz w:val="20"/>
                <w:szCs w:val="20"/>
              </w:rPr>
              <w:t xml:space="preserve">Scope</w:t>
            </w:r>
          </w:p>
        </w:tc>
        <w:tc>
          <w:tcPr>
            <w:tcW w:type="dxa" w:w="6850"/>
          </w:tcPr>
          <w:p>
            <w:r>
              <w:rPr>
                <w:rFonts w:ascii="Calibri" w:cs="Calibri" w:eastAsia="Calibri" w:hAnsi="Calibri"/>
                <w:sz w:val="20"/>
                <w:szCs w:val="20"/>
              </w:rPr>
              <w:t xml:space="preserve">Self-hosted homelab environment (Ubuntu VM and associated services)</w:t>
            </w:r>
          </w:p>
        </w:tc>
      </w:tr>
      <w:tr>
        <w:tc>
          <w:tcPr>
            <w:tcW w:type="dxa" w:w="2500"/>
            <w:shd w:fill="F2F2F2" w:val="clear"/>
          </w:tcPr>
          <w:p>
            <w:r>
              <w:rPr>
                <w:rFonts w:ascii="Calibri" w:cs="Calibri" w:eastAsia="Calibri" w:hAnsi="Calibri"/>
                <w:b/>
                <w:bCs/>
                <w:sz w:val="20"/>
                <w:szCs w:val="20"/>
              </w:rPr>
              <w:t xml:space="preserve">Framework Alignment</w:t>
            </w:r>
          </w:p>
        </w:tc>
        <w:tc>
          <w:tcPr>
            <w:tcW w:type="dxa" w:w="6850"/>
          </w:tcPr>
          <w:p>
            <w:r>
              <w:rPr>
                <w:rFonts w:ascii="Calibri" w:cs="Calibri" w:eastAsia="Calibri" w:hAnsi="Calibri"/>
                <w:sz w:val="20"/>
                <w:szCs w:val="20"/>
              </w:rPr>
              <w:t xml:space="preserve">NIST Cybersecurity Framework (CSF) 2.0; NIST SP 800-61</w:t>
            </w:r>
          </w:p>
        </w:tc>
      </w:tr>
      <w:tr>
        <w:tc>
          <w:tcPr>
            <w:tcW w:type="dxa" w:w="2500"/>
            <w:shd w:fill="F2F2F2" w:val="clear"/>
          </w:tcPr>
          <w:p>
            <w:r>
              <w:rPr>
                <w:rFonts w:ascii="Calibri" w:cs="Calibri" w:eastAsia="Calibri" w:hAnsi="Calibri"/>
                <w:b/>
                <w:bCs/>
                <w:sz w:val="20"/>
                <w:szCs w:val="20"/>
              </w:rPr>
              <w:t xml:space="preserve">Version</w:t>
            </w:r>
          </w:p>
        </w:tc>
        <w:tc>
          <w:tcPr>
            <w:tcW w:type="dxa" w:w="6850"/>
          </w:tcPr>
          <w:p>
            <w:r>
              <w:rPr>
                <w:rFonts w:ascii="Calibri" w:cs="Calibri" w:eastAsia="Calibri" w:hAnsi="Calibri"/>
                <w:sz w:val="20"/>
                <w:szCs w:val="20"/>
              </w:rPr>
              <w:t xml:space="preserve">1.0</w:t>
            </w:r>
          </w:p>
        </w:tc>
      </w:tr>
      <w:tr>
        <w:tc>
          <w:tcPr>
            <w:tcW w:type="dxa" w:w="2500"/>
            <w:shd w:fill="F2F2F2" w:val="clear"/>
          </w:tcPr>
          <w:p>
            <w:r>
              <w:rPr>
                <w:rFonts w:ascii="Calibri" w:cs="Calibri" w:eastAsia="Calibri" w:hAnsi="Calibri"/>
                <w:b/>
                <w:bCs/>
                <w:sz w:val="20"/>
                <w:szCs w:val="20"/>
              </w:rPr>
              <w:t xml:space="preserve">Effective Date</w:t>
            </w:r>
          </w:p>
        </w:tc>
        <w:tc>
          <w:tcPr>
            <w:tcW w:type="dxa" w:w="6850"/>
          </w:tcPr>
          <w:p>
            <w:r>
              <w:rPr>
                <w:rFonts w:ascii="Calibri" w:cs="Calibri" w:eastAsia="Calibri" w:hAnsi="Calibri"/>
                <w:sz w:val="20"/>
                <w:szCs w:val="20"/>
              </w:rPr>
              <w:t xml:space="preserve">August 2026</w:t>
            </w:r>
          </w:p>
        </w:tc>
      </w:tr>
      <w:tr>
        <w:tc>
          <w:tcPr>
            <w:tcW w:type="dxa" w:w="2500"/>
            <w:shd w:fill="F2F2F2" w:val="clear"/>
          </w:tcPr>
          <w:p>
            <w:r>
              <w:rPr>
                <w:rFonts w:ascii="Calibri" w:cs="Calibri" w:eastAsia="Calibri" w:hAnsi="Calibri"/>
                <w:b/>
                <w:bCs/>
                <w:sz w:val="20"/>
                <w:szCs w:val="20"/>
              </w:rPr>
              <w:t xml:space="preserve">Review Cycle</w:t>
            </w:r>
          </w:p>
        </w:tc>
        <w:tc>
          <w:tcPr>
            <w:tcW w:type="dxa" w:w="6850"/>
          </w:tcPr>
          <w:p>
            <w:r>
              <w:rPr>
                <w:rFonts w:ascii="Calibri" w:cs="Calibri" w:eastAsia="Calibri" w:hAnsi="Calibri"/>
                <w:sz w:val="20"/>
                <w:szCs w:val="20"/>
              </w:rPr>
              <w:t xml:space="preserve">Annually, or following any significant security incident or infrastructure change</w:t>
            </w:r>
          </w:p>
        </w:tc>
      </w:tr>
    </w:tbl>
    <w:p>
      <w:pPr>
        <w:pBdr>
          <w:bottom w:val="single" w:color="1F3864" w:sz="6" w:space="2"/>
        </w:pBdr>
        <w:spacing w:after="100" w:before="280"/>
      </w:pPr>
      <w:r>
        <w:rPr>
          <w:rFonts w:ascii="Calibri" w:cs="Calibri" w:eastAsia="Calibri" w:hAnsi="Calibri"/>
          <w:b/>
          <w:bCs/>
          <w:color w:val="1F3864"/>
          <w:sz w:val="24"/>
          <w:szCs w:val="24"/>
        </w:rPr>
        <w:t xml:space="preserve">1. Purpose and Scope</w:t>
      </w:r>
    </w:p>
    <w:p>
      <w:pPr>
        <w:spacing w:after="100" w:line="276"/>
        <w:jc w:val="both"/>
      </w:pPr>
      <w:r>
        <w:rPr>
          <w:rFonts w:ascii="Calibri" w:cs="Calibri" w:eastAsia="Calibri" w:hAnsi="Calibri"/>
          <w:sz w:val="20"/>
          <w:szCs w:val="20"/>
        </w:rPr>
        <w:t xml:space="preserve">This policy suite establishes the governance, technical controls, and processes used to secure the self-hosted homelab environment described throughout this project. It exists both as a genuine operating standard for the environment and as a demonstration of applied Governance, Risk, and Compliance (GRC) thinking — showing how individual technical controls connect to a broader, documented security posture rather than existing as disconnected tools. This suite is organized into three sections: Access Control, Vulnerability Management, and Incident Response, each aligned to the NIST Cybersecurity Framework (CSF) 2.0 and, where applicable, NIST SP 800-61.</w:t>
      </w:r>
    </w:p>
    <w:p>
      <w:pPr>
        <w:pBdr>
          <w:bottom w:val="single" w:color="1F3864" w:sz="6" w:space="2"/>
        </w:pBdr>
        <w:spacing w:after="100" w:before="280"/>
      </w:pPr>
      <w:r>
        <w:rPr>
          <w:rFonts w:ascii="Calibri" w:cs="Calibri" w:eastAsia="Calibri" w:hAnsi="Calibri"/>
          <w:b/>
          <w:bCs/>
          <w:color w:val="1F3864"/>
          <w:sz w:val="24"/>
          <w:szCs w:val="24"/>
        </w:rPr>
        <w:t xml:space="preserve">2. Access Control Policy</w:t>
      </w:r>
    </w:p>
    <w:p>
      <w:pPr>
        <w:spacing w:after="60" w:before="160"/>
      </w:pPr>
      <w:r>
        <w:rPr>
          <w:rFonts w:ascii="Calibri" w:cs="Calibri" w:eastAsia="Calibri" w:hAnsi="Calibri"/>
          <w:b/>
          <w:bCs/>
          <w:color w:val="1F3864"/>
          <w:sz w:val="21"/>
          <w:szCs w:val="21"/>
        </w:rPr>
        <w:t xml:space="preserve">2.1 Objective</w:t>
      </w:r>
    </w:p>
    <w:p>
      <w:pPr>
        <w:spacing w:after="100" w:line="276"/>
        <w:jc w:val="both"/>
      </w:pPr>
      <w:r>
        <w:rPr>
          <w:rFonts w:ascii="Calibri" w:cs="Calibri" w:eastAsia="Calibri" w:hAnsi="Calibri"/>
          <w:sz w:val="20"/>
          <w:szCs w:val="20"/>
        </w:rPr>
        <w:t xml:space="preserve">To ensure that access to systems and services is authenticated through strong, verifiable methods, and that unnecessary access points are eliminated to reduce overall attack surface.</w:t>
      </w:r>
    </w:p>
    <w:p>
      <w:pPr>
        <w:spacing w:after="60" w:before="160"/>
      </w:pPr>
      <w:r>
        <w:rPr>
          <w:rFonts w:ascii="Calibri" w:cs="Calibri" w:eastAsia="Calibri" w:hAnsi="Calibri"/>
          <w:b/>
          <w:bCs/>
          <w:color w:val="1F3864"/>
          <w:sz w:val="21"/>
          <w:szCs w:val="21"/>
        </w:rPr>
        <w:t xml:space="preserve">2.2 Requirements</w:t>
      </w:r>
    </w:p>
    <w:p>
      <w:pPr>
        <w:pStyle w:val="ListParagraph"/>
        <w:numPr>
          <w:ilvl w:val="0"/>
          <w:numId w:val="1"/>
        </w:numPr>
        <w:spacing w:after="40"/>
      </w:pPr>
      <w:r>
        <w:rPr>
          <w:rFonts w:ascii="Calibri" w:cs="Calibri" w:eastAsia="Calibri" w:hAnsi="Calibri"/>
          <w:sz w:val="20"/>
          <w:szCs w:val="20"/>
        </w:rPr>
        <w:t xml:space="preserve">Remote administrative access (SSH) must use key-based authentication; password-only authentication is not permitted.</w:t>
      </w:r>
    </w:p>
    <w:p>
      <w:pPr>
        <w:pStyle w:val="ListParagraph"/>
        <w:numPr>
          <w:ilvl w:val="0"/>
          <w:numId w:val="1"/>
        </w:numPr>
        <w:spacing w:after="40"/>
      </w:pPr>
      <w:r>
        <w:rPr>
          <w:rFonts w:ascii="Calibri" w:cs="Calibri" w:eastAsia="Calibri" w:hAnsi="Calibri"/>
          <w:sz w:val="20"/>
          <w:szCs w:val="20"/>
        </w:rPr>
        <w:t xml:space="preserve">Services that require authentication (e.g., Elasticsearch, Kibana) must have authentication and TLS encryption enabled by default, not as an optional add-on.</w:t>
      </w:r>
    </w:p>
    <w:p>
      <w:pPr>
        <w:pStyle w:val="ListParagraph"/>
        <w:numPr>
          <w:ilvl w:val="0"/>
          <w:numId w:val="1"/>
        </w:numPr>
        <w:spacing w:after="40"/>
      </w:pPr>
      <w:r>
        <w:rPr>
          <w:rFonts w:ascii="Calibri" w:cs="Calibri" w:eastAsia="Calibri" w:hAnsi="Calibri"/>
          <w:sz w:val="20"/>
          <w:szCs w:val="20"/>
        </w:rPr>
        <w:t xml:space="preserve">Any service not actively required for the environment's function must be disabled, minimizing unnecessary access points and reducing the attack surface.</w:t>
      </w:r>
    </w:p>
    <w:p>
      <w:pPr>
        <w:pStyle w:val="ListParagraph"/>
        <w:numPr>
          <w:ilvl w:val="0"/>
          <w:numId w:val="1"/>
        </w:numPr>
        <w:spacing w:after="40"/>
      </w:pPr>
      <w:r>
        <w:rPr>
          <w:rFonts w:ascii="Calibri" w:cs="Calibri" w:eastAsia="Calibri" w:hAnsi="Calibri"/>
          <w:sz w:val="20"/>
          <w:szCs w:val="20"/>
        </w:rPr>
        <w:t xml:space="preserve">Access-related configuration changes (e.g., enabling a new service or authentication method) must be documented at the time they are made.</w:t>
      </w:r>
    </w:p>
    <w:p>
      <w:pPr>
        <w:spacing w:after="60" w:before="160"/>
      </w:pPr>
      <w:r>
        <w:rPr>
          <w:rFonts w:ascii="Calibri" w:cs="Calibri" w:eastAsia="Calibri" w:hAnsi="Calibri"/>
          <w:b/>
          <w:bCs/>
          <w:color w:val="1F3864"/>
          <w:sz w:val="21"/>
          <w:szCs w:val="21"/>
        </w:rPr>
        <w:t xml:space="preserve">2.3 Applied Evidence</w:t>
      </w:r>
    </w:p>
    <w:p>
      <w:pPr>
        <w:spacing w:after="100" w:line="276"/>
        <w:jc w:val="both"/>
      </w:pPr>
      <w:r>
        <w:rPr>
          <w:rFonts w:ascii="Calibri" w:cs="Calibri" w:eastAsia="Calibri" w:hAnsi="Calibri"/>
          <w:sz w:val="20"/>
          <w:szCs w:val="20"/>
        </w:rPr>
        <w:t xml:space="preserve">SSH key-based authentication was implemented in place of password authentication. Elasticsearch and Kibana authentication and TLS were verified as enabled by default and confirmed to correctly reject unauthorized access attempts during a live vulnerability scan. The unused CUPS printing service was identified as an unnecessary access point and disabled entirely, removing an associated denial-of-service vulnerability as a direct result.</w:t>
      </w:r>
    </w:p>
    <w:p>
      <w:pPr>
        <w:pBdr>
          <w:bottom w:val="single" w:color="1F3864" w:sz="6" w:space="2"/>
        </w:pBdr>
        <w:spacing w:after="100" w:before="280"/>
      </w:pPr>
      <w:r>
        <w:rPr>
          <w:rFonts w:ascii="Calibri" w:cs="Calibri" w:eastAsia="Calibri" w:hAnsi="Calibri"/>
          <w:b/>
          <w:bCs/>
          <w:color w:val="1F3864"/>
          <w:sz w:val="24"/>
          <w:szCs w:val="24"/>
        </w:rPr>
        <w:t xml:space="preserve">3. Vulnerability Management Policy</w:t>
      </w:r>
    </w:p>
    <w:p>
      <w:pPr>
        <w:spacing w:after="60" w:before="160"/>
      </w:pPr>
      <w:r>
        <w:rPr>
          <w:rFonts w:ascii="Calibri" w:cs="Calibri" w:eastAsia="Calibri" w:hAnsi="Calibri"/>
          <w:b/>
          <w:bCs/>
          <w:color w:val="1F3864"/>
          <w:sz w:val="21"/>
          <w:szCs w:val="21"/>
        </w:rPr>
        <w:t xml:space="preserve">3.1 Objective</w:t>
      </w:r>
    </w:p>
    <w:p>
      <w:pPr>
        <w:spacing w:after="100" w:line="276"/>
        <w:jc w:val="both"/>
      </w:pPr>
      <w:r>
        <w:rPr>
          <w:rFonts w:ascii="Calibri" w:cs="Calibri" w:eastAsia="Calibri" w:hAnsi="Calibri"/>
          <w:sz w:val="20"/>
          <w:szCs w:val="20"/>
        </w:rPr>
        <w:t xml:space="preserve">To identify, assess, remediate, and verify the resolution of security vulnerabilities on a regular and documented basis, rather than treating vulnerability scanning as a one-time or incidental activity.</w:t>
      </w:r>
    </w:p>
    <w:p>
      <w:pPr>
        <w:spacing w:after="60" w:before="160"/>
      </w:pPr>
      <w:r>
        <w:rPr>
          <w:rFonts w:ascii="Calibri" w:cs="Calibri" w:eastAsia="Calibri" w:hAnsi="Calibri"/>
          <w:b/>
          <w:bCs/>
          <w:color w:val="1F3864"/>
          <w:sz w:val="21"/>
          <w:szCs w:val="21"/>
        </w:rPr>
        <w:t xml:space="preserve">3.2 Requirements</w:t>
      </w:r>
    </w:p>
    <w:p>
      <w:pPr>
        <w:pStyle w:val="ListParagraph"/>
        <w:numPr>
          <w:ilvl w:val="0"/>
          <w:numId w:val="1"/>
        </w:numPr>
        <w:spacing w:after="40"/>
      </w:pPr>
      <w:r>
        <w:rPr>
          <w:rFonts w:ascii="Calibri" w:cs="Calibri" w:eastAsia="Calibri" w:hAnsi="Calibri"/>
          <w:sz w:val="20"/>
          <w:szCs w:val="20"/>
        </w:rPr>
        <w:t xml:space="preserve">A full service and port inventory must be performed periodically using automated scanning tools (e.g., nmap) to maintain an accurate understanding of the environment's attack surface.</w:t>
      </w:r>
    </w:p>
    <w:p>
      <w:pPr>
        <w:pStyle w:val="ListParagraph"/>
        <w:numPr>
          <w:ilvl w:val="0"/>
          <w:numId w:val="1"/>
        </w:numPr>
        <w:spacing w:after="40"/>
      </w:pPr>
      <w:r>
        <w:rPr>
          <w:rFonts w:ascii="Calibri" w:cs="Calibri" w:eastAsia="Calibri" w:hAnsi="Calibri"/>
          <w:sz w:val="20"/>
          <w:szCs w:val="20"/>
        </w:rPr>
        <w:t xml:space="preserve">Identified vulnerabilities must be assessed for real-world risk and severity, not simply logged and left unaddressed.</w:t>
      </w:r>
    </w:p>
    <w:p>
      <w:pPr>
        <w:pStyle w:val="ListParagraph"/>
        <w:numPr>
          <w:ilvl w:val="0"/>
          <w:numId w:val="1"/>
        </w:numPr>
        <w:spacing w:after="40"/>
      </w:pPr>
      <w:r>
        <w:rPr>
          <w:rFonts w:ascii="Calibri" w:cs="Calibri" w:eastAsia="Calibri" w:hAnsi="Calibri"/>
          <w:sz w:val="20"/>
          <w:szCs w:val="20"/>
        </w:rPr>
        <w:t xml:space="preserve">Remediation actions must be applied for any vulnerability assessed as exploitable within the environment's threat model.</w:t>
      </w:r>
    </w:p>
    <w:p>
      <w:pPr>
        <w:pStyle w:val="ListParagraph"/>
        <w:numPr>
          <w:ilvl w:val="0"/>
          <w:numId w:val="1"/>
        </w:numPr>
        <w:spacing w:after="40"/>
      </w:pPr>
      <w:r>
        <w:rPr>
          <w:rFonts w:ascii="Calibri" w:cs="Calibri" w:eastAsia="Calibri" w:hAnsi="Calibri"/>
          <w:sz w:val="20"/>
          <w:szCs w:val="20"/>
        </w:rPr>
        <w:t xml:space="preserve">Every remediation must be independently verified through a follow-up scan or test — a fix is not considered complete until it has been confirmed.</w:t>
      </w:r>
    </w:p>
    <w:p>
      <w:pPr>
        <w:spacing w:after="60" w:before="160"/>
      </w:pPr>
      <w:r>
        <w:rPr>
          <w:rFonts w:ascii="Calibri" w:cs="Calibri" w:eastAsia="Calibri" w:hAnsi="Calibri"/>
          <w:b/>
          <w:bCs/>
          <w:color w:val="1F3864"/>
          <w:sz w:val="21"/>
          <w:szCs w:val="21"/>
        </w:rPr>
        <w:t xml:space="preserve">3.3 Applied Evidence</w:t>
      </w:r>
    </w:p>
    <w:p>
      <w:pPr>
        <w:spacing w:after="100" w:line="276"/>
        <w:jc w:val="both"/>
      </w:pPr>
      <w:r>
        <w:rPr>
          <w:rFonts w:ascii="Calibri" w:cs="Calibri" w:eastAsia="Calibri" w:hAnsi="Calibri"/>
          <w:sz w:val="20"/>
          <w:szCs w:val="20"/>
        </w:rPr>
        <w:t xml:space="preserve">A full 65,535-port scan and NSE vulnerability scan were performed against the environment. Two real findings were identified: an Anonymous Diffie-Hellman TLS vulnerability on the mail service, and a Slowloris denial-of-service vulnerability on an unused printing service. Both were remediated — through TLS cipher hardening and full service removal, respectively — and both remediations were independently verified via follow-up scans showing zero remaining vulnerabilities.</w:t>
      </w:r>
    </w:p>
    <w:p>
      <w:pPr>
        <w:pBdr>
          <w:bottom w:val="single" w:color="1F3864" w:sz="6" w:space="2"/>
        </w:pBdr>
        <w:spacing w:after="100" w:before="280"/>
      </w:pPr>
      <w:r>
        <w:rPr>
          <w:rFonts w:ascii="Calibri" w:cs="Calibri" w:eastAsia="Calibri" w:hAnsi="Calibri"/>
          <w:b/>
          <w:bCs/>
          <w:color w:val="1F3864"/>
          <w:sz w:val="24"/>
          <w:szCs w:val="24"/>
        </w:rPr>
        <w:t xml:space="preserve">4. Incident Response Policy</w:t>
      </w:r>
    </w:p>
    <w:p>
      <w:pPr>
        <w:spacing w:after="60" w:before="160"/>
      </w:pPr>
      <w:r>
        <w:rPr>
          <w:rFonts w:ascii="Calibri" w:cs="Calibri" w:eastAsia="Calibri" w:hAnsi="Calibri"/>
          <w:b/>
          <w:bCs/>
          <w:color w:val="1F3864"/>
          <w:sz w:val="21"/>
          <w:szCs w:val="21"/>
        </w:rPr>
        <w:t xml:space="preserve">4.1 Objective</w:t>
      </w:r>
    </w:p>
    <w:p>
      <w:pPr>
        <w:spacing w:after="100" w:line="276"/>
        <w:jc w:val="both"/>
      </w:pPr>
      <w:r>
        <w:rPr>
          <w:rFonts w:ascii="Calibri" w:cs="Calibri" w:eastAsia="Calibri" w:hAnsi="Calibri"/>
          <w:sz w:val="20"/>
          <w:szCs w:val="20"/>
        </w:rPr>
        <w:t xml:space="preserve">To ensure that security incidents are detected promptly, contained effectively, and reviewed formally, following a consistent and repeatable process aligned to NIST SP 800-61.</w:t>
      </w:r>
    </w:p>
    <w:p>
      <w:pPr>
        <w:spacing w:after="60" w:before="160"/>
      </w:pPr>
      <w:r>
        <w:rPr>
          <w:rFonts w:ascii="Calibri" w:cs="Calibri" w:eastAsia="Calibri" w:hAnsi="Calibri"/>
          <w:b/>
          <w:bCs/>
          <w:color w:val="1F3864"/>
          <w:sz w:val="21"/>
          <w:szCs w:val="21"/>
        </w:rPr>
        <w:t xml:space="preserve">4.2 Requirements</w:t>
      </w:r>
    </w:p>
    <w:p>
      <w:pPr>
        <w:pStyle w:val="ListParagraph"/>
        <w:numPr>
          <w:ilvl w:val="0"/>
          <w:numId w:val="1"/>
        </w:numPr>
        <w:spacing w:after="40"/>
      </w:pPr>
      <w:r>
        <w:rPr>
          <w:rFonts w:ascii="Calibri" w:cs="Calibri" w:eastAsia="Calibri" w:hAnsi="Calibri"/>
          <w:sz w:val="20"/>
          <w:szCs w:val="20"/>
        </w:rPr>
        <w:t xml:space="preserve">Detection capability must not rely on a single source; where feasible, both network-level and host-level detection should be in place to independently corroborate the same event.</w:t>
      </w:r>
    </w:p>
    <w:p>
      <w:pPr>
        <w:pStyle w:val="ListParagraph"/>
        <w:numPr>
          <w:ilvl w:val="0"/>
          <w:numId w:val="1"/>
        </w:numPr>
        <w:spacing w:after="40"/>
      </w:pPr>
      <w:r>
        <w:rPr>
          <w:rFonts w:ascii="Calibri" w:cs="Calibri" w:eastAsia="Calibri" w:hAnsi="Calibri"/>
          <w:sz w:val="20"/>
          <w:szCs w:val="20"/>
        </w:rPr>
        <w:t xml:space="preserve">Containment actions must be automated where possible, to minimize response time and reduce reliance on manual intervention during an active incident.</w:t>
      </w:r>
    </w:p>
    <w:p>
      <w:pPr>
        <w:pStyle w:val="ListParagraph"/>
        <w:numPr>
          <w:ilvl w:val="0"/>
          <w:numId w:val="1"/>
        </w:numPr>
        <w:spacing w:after="40"/>
      </w:pPr>
      <w:r>
        <w:rPr>
          <w:rFonts w:ascii="Calibri" w:cs="Calibri" w:eastAsia="Calibri" w:hAnsi="Calibri"/>
          <w:sz w:val="20"/>
          <w:szCs w:val="20"/>
        </w:rPr>
        <w:t xml:space="preserve">All containment actions must be independently verifiable — a control is not considered effective until its enforcement has been directly confirmed.</w:t>
      </w:r>
    </w:p>
    <w:p>
      <w:pPr>
        <w:pStyle w:val="ListParagraph"/>
        <w:numPr>
          <w:ilvl w:val="0"/>
          <w:numId w:val="1"/>
        </w:numPr>
        <w:spacing w:after="40"/>
      </w:pPr>
      <w:r>
        <w:rPr>
          <w:rFonts w:ascii="Calibri" w:cs="Calibri" w:eastAsia="Calibri" w:hAnsi="Calibri"/>
          <w:sz w:val="20"/>
          <w:szCs w:val="20"/>
        </w:rPr>
        <w:t xml:space="preserve">Every incident, including simulated or low-severity ones, must be followed by a documented post-incident review identifying what worked, what did not, and concrete follow-up actions.</w:t>
      </w:r>
    </w:p>
    <w:p>
      <w:pPr>
        <w:spacing w:after="60" w:before="160"/>
      </w:pPr>
      <w:r>
        <w:rPr>
          <w:rFonts w:ascii="Calibri" w:cs="Calibri" w:eastAsia="Calibri" w:hAnsi="Calibri"/>
          <w:b/>
          <w:bCs/>
          <w:color w:val="1F3864"/>
          <w:sz w:val="21"/>
          <w:szCs w:val="21"/>
        </w:rPr>
        <w:t xml:space="preserve">4.3 Applied Evidence</w:t>
      </w:r>
    </w:p>
    <w:p>
      <w:pPr>
        <w:spacing w:after="100" w:line="276"/>
        <w:jc w:val="both"/>
      </w:pPr>
      <w:r>
        <w:rPr>
          <w:rFonts w:ascii="Calibri" w:cs="Calibri" w:eastAsia="Calibri" w:hAnsi="Calibri"/>
          <w:sz w:val="20"/>
          <w:szCs w:val="20"/>
        </w:rPr>
        <w:t xml:space="preserve">A simulated SSH brute-force attack was independently detected via both network-level packet analysis and host-level log monitoring. Containment was automated (IP banning), and enforcement was independently verified at the packet level via a confirmed connection rejection. A formal post-incident review was documented, identifying concrete follow-up improvements including escalating ban durations and secondary alert channels, addressed in the accompanying Incident Response Report.</w:t>
      </w:r>
    </w:p>
    <w:p>
      <w:pPr>
        <w:pBdr>
          <w:bottom w:val="single" w:color="1F3864" w:sz="6" w:space="2"/>
        </w:pBdr>
        <w:spacing w:after="100" w:before="280"/>
      </w:pPr>
      <w:r>
        <w:rPr>
          <w:rFonts w:ascii="Calibri" w:cs="Calibri" w:eastAsia="Calibri" w:hAnsi="Calibri"/>
          <w:b/>
          <w:bCs/>
          <w:color w:val="1F3864"/>
          <w:sz w:val="24"/>
          <w:szCs w:val="24"/>
        </w:rPr>
        <w:t xml:space="preserve">5. NIST CSF 2.0 Alignment Summary</w:t>
      </w:r>
    </w:p>
    <w:p>
      <w:pPr>
        <w:spacing w:after="100" w:line="276"/>
        <w:jc w:val="both"/>
      </w:pPr>
      <w:r>
        <w:rPr>
          <w:rFonts w:ascii="Calibri" w:cs="Calibri" w:eastAsia="Calibri" w:hAnsi="Calibri"/>
          <w:sz w:val="20"/>
          <w:szCs w:val="20"/>
        </w:rPr>
        <w:t xml:space="preserve">The controls described in this policy suite map to all six core functions of the NIST Cybersecurity Framework 2.0, as summarized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Pr>
          <w:p>
            <w:r>
              <w:rPr>
                <w:rFonts w:ascii="Calibri" w:cs="Calibri" w:eastAsia="Calibri" w:hAnsi="Calibri"/>
                <w:b/>
                <w:bCs/>
                <w:color w:val="FFFFFF"/>
                <w:sz w:val="20"/>
                <w:szCs w:val="20"/>
              </w:rPr>
              <w:t xml:space="preserve">NIST CSF Function</w:t>
            </w:r>
          </w:p>
        </w:tc>
        <w:tc>
          <w:tcPr>
            <w:tcW w:type="dxa" w:w="6550"/>
            <w:shd w:fill="1F3864" w:val="clear"/>
          </w:tcPr>
          <w:p>
            <w:r>
              <w:rPr>
                <w:rFonts w:ascii="Calibri" w:cs="Calibri" w:eastAsia="Calibri" w:hAnsi="Calibri"/>
                <w:b/>
                <w:bCs/>
                <w:color w:val="FFFFFF"/>
                <w:sz w:val="20"/>
                <w:szCs w:val="20"/>
              </w:rPr>
              <w:t xml:space="preserve">Applied Control</w:t>
            </w:r>
          </w:p>
        </w:tc>
      </w:tr>
      <w:tr>
        <w:tc>
          <w:tcPr>
            <w:tcW w:type="dxa" w:w="2800"/>
          </w:tcPr>
          <w:p>
            <w:r>
              <w:rPr>
                <w:rFonts w:ascii="Calibri" w:cs="Calibri" w:eastAsia="Calibri" w:hAnsi="Calibri"/>
                <w:b/>
                <w:bCs/>
                <w:sz w:val="19"/>
                <w:szCs w:val="19"/>
              </w:rPr>
              <w:t xml:space="preserve">Govern</w:t>
            </w:r>
          </w:p>
        </w:tc>
        <w:tc>
          <w:tcPr>
            <w:tcW w:type="dxa" w:w="6550"/>
          </w:tcPr>
          <w:p>
            <w:r>
              <w:rPr>
                <w:rFonts w:ascii="Calibri" w:cs="Calibri" w:eastAsia="Calibri" w:hAnsi="Calibri"/>
                <w:sz w:val="19"/>
                <w:szCs w:val="19"/>
              </w:rPr>
              <w:t xml:space="preserve">This policy suite; structured project documentation across all entries</w:t>
            </w:r>
          </w:p>
        </w:tc>
      </w:tr>
      <w:tr>
        <w:tc>
          <w:tcPr>
            <w:tcW w:type="dxa" w:w="2800"/>
          </w:tcPr>
          <w:p>
            <w:r>
              <w:rPr>
                <w:rFonts w:ascii="Calibri" w:cs="Calibri" w:eastAsia="Calibri" w:hAnsi="Calibri"/>
                <w:b/>
                <w:bCs/>
                <w:sz w:val="19"/>
                <w:szCs w:val="19"/>
              </w:rPr>
              <w:t xml:space="preserve">Identify</w:t>
            </w:r>
          </w:p>
        </w:tc>
        <w:tc>
          <w:tcPr>
            <w:tcW w:type="dxa" w:w="6550"/>
          </w:tcPr>
          <w:p>
            <w:r>
              <w:rPr>
                <w:rFonts w:ascii="Calibri" w:cs="Calibri" w:eastAsia="Calibri" w:hAnsi="Calibri"/>
                <w:sz w:val="19"/>
                <w:szCs w:val="19"/>
              </w:rPr>
              <w:t xml:space="preserve">Full asset/service inventory and vulnerability scanning (nmap)</w:t>
            </w:r>
          </w:p>
        </w:tc>
      </w:tr>
      <w:tr>
        <w:tc>
          <w:tcPr>
            <w:tcW w:type="dxa" w:w="2800"/>
          </w:tcPr>
          <w:p>
            <w:r>
              <w:rPr>
                <w:rFonts w:ascii="Calibri" w:cs="Calibri" w:eastAsia="Calibri" w:hAnsi="Calibri"/>
                <w:b/>
                <w:bCs/>
                <w:sz w:val="19"/>
                <w:szCs w:val="19"/>
              </w:rPr>
              <w:t xml:space="preserve">Protect</w:t>
            </w:r>
          </w:p>
        </w:tc>
        <w:tc>
          <w:tcPr>
            <w:tcW w:type="dxa" w:w="6550"/>
          </w:tcPr>
          <w:p>
            <w:r>
              <w:rPr>
                <w:rFonts w:ascii="Calibri" w:cs="Calibri" w:eastAsia="Calibri" w:hAnsi="Calibri"/>
                <w:sz w:val="19"/>
                <w:szCs w:val="19"/>
              </w:rPr>
              <w:t xml:space="preserve">SSH key-based authentication; TLS-enabled services; unnecessary services disabled</w:t>
            </w:r>
          </w:p>
        </w:tc>
      </w:tr>
      <w:tr>
        <w:tc>
          <w:tcPr>
            <w:tcW w:type="dxa" w:w="2800"/>
          </w:tcPr>
          <w:p>
            <w:r>
              <w:rPr>
                <w:rFonts w:ascii="Calibri" w:cs="Calibri" w:eastAsia="Calibri" w:hAnsi="Calibri"/>
                <w:b/>
                <w:bCs/>
                <w:sz w:val="19"/>
                <w:szCs w:val="19"/>
              </w:rPr>
              <w:t xml:space="preserve">Detect</w:t>
            </w:r>
          </w:p>
        </w:tc>
        <w:tc>
          <w:tcPr>
            <w:tcW w:type="dxa" w:w="6550"/>
          </w:tcPr>
          <w:p>
            <w:r>
              <w:rPr>
                <w:rFonts w:ascii="Calibri" w:cs="Calibri" w:eastAsia="Calibri" w:hAnsi="Calibri"/>
                <w:sz w:val="19"/>
                <w:szCs w:val="19"/>
              </w:rPr>
              <w:t xml:space="preserve">fail2ban log monitoring; Wireshark traffic analysis; Wazuh/Splunk/ELK SIEM</w:t>
            </w:r>
          </w:p>
        </w:tc>
      </w:tr>
      <w:tr>
        <w:tc>
          <w:tcPr>
            <w:tcW w:type="dxa" w:w="2800"/>
          </w:tcPr>
          <w:p>
            <w:r>
              <w:rPr>
                <w:rFonts w:ascii="Calibri" w:cs="Calibri" w:eastAsia="Calibri" w:hAnsi="Calibri"/>
                <w:b/>
                <w:bCs/>
                <w:sz w:val="19"/>
                <w:szCs w:val="19"/>
              </w:rPr>
              <w:t xml:space="preserve">Respond</w:t>
            </w:r>
          </w:p>
        </w:tc>
        <w:tc>
          <w:tcPr>
            <w:tcW w:type="dxa" w:w="6550"/>
          </w:tcPr>
          <w:p>
            <w:r>
              <w:rPr>
                <w:rFonts w:ascii="Calibri" w:cs="Calibri" w:eastAsia="Calibri" w:hAnsi="Calibri"/>
                <w:sz w:val="19"/>
                <w:szCs w:val="19"/>
              </w:rPr>
              <w:t xml:space="preserve">Automated IP banning; alerting; formal Incident Response Report</w:t>
            </w:r>
          </w:p>
        </w:tc>
      </w:tr>
      <w:tr>
        <w:tc>
          <w:tcPr>
            <w:tcW w:type="dxa" w:w="2800"/>
          </w:tcPr>
          <w:p>
            <w:r>
              <w:rPr>
                <w:rFonts w:ascii="Calibri" w:cs="Calibri" w:eastAsia="Calibri" w:hAnsi="Calibri"/>
                <w:b/>
                <w:bCs/>
                <w:sz w:val="19"/>
                <w:szCs w:val="19"/>
              </w:rPr>
              <w:t xml:space="preserve">Recover</w:t>
            </w:r>
          </w:p>
        </w:tc>
        <w:tc>
          <w:tcPr>
            <w:tcW w:type="dxa" w:w="6550"/>
          </w:tcPr>
          <w:p>
            <w:r>
              <w:rPr>
                <w:rFonts w:ascii="Calibri" w:cs="Calibri" w:eastAsia="Calibri" w:hAnsi="Calibri"/>
                <w:sz w:val="19"/>
                <w:szCs w:val="19"/>
              </w:rPr>
              <w:t xml:space="preserve">Automatic service restoration; verified vulnerability remediation</w:t>
            </w:r>
          </w:p>
        </w:tc>
      </w:tr>
    </w:tbl>
    <w:p>
      <w:pPr>
        <w:pBdr>
          <w:bottom w:val="single" w:color="1F3864" w:sz="6" w:space="2"/>
        </w:pBdr>
        <w:spacing w:after="100" w:before="280"/>
      </w:pPr>
      <w:r>
        <w:rPr>
          <w:rFonts w:ascii="Calibri" w:cs="Calibri" w:eastAsia="Calibri" w:hAnsi="Calibri"/>
          <w:b/>
          <w:bCs/>
          <w:color w:val="1F3864"/>
          <w:sz w:val="24"/>
          <w:szCs w:val="24"/>
        </w:rPr>
        <w:t xml:space="preserve">6. Enforcement and Review</w:t>
      </w:r>
    </w:p>
    <w:p>
      <w:pPr>
        <w:spacing w:after="100" w:line="276"/>
        <w:jc w:val="both"/>
      </w:pPr>
      <w:r>
        <w:rPr>
          <w:rFonts w:ascii="Calibri" w:cs="Calibri" w:eastAsia="Calibri" w:hAnsi="Calibri"/>
          <w:sz w:val="20"/>
          <w:szCs w:val="20"/>
        </w:rPr>
        <w:t xml:space="preserve">This policy suite is reviewed and updated annually, or immediately following any significant infrastructure change or security incident within the environment. Any deviation from these policies must be documented alongside the reasoning for the exception. As this environment is a self-directed learning project, this policy suite also serves as a living document — updated as new domains and controls are added to the broader project.</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2026-08-27T17:25:48.552Z</dcterms:created>
  <dcterms:modified xsi:type="dcterms:W3CDTF">2026-08-27T17:25:48.566Z</dcterms:modified>
</cp:coreProperties>
</file>

<file path=docProps/custom.xml><?xml version="1.0" encoding="utf-8"?>
<Properties xmlns="http://schemas.openxmlformats.org/officeDocument/2006/custom-properties" xmlns:vt="http://schemas.openxmlformats.org/officeDocument/2006/docPropsVTypes"/>
</file>