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INCIDENT RESPONSE REPORT</w:t>
      </w:r>
    </w:p>
    <w:p>
      <w:pPr>
        <w:spacing w:after="300"/>
        <w:jc w:val="center"/>
      </w:pPr>
      <w:r>
        <w:rPr>
          <w:rFonts w:ascii="Calibri" w:cs="Calibri" w:eastAsia="Calibri" w:hAnsi="Calibri"/>
          <w:i/>
          <w:iCs/>
          <w:color w:val="444444"/>
          <w:sz w:val="22"/>
          <w:szCs w:val="22"/>
        </w:rPr>
        <w:t xml:space="preserve">Simulated SSH Brute-Force Attack — Detection, Containment, and Recovery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val="clear"/>
          </w:tcPr>
          <w:p>
            <w:r>
              <w:rPr>
                <w:rFonts w:ascii="Calibri" w:cs="Calibri" w:eastAsia="Calibri" w:hAnsi="Calibri"/>
                <w:b/>
                <w:bCs/>
                <w:sz w:val="20"/>
                <w:szCs w:val="20"/>
              </w:rPr>
              <w:t xml:space="preserve">Incident ID</w:t>
            </w:r>
          </w:p>
        </w:tc>
        <w:tc>
          <w:tcPr>
            <w:tcW w:type="dxa" w:w="6850"/>
          </w:tcPr>
          <w:p>
            <w:r>
              <w:rPr>
                <w:rFonts w:ascii="Calibri" w:cs="Calibri" w:eastAsia="Calibri" w:hAnsi="Calibri"/>
                <w:sz w:val="20"/>
                <w:szCs w:val="20"/>
              </w:rPr>
              <w:t xml:space="preserve">IR-2026-005</w:t>
            </w:r>
          </w:p>
        </w:tc>
      </w:tr>
      <w:tr>
        <w:tc>
          <w:tcPr>
            <w:tcW w:type="dxa" w:w="2500"/>
            <w:shd w:fill="F2F2F2" w:val="clear"/>
          </w:tcPr>
          <w:p>
            <w:r>
              <w:rPr>
                <w:rFonts w:ascii="Calibri" w:cs="Calibri" w:eastAsia="Calibri" w:hAnsi="Calibri"/>
                <w:b/>
                <w:bCs/>
                <w:sz w:val="20"/>
                <w:szCs w:val="20"/>
              </w:rPr>
              <w:t xml:space="preserve">Classification</w:t>
            </w:r>
          </w:p>
        </w:tc>
        <w:tc>
          <w:tcPr>
            <w:tcW w:type="dxa" w:w="6850"/>
          </w:tcPr>
          <w:p>
            <w:r>
              <w:rPr>
                <w:rFonts w:ascii="Calibri" w:cs="Calibri" w:eastAsia="Calibri" w:hAnsi="Calibri"/>
                <w:sz w:val="20"/>
                <w:szCs w:val="20"/>
              </w:rPr>
              <w:t xml:space="preserve">Simulated / Homelab Training Exercise</w:t>
            </w:r>
          </w:p>
        </w:tc>
      </w:tr>
      <w:tr>
        <w:tc>
          <w:tcPr>
            <w:tcW w:type="dxa" w:w="2500"/>
            <w:shd w:fill="F2F2F2" w:val="clear"/>
          </w:tcPr>
          <w:p>
            <w:r>
              <w:rPr>
                <w:rFonts w:ascii="Calibri" w:cs="Calibri" w:eastAsia="Calibri" w:hAnsi="Calibri"/>
                <w:b/>
                <w:bCs/>
                <w:sz w:val="20"/>
                <w:szCs w:val="20"/>
              </w:rPr>
              <w:t xml:space="preserve">Severity</w:t>
            </w:r>
          </w:p>
        </w:tc>
        <w:tc>
          <w:tcPr>
            <w:tcW w:type="dxa" w:w="6850"/>
          </w:tcPr>
          <w:p>
            <w:r>
              <w:rPr>
                <w:rFonts w:ascii="Calibri" w:cs="Calibri" w:eastAsia="Calibri" w:hAnsi="Calibri"/>
                <w:sz w:val="20"/>
                <w:szCs w:val="20"/>
              </w:rPr>
              <w:t xml:space="preserve">Low (controlled, self-directed environment)</w:t>
            </w:r>
          </w:p>
        </w:tc>
      </w:tr>
      <w:tr>
        <w:tc>
          <w:tcPr>
            <w:tcW w:type="dxa" w:w="2500"/>
            <w:shd w:fill="F2F2F2" w:val="clear"/>
          </w:tcPr>
          <w:p>
            <w:r>
              <w:rPr>
                <w:rFonts w:ascii="Calibri" w:cs="Calibri" w:eastAsia="Calibri" w:hAnsi="Calibri"/>
                <w:b/>
                <w:bCs/>
                <w:sz w:val="20"/>
                <w:szCs w:val="20"/>
              </w:rPr>
              <w:t xml:space="preserve">Affected System</w:t>
            </w:r>
          </w:p>
        </w:tc>
        <w:tc>
          <w:tcPr>
            <w:tcW w:type="dxa" w:w="6850"/>
          </w:tcPr>
          <w:p>
            <w:r>
              <w:rPr>
                <w:rFonts w:ascii="Calibri" w:cs="Calibri" w:eastAsia="Calibri" w:hAnsi="Calibri"/>
                <w:sz w:val="20"/>
                <w:szCs w:val="20"/>
              </w:rPr>
              <w:t xml:space="preserve">Ubuntu 26.04 LTS VM (self-hosted homelab)</w:t>
            </w:r>
          </w:p>
        </w:tc>
      </w:tr>
      <w:tr>
        <w:tc>
          <w:tcPr>
            <w:tcW w:type="dxa" w:w="2500"/>
            <w:shd w:fill="F2F2F2" w:val="clear"/>
          </w:tcPr>
          <w:p>
            <w:r>
              <w:rPr>
                <w:rFonts w:ascii="Calibri" w:cs="Calibri" w:eastAsia="Calibri" w:hAnsi="Calibri"/>
                <w:b/>
                <w:bCs/>
                <w:sz w:val="20"/>
                <w:szCs w:val="20"/>
              </w:rPr>
              <w:t xml:space="preserve">Prepared By</w:t>
            </w:r>
          </w:p>
        </w:tc>
        <w:tc>
          <w:tcPr>
            <w:tcW w:type="dxa" w:w="6850"/>
          </w:tcPr>
          <w:p>
            <w:r>
              <w:rPr>
                <w:rFonts w:ascii="Calibri" w:cs="Calibri" w:eastAsia="Calibri" w:hAnsi="Calibri"/>
                <w:sz w:val="20"/>
                <w:szCs w:val="20"/>
              </w:rPr>
              <w:t xml:space="preserve">Sodeeq Kareem</w:t>
            </w:r>
          </w:p>
        </w:tc>
      </w:tr>
      <w:tr>
        <w:tc>
          <w:tcPr>
            <w:tcW w:type="dxa" w:w="2500"/>
            <w:shd w:fill="F2F2F2" w:val="clear"/>
          </w:tcPr>
          <w:p>
            <w:r>
              <w:rPr>
                <w:rFonts w:ascii="Calibri" w:cs="Calibri" w:eastAsia="Calibri" w:hAnsi="Calibri"/>
                <w:b/>
                <w:bCs/>
                <w:sz w:val="20"/>
                <w:szCs w:val="20"/>
              </w:rPr>
              <w:t xml:space="preserve">Report Date</w:t>
            </w:r>
          </w:p>
        </w:tc>
        <w:tc>
          <w:tcPr>
            <w:tcW w:type="dxa" w:w="6850"/>
          </w:tcPr>
          <w:p>
            <w:r>
              <w:rPr>
                <w:rFonts w:ascii="Calibri" w:cs="Calibri" w:eastAsia="Calibri" w:hAnsi="Calibri"/>
                <w:sz w:val="20"/>
                <w:szCs w:val="20"/>
              </w:rPr>
              <w:t xml:space="preserve">August 2026</w:t>
            </w:r>
          </w:p>
        </w:tc>
      </w:tr>
    </w:tbl>
    <w:p>
      <w:pPr>
        <w:pBdr>
          <w:bottom w:val="single" w:color="1F3864" w:sz="6" w:space="2"/>
        </w:pBdr>
        <w:spacing w:after="100" w:before="280"/>
      </w:pPr>
      <w:r>
        <w:rPr>
          <w:rFonts w:ascii="Calibri" w:cs="Calibri" w:eastAsia="Calibri" w:hAnsi="Calibri"/>
          <w:b/>
          <w:bCs/>
          <w:color w:val="1F3864"/>
          <w:sz w:val="24"/>
          <w:szCs w:val="24"/>
        </w:rPr>
        <w:t xml:space="preserve">1. Executive Summary</w:t>
      </w:r>
    </w:p>
    <w:p>
      <w:pPr>
        <w:spacing w:after="100" w:line="276"/>
        <w:jc w:val="both"/>
      </w:pPr>
      <w:r>
        <w:rPr>
          <w:rFonts w:ascii="Calibri" w:cs="Calibri" w:eastAsia="Calibri" w:hAnsi="Calibri"/>
          <w:sz w:val="20"/>
          <w:szCs w:val="20"/>
        </w:rPr>
        <w:t xml:space="preserve">This report documents the detection, containment, and recovery process for a simulated SSH brute-force attack conducted against a self-hosted Ubuntu VM as part of an ongoing, self-directed cybersecurity homelab project. The exercise was designed to validate that host-based intrusion prevention (fail2ban) and network-level traffic monitoring (Wireshark) could independently detect and confirm the same malicious activity, and that the automated response (IP banning and email alerting) functioned correctly under real conditions. The incident was fully contained and resolved without manual intervention. This report follows the four-phase incident response lifecycle defined in NIST SP 800-61: Preparation, Detection &amp; Analysis, Containment/Eradication/Recovery, and Post-Incident Activity.</w:t>
      </w:r>
    </w:p>
    <w:p>
      <w:pPr>
        <w:pBdr>
          <w:bottom w:val="single" w:color="1F3864" w:sz="6" w:space="2"/>
        </w:pBdr>
        <w:spacing w:after="100" w:before="280"/>
      </w:pPr>
      <w:r>
        <w:rPr>
          <w:rFonts w:ascii="Calibri" w:cs="Calibri" w:eastAsia="Calibri" w:hAnsi="Calibri"/>
          <w:b/>
          <w:bCs/>
          <w:color w:val="1F3864"/>
          <w:sz w:val="24"/>
          <w:szCs w:val="24"/>
        </w:rPr>
        <w:t xml:space="preserve">2. Incident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F3864" w:val="clear"/>
          </w:tcPr>
          <w:p>
            <w:r>
              <w:rPr>
                <w:rFonts w:ascii="Calibri" w:cs="Calibri" w:eastAsia="Calibri" w:hAnsi="Calibri"/>
                <w:b/>
                <w:bCs/>
                <w:color w:val="FFFFFF"/>
                <w:sz w:val="20"/>
                <w:szCs w:val="20"/>
              </w:rPr>
              <w:t xml:space="preserve">Time / Entry</w:t>
            </w:r>
          </w:p>
        </w:tc>
        <w:tc>
          <w:tcPr>
            <w:tcW w:type="dxa" w:w="7150"/>
            <w:shd w:fill="1F3864" w:val="clear"/>
          </w:tcPr>
          <w:p>
            <w:r>
              <w:rPr>
                <w:rFonts w:ascii="Calibri" w:cs="Calibri" w:eastAsia="Calibri" w:hAnsi="Calibri"/>
                <w:b/>
                <w:bCs/>
                <w:color w:val="FFFFFF"/>
                <w:sz w:val="20"/>
                <w:szCs w:val="20"/>
              </w:rPr>
              <w:t xml:space="preserve">Event</w:t>
            </w:r>
          </w:p>
        </w:tc>
      </w:tr>
      <w:tr>
        <w:tc>
          <w:tcPr>
            <w:tcW w:type="dxa" w:w="2200"/>
          </w:tcPr>
          <w:p>
            <w:r>
              <w:rPr>
                <w:rFonts w:ascii="Calibri" w:cs="Calibri" w:eastAsia="Calibri" w:hAnsi="Calibri"/>
                <w:b/>
                <w:bCs/>
                <w:sz w:val="19"/>
                <w:szCs w:val="19"/>
              </w:rPr>
              <w:t xml:space="preserve">Entry 5</w:t>
            </w:r>
          </w:p>
        </w:tc>
        <w:tc>
          <w:tcPr>
            <w:tcW w:type="dxa" w:w="7150"/>
          </w:tcPr>
          <w:p>
            <w:r>
              <w:rPr>
                <w:rFonts w:ascii="Calibri" w:cs="Calibri" w:eastAsia="Calibri" w:hAnsi="Calibri"/>
                <w:sz w:val="19"/>
                <w:szCs w:val="19"/>
              </w:rPr>
              <w:t xml:space="preserve">Simulated SSH brute-force attack launched (hydra) against the VM; SSH banner grab and repeated handshake pattern captured in Wireshark.</w:t>
            </w:r>
          </w:p>
        </w:tc>
      </w:tr>
      <w:tr>
        <w:tc>
          <w:tcPr>
            <w:tcW w:type="dxa" w:w="2200"/>
          </w:tcPr>
          <w:p>
            <w:r>
              <w:rPr>
                <w:rFonts w:ascii="Calibri" w:cs="Calibri" w:eastAsia="Calibri" w:hAnsi="Calibri"/>
                <w:b/>
                <w:bCs/>
                <w:sz w:val="19"/>
                <w:szCs w:val="19"/>
              </w:rPr>
              <w:t xml:space="preserve">Entry 6</w:t>
            </w:r>
          </w:p>
        </w:tc>
        <w:tc>
          <w:tcPr>
            <w:tcW w:type="dxa" w:w="7150"/>
          </w:tcPr>
          <w:p>
            <w:r>
              <w:rPr>
                <w:rFonts w:ascii="Calibri" w:cs="Calibri" w:eastAsia="Calibri" w:hAnsi="Calibri"/>
                <w:sz w:val="19"/>
                <w:szCs w:val="19"/>
              </w:rPr>
              <w:t xml:space="preserve">fail2ban configured to monitor auth.log; threshold set to 3 failed attempts within 5 minutes.</w:t>
            </w:r>
          </w:p>
        </w:tc>
      </w:tr>
      <w:tr>
        <w:tc>
          <w:tcPr>
            <w:tcW w:type="dxa" w:w="2200"/>
          </w:tcPr>
          <w:p>
            <w:r>
              <w:rPr>
                <w:rFonts w:ascii="Calibri" w:cs="Calibri" w:eastAsia="Calibri" w:hAnsi="Calibri"/>
                <w:b/>
                <w:bCs/>
                <w:sz w:val="19"/>
                <w:szCs w:val="19"/>
              </w:rPr>
              <w:t xml:space="preserve">Entry 6 (re-run)</w:t>
            </w:r>
          </w:p>
        </w:tc>
        <w:tc>
          <w:tcPr>
            <w:tcW w:type="dxa" w:w="7150"/>
          </w:tcPr>
          <w:p>
            <w:r>
              <w:rPr>
                <w:rFonts w:ascii="Calibri" w:cs="Calibri" w:eastAsia="Calibri" w:hAnsi="Calibri"/>
                <w:sz w:val="19"/>
                <w:szCs w:val="19"/>
              </w:rPr>
              <w:t xml:space="preserve">Attack re-run; fail2ban detected the threshold breach and banned the source IP. Ban confirmed at the packet level via an ICMP Type 3, Code 3 (Port Unreachable) rejection.</w:t>
            </w:r>
          </w:p>
        </w:tc>
      </w:tr>
      <w:tr>
        <w:tc>
          <w:tcPr>
            <w:tcW w:type="dxa" w:w="2200"/>
          </w:tcPr>
          <w:p>
            <w:r>
              <w:rPr>
                <w:rFonts w:ascii="Calibri" w:cs="Calibri" w:eastAsia="Calibri" w:hAnsi="Calibri"/>
                <w:b/>
                <w:bCs/>
                <w:sz w:val="19"/>
                <w:szCs w:val="19"/>
              </w:rPr>
              <w:t xml:space="preserve">Entry 7</w:t>
            </w:r>
          </w:p>
        </w:tc>
        <w:tc>
          <w:tcPr>
            <w:tcW w:type="dxa" w:w="7150"/>
          </w:tcPr>
          <w:p>
            <w:r>
              <w:rPr>
                <w:rFonts w:ascii="Calibri" w:cs="Calibri" w:eastAsia="Calibri" w:hAnsi="Calibri"/>
                <w:sz w:val="19"/>
                <w:szCs w:val="19"/>
              </w:rPr>
              <w:t xml:space="preserve">Automated email alert sent on ban, including WHOIS lookup on the source IP.</w:t>
            </w:r>
          </w:p>
        </w:tc>
      </w:tr>
      <w:tr>
        <w:tc>
          <w:tcPr>
            <w:tcW w:type="dxa" w:w="2200"/>
          </w:tcPr>
          <w:p>
            <w:r>
              <w:rPr>
                <w:rFonts w:ascii="Calibri" w:cs="Calibri" w:eastAsia="Calibri" w:hAnsi="Calibri"/>
                <w:b/>
                <w:bCs/>
                <w:sz w:val="19"/>
                <w:szCs w:val="19"/>
              </w:rPr>
              <w:t xml:space="preserve">Recovery</w:t>
            </w:r>
          </w:p>
        </w:tc>
        <w:tc>
          <w:tcPr>
            <w:tcW w:type="dxa" w:w="7150"/>
          </w:tcPr>
          <w:p>
            <w:r>
              <w:rPr>
                <w:rFonts w:ascii="Calibri" w:cs="Calibri" w:eastAsia="Calibri" w:hAnsi="Calibri"/>
                <w:sz w:val="19"/>
                <w:szCs w:val="19"/>
              </w:rPr>
              <w:t xml:space="preserve">Ban automatically expired per configured bantime; normal SSH service resumed with no manual intervention.</w:t>
            </w:r>
          </w:p>
        </w:tc>
      </w:tr>
    </w:tbl>
    <w:p>
      <w:pPr>
        <w:pBdr>
          <w:bottom w:val="single" w:color="1F3864" w:sz="6" w:space="2"/>
        </w:pBdr>
        <w:spacing w:after="100" w:before="280"/>
      </w:pPr>
      <w:r>
        <w:rPr>
          <w:rFonts w:ascii="Calibri" w:cs="Calibri" w:eastAsia="Calibri" w:hAnsi="Calibri"/>
          <w:b/>
          <w:bCs/>
          <w:color w:val="1F3864"/>
          <w:sz w:val="24"/>
          <w:szCs w:val="24"/>
        </w:rPr>
        <w:t xml:space="preserve">3. Phase 1 — Preparation</w:t>
      </w:r>
    </w:p>
    <w:p>
      <w:pPr>
        <w:spacing w:after="100" w:line="276"/>
        <w:jc w:val="both"/>
      </w:pPr>
      <w:r>
        <w:rPr>
          <w:rFonts w:ascii="Calibri" w:cs="Calibri" w:eastAsia="Calibri" w:hAnsi="Calibri"/>
          <w:sz w:val="20"/>
          <w:szCs w:val="20"/>
        </w:rPr>
        <w:t xml:space="preserve">Prior to the simulated incident, the following controls were already in place: SSH key-based authentication as a baseline access control, Wireshark installed and configured for packet capture on the relevant network interface, and fail2ban installed with a custom jail configuration monitoring /var/log/auth.log. The fail2ban jail was tuned to a threshold of 3 failed login attempts within a 300-second window, triggering a temporary ban of the offending source IP.</w:t>
      </w:r>
    </w:p>
    <w:p>
      <w:pPr>
        <w:pBdr>
          <w:bottom w:val="single" w:color="1F3864" w:sz="6" w:space="2"/>
        </w:pBdr>
        <w:spacing w:after="100" w:before="280"/>
      </w:pPr>
      <w:r>
        <w:rPr>
          <w:rFonts w:ascii="Calibri" w:cs="Calibri" w:eastAsia="Calibri" w:hAnsi="Calibri"/>
          <w:b/>
          <w:bCs/>
          <w:color w:val="1F3864"/>
          <w:sz w:val="24"/>
          <w:szCs w:val="24"/>
        </w:rPr>
        <w:t xml:space="preserve">4. Phase 2 — Detection &amp; Analysis</w:t>
      </w:r>
    </w:p>
    <w:p>
      <w:pPr>
        <w:spacing w:after="100" w:line="276"/>
        <w:jc w:val="both"/>
      </w:pPr>
      <w:r>
        <w:rPr>
          <w:rFonts w:ascii="Calibri" w:cs="Calibri" w:eastAsia="Calibri" w:hAnsi="Calibri"/>
          <w:sz w:val="20"/>
          <w:szCs w:val="20"/>
        </w:rPr>
        <w:t xml:space="preserve">The simulated attack (a brute-force SSH login attempt using hydra) was detected through two independent methods, providing corroborating evidence of the same activity:</w:t>
      </w:r>
    </w:p>
    <w:p>
      <w:pPr>
        <w:pStyle w:val="ListParagraph"/>
        <w:numPr>
          <w:ilvl w:val="0"/>
          <w:numId w:val="1"/>
        </w:numPr>
        <w:spacing w:after="40"/>
      </w:pPr>
      <w:r>
        <w:rPr>
          <w:rFonts w:ascii="Calibri" w:cs="Calibri" w:eastAsia="Calibri" w:hAnsi="Calibri"/>
          <w:sz w:val="20"/>
          <w:szCs w:val="20"/>
        </w:rPr>
        <w:t xml:space="preserve">Network-level detection: Wireshark captured a distinctive repeated SSH handshake pattern (client protocol announcement, key exchange, repeat) consistent with an automated brute-force tool cycling through credentials rapidly. The SSH banner (OpenSSH version) was also captured in the clear prior to encryption, consistent with attacker reconnaissance behavior.</w:t>
      </w:r>
    </w:p>
    <w:p>
      <w:pPr>
        <w:pStyle w:val="ListParagraph"/>
        <w:numPr>
          <w:ilvl w:val="0"/>
          <w:numId w:val="1"/>
        </w:numPr>
        <w:spacing w:after="40"/>
      </w:pPr>
      <w:r>
        <w:rPr>
          <w:rFonts w:ascii="Calibri" w:cs="Calibri" w:eastAsia="Calibri" w:hAnsi="Calibri"/>
          <w:sz w:val="20"/>
          <w:szCs w:val="20"/>
        </w:rPr>
        <w:t xml:space="preserve">Host-level detection: fail2ban's log-monitoring process identified repeated authentication failures in auth.log from the same source IP, crossing the configured 3-attempt threshold within the 5-minute detection window.</w:t>
      </w:r>
    </w:p>
    <w:p>
      <w:pPr>
        <w:pBdr>
          <w:bottom w:val="single" w:color="1F3864" w:sz="6" w:space="2"/>
        </w:pBdr>
        <w:spacing w:after="100" w:before="280"/>
      </w:pPr>
      <w:r>
        <w:rPr>
          <w:rFonts w:ascii="Calibri" w:cs="Calibri" w:eastAsia="Calibri" w:hAnsi="Calibri"/>
          <w:b/>
          <w:bCs/>
          <w:color w:val="1F3864"/>
          <w:sz w:val="24"/>
          <w:szCs w:val="24"/>
        </w:rPr>
        <w:t xml:space="preserve">5. Phase 3 — Containment, Eradication &amp; Recovery</w:t>
      </w:r>
    </w:p>
    <w:p>
      <w:pPr>
        <w:spacing w:after="100" w:line="276"/>
        <w:jc w:val="both"/>
      </w:pPr>
      <w:r>
        <w:rPr>
          <w:rFonts w:ascii="Calibri" w:cs="Calibri" w:eastAsia="Calibri" w:hAnsi="Calibri"/>
          <w:sz w:val="20"/>
          <w:szCs w:val="20"/>
        </w:rPr>
        <w:t xml:space="preserve">Once the failure threshold was breached, fail2ban automatically applied an iptables-based ban against the offending source IP. This containment action was independently verified at the network level: a subsequent connection attempt from the banned IP was met with an ICMP Type 3 (Destination Unreachable), Code 3 (Port Unreachable) response — confirming the block was actively enforced at the packet level, not merely logged. No further action was required for eradication, as the threat was an external connection attempt rather than a persistent compromise. Recovery was automatic and time-based: the ban expired after the configured duration, and normal SSH service resumed without any manual reset or intervention.</w:t>
      </w:r>
    </w:p>
    <w:p>
      <w:pPr>
        <w:pBdr>
          <w:bottom w:val="single" w:color="1F3864" w:sz="6" w:space="2"/>
        </w:pBdr>
        <w:spacing w:after="100" w:before="280"/>
      </w:pPr>
      <w:r>
        <w:rPr>
          <w:rFonts w:ascii="Calibri" w:cs="Calibri" w:eastAsia="Calibri" w:hAnsi="Calibri"/>
          <w:b/>
          <w:bCs/>
          <w:color w:val="1F3864"/>
          <w:sz w:val="24"/>
          <w:szCs w:val="24"/>
        </w:rPr>
        <w:t xml:space="preserve">6. Phase 4 — Post-Incident Activity</w:t>
      </w:r>
    </w:p>
    <w:p>
      <w:pPr>
        <w:spacing w:after="60" w:before="160"/>
      </w:pPr>
      <w:r>
        <w:rPr>
          <w:rFonts w:ascii="Calibri" w:cs="Calibri" w:eastAsia="Calibri" w:hAnsi="Calibri"/>
          <w:b/>
          <w:bCs/>
          <w:color w:val="1F3864"/>
          <w:sz w:val="21"/>
          <w:szCs w:val="21"/>
        </w:rPr>
        <w:t xml:space="preserve">What Worked Well</w:t>
      </w:r>
    </w:p>
    <w:p>
      <w:pPr>
        <w:pStyle w:val="ListParagraph"/>
        <w:numPr>
          <w:ilvl w:val="0"/>
          <w:numId w:val="1"/>
        </w:numPr>
        <w:spacing w:after="40"/>
      </w:pPr>
      <w:r>
        <w:rPr>
          <w:rFonts w:ascii="Calibri" w:cs="Calibri" w:eastAsia="Calibri" w:hAnsi="Calibri"/>
          <w:sz w:val="20"/>
          <w:szCs w:val="20"/>
        </w:rPr>
        <w:t xml:space="preserve">Dual-layer detection (network and host) provided independent confirmation of the same incident, reducing the risk of a single point of detection failure.</w:t>
      </w:r>
    </w:p>
    <w:p>
      <w:pPr>
        <w:pStyle w:val="ListParagraph"/>
        <w:numPr>
          <w:ilvl w:val="0"/>
          <w:numId w:val="1"/>
        </w:numPr>
        <w:spacing w:after="40"/>
      </w:pPr>
      <w:r>
        <w:rPr>
          <w:rFonts w:ascii="Calibri" w:cs="Calibri" w:eastAsia="Calibri" w:hAnsi="Calibri"/>
          <w:sz w:val="20"/>
          <w:szCs w:val="20"/>
        </w:rPr>
        <w:t xml:space="preserve">The response was fully automated end-to-end — detection, containment, and recovery all occurred without manual intervention.</w:t>
      </w:r>
    </w:p>
    <w:p>
      <w:pPr>
        <w:pStyle w:val="ListParagraph"/>
        <w:numPr>
          <w:ilvl w:val="0"/>
          <w:numId w:val="1"/>
        </w:numPr>
        <w:spacing w:after="40"/>
      </w:pPr>
      <w:r>
        <w:rPr>
          <w:rFonts w:ascii="Calibri" w:cs="Calibri" w:eastAsia="Calibri" w:hAnsi="Calibri"/>
          <w:sz w:val="20"/>
          <w:szCs w:val="20"/>
        </w:rPr>
        <w:t xml:space="preserve">Email alerting with WHOIS enrichment provided immediately actionable context on the source of the attack.</w:t>
      </w:r>
    </w:p>
    <w:p>
      <w:pPr>
        <w:spacing w:after="60" w:before="160"/>
      </w:pPr>
      <w:r>
        <w:rPr>
          <w:rFonts w:ascii="Calibri" w:cs="Calibri" w:eastAsia="Calibri" w:hAnsi="Calibri"/>
          <w:b/>
          <w:bCs/>
          <w:color w:val="1F3864"/>
          <w:sz w:val="21"/>
          <w:szCs w:val="21"/>
        </w:rPr>
        <w:t xml:space="preserve">Areas for Improvement</w:t>
      </w:r>
    </w:p>
    <w:p>
      <w:pPr>
        <w:pStyle w:val="ListParagraph"/>
        <w:numPr>
          <w:ilvl w:val="0"/>
          <w:numId w:val="1"/>
        </w:numPr>
        <w:spacing w:after="40"/>
      </w:pPr>
      <w:r>
        <w:rPr>
          <w:rFonts w:ascii="Calibri" w:cs="Calibri" w:eastAsia="Calibri" w:hAnsi="Calibri"/>
          <w:sz w:val="20"/>
          <w:szCs w:val="20"/>
        </w:rPr>
        <w:t xml:space="preserve">The fixed ban duration allows a persistent attacker to simply wait out the ban and retry; an escalating ban duration for repeat offenders would strengthen containment.</w:t>
      </w:r>
    </w:p>
    <w:p>
      <w:pPr>
        <w:pStyle w:val="ListParagraph"/>
        <w:numPr>
          <w:ilvl w:val="0"/>
          <w:numId w:val="1"/>
        </w:numPr>
        <w:spacing w:after="40"/>
      </w:pPr>
      <w:r>
        <w:rPr>
          <w:rFonts w:ascii="Calibri" w:cs="Calibri" w:eastAsia="Calibri" w:hAnsi="Calibri"/>
          <w:sz w:val="20"/>
          <w:szCs w:val="20"/>
        </w:rPr>
        <w:t xml:space="preserve">Alerting was limited to email; a production environment would benefit from routing alerts to a ticketing system or chat platform for faster human visibility.</w:t>
      </w:r>
    </w:p>
    <w:p>
      <w:pPr>
        <w:pStyle w:val="ListParagraph"/>
        <w:numPr>
          <w:ilvl w:val="0"/>
          <w:numId w:val="1"/>
        </w:numPr>
        <w:spacing w:after="40"/>
      </w:pPr>
      <w:r>
        <w:rPr>
          <w:rFonts w:ascii="Calibri" w:cs="Calibri" w:eastAsia="Calibri" w:hAnsi="Calibri"/>
          <w:sz w:val="20"/>
          <w:szCs w:val="20"/>
        </w:rPr>
        <w:t xml:space="preserve">There is currently no formal 'incident closed' step; even automated responses benefit from a documented review and closure action to build consistent incident-handling discipline.</w:t>
      </w:r>
    </w:p>
    <w:p>
      <w:pPr>
        <w:spacing w:after="60" w:before="160"/>
      </w:pPr>
      <w:r>
        <w:rPr>
          <w:rFonts w:ascii="Calibri" w:cs="Calibri" w:eastAsia="Calibri" w:hAnsi="Calibri"/>
          <w:b/>
          <w:bCs/>
          <w:color w:val="1F3864"/>
          <w:sz w:val="21"/>
          <w:szCs w:val="21"/>
        </w:rPr>
        <w:t xml:space="preserve">Recommended Follow-Up Actions</w:t>
      </w:r>
    </w:p>
    <w:p>
      <w:pPr>
        <w:pStyle w:val="ListParagraph"/>
        <w:numPr>
          <w:ilvl w:val="0"/>
          <w:numId w:val="1"/>
        </w:numPr>
        <w:spacing w:after="40"/>
      </w:pPr>
      <w:r>
        <w:rPr>
          <w:rFonts w:ascii="Calibri" w:cs="Calibri" w:eastAsia="Calibri" w:hAnsi="Calibri"/>
          <w:sz w:val="20"/>
          <w:szCs w:val="20"/>
        </w:rPr>
        <w:t xml:space="preserve">Implement escalating ban durations for IPs with multiple prior bans.</w:t>
      </w:r>
    </w:p>
    <w:p>
      <w:pPr>
        <w:pStyle w:val="ListParagraph"/>
        <w:numPr>
          <w:ilvl w:val="0"/>
          <w:numId w:val="1"/>
        </w:numPr>
        <w:spacing w:after="40"/>
      </w:pPr>
      <w:r>
        <w:rPr>
          <w:rFonts w:ascii="Calibri" w:cs="Calibri" w:eastAsia="Calibri" w:hAnsi="Calibri"/>
          <w:sz w:val="20"/>
          <w:szCs w:val="20"/>
        </w:rPr>
        <w:t xml:space="preserve">Integrate a secondary alert channel (e.g., Slack/Teams webhook) alongside email.</w:t>
      </w:r>
    </w:p>
    <w:p>
      <w:pPr>
        <w:pStyle w:val="ListParagraph"/>
        <w:numPr>
          <w:ilvl w:val="0"/>
          <w:numId w:val="1"/>
        </w:numPr>
        <w:spacing w:after="40"/>
      </w:pPr>
      <w:r>
        <w:rPr>
          <w:rFonts w:ascii="Calibri" w:cs="Calibri" w:eastAsia="Calibri" w:hAnsi="Calibri"/>
          <w:sz w:val="20"/>
          <w:szCs w:val="20"/>
        </w:rPr>
        <w:t xml:space="preserve">Introduce a lightweight manual review/closure step for automated incidents to reinforce IR process discipline.</w:t>
      </w:r>
    </w:p>
    <w:p>
      <w:pPr>
        <w:pBdr>
          <w:bottom w:val="single" w:color="1F3864" w:sz="6" w:space="2"/>
        </w:pBdr>
        <w:spacing w:after="100" w:before="280"/>
      </w:pPr>
      <w:r>
        <w:rPr>
          <w:rFonts w:ascii="Calibri" w:cs="Calibri" w:eastAsia="Calibri" w:hAnsi="Calibri"/>
          <w:b/>
          <w:bCs/>
          <w:color w:val="1F3864"/>
          <w:sz w:val="24"/>
          <w:szCs w:val="24"/>
        </w:rPr>
        <w:t xml:space="preserve">7. Conclusion</w:t>
      </w:r>
    </w:p>
    <w:p>
      <w:pPr>
        <w:spacing w:after="100" w:line="276"/>
        <w:jc w:val="both"/>
      </w:pPr>
      <w:r>
        <w:rPr>
          <w:rFonts w:ascii="Calibri" w:cs="Calibri" w:eastAsia="Calibri" w:hAnsi="Calibri"/>
          <w:sz w:val="20"/>
          <w:szCs w:val="20"/>
        </w:rPr>
        <w:t xml:space="preserve">This exercise validated that the layered detection and automated response controls in place function correctly under real conditions, from initial attack through containment and recovery. The post-incident review identified concrete, actionable improvements that will be carried forward into future iterations of this homelab environment. Treating this simulated activity as a formal incident, structured through the NIST SP 800-61 lifecycle, provided a clearer and more professionally aligned way to evaluate the effectiveness of the defenses already built.</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2026-08-26T19:47:52.516Z</dcterms:created>
  <dcterms:modified xsi:type="dcterms:W3CDTF">2026-08-26T19:47:52.529Z</dcterms:modified>
</cp:coreProperties>
</file>

<file path=docProps/custom.xml><?xml version="1.0" encoding="utf-8"?>
<Properties xmlns="http://schemas.openxmlformats.org/officeDocument/2006/custom-properties" xmlns:vt="http://schemas.openxmlformats.org/officeDocument/2006/docPropsVTypes"/>
</file>