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18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22 database models, about 80 HTTP endpoints, 11 background jobs, 264 API tests, 62 shared-logic tests and 6 real-browser end-to-end scripts (all passing at the time of writing)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17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(bcrypt cost 12 or stronger) and signed tokens (HS256 or stronger)</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(lower-cased, unique), phone (normalised for the detected country), password (8 to 128 characters), locale. The country comes from the visitor's location header (supported countries only), else the body, else Cameroon. Creates the user on </w:t>
      </w:r>
      <w:r>
        <w:rPr>
          <w:rFonts w:ascii="Calibri" w:cs="Calibri" w:eastAsia="Calibri" w:hAnsi="Calibri"/>
          <w:b/>
          <w:bCs/>
          <w:sz w:val="21"/>
          <w:szCs w:val="21"/>
        </w:rPr>
        <w:t xml:space="preserve">Explore</w:t>
      </w:r>
      <w:r>
        <w:rPr>
          <w:rFonts w:ascii="Calibri" w:cs="Calibri" w:eastAsia="Calibri" w:hAnsi="Calibri"/>
          <w:sz w:val="21"/>
          <w:szCs w:val="21"/>
        </w:rPr>
        <w:t xml:space="preserve"> with a subscription record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no end in practice) and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 Returns a bearer token and the user.</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10 attempts per minute per (email, IP), and a per-account budget of 30 failures per 15 minutes regardless of IP.</w:t>
      </w:r>
    </w:p>
    <w:p>
      <w:pPr>
        <w:pStyle w:val="ListParagraph"/>
        <w:numPr>
          <w:ilvl w:val="0"/>
          <w:numId w:val="3"/>
        </w:numPr>
        <w:spacing w:after="50" w:line="264"/>
      </w:pPr>
      <w:r>
        <w:rPr>
          <w:rFonts w:ascii="Consolas" w:cs="Consolas" w:eastAsia="Consolas" w:hAnsi="Consolas"/>
          <w:color w:val="8A1C3B"/>
          <w:sz w:val="20"/>
          <w:szCs w:val="20"/>
        </w:rPr>
        <w:t xml:space="preserve">POST /api/auth/oauth</w:t>
      </w:r>
      <w:r>
        <w:rPr>
          <w:rFonts w:ascii="Calibri" w:cs="Calibri" w:eastAsia="Calibri" w:hAnsi="Calibri"/>
          <w:sz w:val="21"/>
          <w:szCs w:val="21"/>
        </w:rPr>
        <w:t xml:space="preserve">: Google sign-in, callable only by the website server with the shared secret; creates an Explore account on first use (no password).</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(22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E.164 with leading "+", e.g. +237677123456</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sf:loginfail:{email}</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Failed-login counter per account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Explore account; returns token and user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/api/auth/oauth</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(called by the website server)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sz w:val="21"/>
          <w:szCs w:val="21"/>
        </w:rPr>
        <w:t xml:space="preserve">Passwords hashed with bcrypt cost 12; login compares against a dummy hash for unknown emails (no user enumeration by timing); HS256 access tokens, issuer </w:t>
      </w:r>
      <w:r>
        <w:rPr>
          <w:rFonts w:ascii="Consolas" w:cs="Consolas" w:eastAsia="Consolas" w:hAnsi="Consolas"/>
          <w:color w:val="8A1C3B"/>
          <w:sz w:val="20"/>
          <w:szCs w:val="20"/>
        </w:rPr>
        <w:t xml:space="preserve">surveyflow</w:t>
      </w:r>
      <w:r>
        <w:rPr>
          <w:rFonts w:ascii="Calibri" w:cs="Calibri" w:eastAsia="Calibri" w:hAnsi="Calibri"/>
          <w:sz w:val="21"/>
          <w:szCs w:val="21"/>
        </w:rPr>
        <w:t xml:space="preserve">, 12-hour lifetime; a deleted account's token stops working immediately (the existence check on every request).</w:t>
      </w:r>
    </w:p>
    <w:p>
      <w:pPr>
        <w:pStyle w:val="ListParagraph"/>
        <w:numPr>
          <w:ilvl w:val="0"/>
          <w:numId w:val="3"/>
        </w:numPr>
        <w:spacing w:after="50" w:line="264"/>
      </w:pPr>
      <w:r>
        <w:rPr>
          <w:rFonts w:ascii="Calibri" w:cs="Calibri" w:eastAsia="Calibri" w:hAnsi="Calibri"/>
          <w:sz w:val="21"/>
          <w:szCs w:val="21"/>
        </w:rPr>
        <w:t xml:space="preserve">Rate limits: credential endpoints 10 per minute per (email, IP) plus 30 failures per 15 minutes per account; payments initiate, upgrade, top-up and bot link code 10 to 20 per minute; exports 10 to 20 per minute; receipts 30; payment webhooks 600; everything else a global default;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sz w:val="21"/>
          <w:szCs w:val="21"/>
        </w:rPr>
        <w:t xml:space="preserve">WhatsApp access tokens and Google refresh tokens are encrypted at rest (AES-256-GCM, key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32 bytes).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TOKEN_ENCRYPTION_KEY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bytes base64 or hex</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(62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(264 tests, 16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(6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responsive sweep 16 screens x 4 widths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Partly covered (signatures, gate, injection in exports)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2026-10-20T01:57:09.752Z</dcterms:created>
  <dcterms:modified xsi:type="dcterms:W3CDTF">2026-10-20T01:57:09.753Z</dcterms:modified>
</cp:coreProperties>
</file>

<file path=docProps/custom.xml><?xml version="1.0" encoding="utf-8"?>
<Properties xmlns="http://schemas.openxmlformats.org/officeDocument/2006/custom-properties" xmlns:vt="http://schemas.openxmlformats.org/officeDocument/2006/docPropsVTypes"/>
</file>