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23</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Backlog snapshot: what is built and what is not, taken from the living backlog (docs/BACKLOG.md)</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459 API tests, 69 shared-logic tests, 14 website tests, 37 script tests (the audit gate and the backlog checker) and 8 real-browser end-to-end scripts, including the security run and the responsive and landscape sweeps (all passing at the time of writing, re-run 2026-10-28 on Next.js 15.5.28, zod 4, Prisma 7 and puppeteer 25)</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28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autoSyncConfirmedAt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SEC-20: when the owner last confirmed (with "confirm it is you") that new rows may keep flowing to the sheet. Auto-sync pauses SHEETS_AUTOSYNC_DAYS after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autoSyncPausedAt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When the pause was noticed and the owner e-mailed (once per pause).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The page also asks for the password chosen at sign-up, so a person who clicks a confirmation e-mail they did not ask for cannot confirm a stranger's account (the link is checked before it is spent; five wrong passwords burn it; </w:t>
      </w:r>
      <w:r>
        <w:rPr>
          <w:rFonts w:ascii="Consolas" w:cs="Consolas" w:eastAsia="Consolas" w:hAnsi="Consolas"/>
          <w:color w:val="8A1C3B"/>
          <w:sz w:val="20"/>
          <w:szCs w:val="20"/>
        </w:rPr>
        <w:t xml:space="preserve">CONFIRM_REQUIRES_PASSWORD</w:t>
      </w:r>
      <w:r>
        <w:rPr>
          <w:rFonts w:ascii="Calibri" w:cs="Calibri" w:eastAsia="Calibri" w:hAnsi="Calibri"/>
          <w:sz w:val="21"/>
          <w:szCs w:val="21"/>
        </w:rPr>
        <w:t xml:space="preserve">).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general limit that counts per verified session (300 a minute, from a token this server signed for a live session; a forged token counts against its address) with a ceiling per address (3,000 a minute) so that one source cannot multiply sessions;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 Names and free-text answers are not masked, so how many different participants one login lists in 24 hours is counted: past 1,000 the owner is e-mailed once and a recent confirmation is needed, past 20,000 the lists stop until the window has passed. Google Sheets auto-sync needs a fresh confirmation to be switched on, at any size, and pauses itself 30 days after the last one.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 a request sent straight to the origin with a forged header is believed (shown in the verification log of the security reference).</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is closed by the password asked on the confirmation page; it returns if that switch is turned off, and a registrant who tells the mailbox owner the password can still get them to confirm.</w:t>
      </w:r>
    </w:p>
    <w:p>
      <w:pPr>
        <w:pStyle w:val="ListParagraph"/>
        <w:numPr>
          <w:ilvl w:val="0"/>
          <w:numId w:val="3"/>
        </w:numPr>
        <w:spacing w:after="50" w:line="264"/>
      </w:pPr>
      <w:r>
        <w:rPr>
          <w:rFonts w:ascii="Calibri" w:cs="Calibri" w:eastAsia="Calibri" w:hAnsi="Calibri"/>
          <w:sz w:val="21"/>
          <w:szCs w:val="21"/>
        </w:rPr>
        <w:t xml:space="preserve">Names and free-text answers are not masked: one login can list at most 20,000 different participants a day and needs a recent confirmation past 1,000, and a slow reader that stays under that can still read them. Google Sheets auto-sync needs a confirmation to be switched on and pauses itself after 30 days without a new one.</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Not verified against the real service from the build environment: the e-mail providers, Cloudflare Turnstile and the breach check (their hosts are blocked there), a genuine Google ID token, a real CDN, Windows and macOS, real phones. What was checked (Google's real keys, argon2 against the reference implementation, the Windows fix of Next.js, https behind a local TLS proxy) and how to repeat it on your own computer (</w:t>
      </w:r>
      <w:r>
        <w:rPr>
          <w:rFonts w:ascii="Consolas" w:cs="Consolas" w:eastAsia="Consolas" w:hAnsi="Consolas"/>
          <w:color w:val="8A1C3B"/>
          <w:sz w:val="20"/>
          <w:szCs w:val="20"/>
        </w:rPr>
        <w:t xml:space="preserve">scripts/preflight.mts</w:t>
      </w:r>
      <w:r>
        <w:rPr>
          <w:rFonts w:ascii="Calibri" w:cs="Calibri" w:eastAsia="Calibri" w:hAnsi="Calibri"/>
          <w:sz w:val="21"/>
          <w:szCs w:val="21"/>
        </w:rPr>
        <w:t xml:space="preserve">) is in the security reference, section 19.</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CONFIRM_REQUIRES_PASSWORD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confirmation page asks for the password chosen at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RATE_LIMIT_SESSION_PER_MINUTE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RATE_LIMIT_IP_PER_MINUTE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300, 3000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General limit per verified session, and the ceiling per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READ_SOFT_PEOPLE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READ_HARD_PEOPLE</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1000, 20000</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Different participants one login may list in 24 hours before a confirmation is needed, and before the lists stop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SHEETS_AUTOSYNC_DAYS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Days Google Sheets auto-sync runs after the last confirmation, then pauses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Names and free-text answers are not masked, so a stolen login can read up to 1,000 participants a day without a confirmation (and 20,000 with one)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Bulk reading of participant data by someone who holds a session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Capped and e-mailed (built); mask names, or lower the numbers, once real use is known</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23. Backlog Snapshot: What Is Built and What Is Not</w:t>
      </w:r>
    </w:p>
    <w:p>
      <w:pPr>
        <w:spacing w:after="110" w:line="276"/>
      </w:pPr>
      <w:r>
        <w:rPr>
          <w:rFonts w:ascii="Calibri" w:cs="Calibri" w:eastAsia="Calibri" w:hAnsi="Calibri"/>
          <w:sz w:val="21"/>
          <w:szCs w:val="21"/>
        </w:rPr>
        <w:t xml:space="preserve">Taken from </w:t>
      </w:r>
      <w:r>
        <w:rPr>
          <w:rFonts w:ascii="Consolas" w:cs="Consolas" w:eastAsia="Consolas" w:hAnsi="Consolas"/>
          <w:color w:val="8A1C3B"/>
          <w:sz w:val="20"/>
          <w:szCs w:val="20"/>
        </w:rPr>
        <w:t xml:space="preserve">docs/BACKLOG.md</w:t>
      </w:r>
      <w:r>
        <w:rPr>
          <w:rFonts w:ascii="Calibri" w:cs="Calibri" w:eastAsia="Calibri" w:hAnsi="Calibri"/>
          <w:sz w:val="21"/>
          <w:szCs w:val="21"/>
        </w:rPr>
        <w:t xml:space="preserve"> on 28 October 2026. That file is the living list of every item the product needs, with its MoSCoW class, size, risks and the decisions behind it. It is updated in the same commit as the change it describes, and </w:t>
      </w:r>
      <w:r>
        <w:rPr>
          <w:rFonts w:ascii="Consolas" w:cs="Consolas" w:eastAsia="Consolas" w:hAnsi="Consolas"/>
          <w:color w:val="8A1C3B"/>
          <w:sz w:val="20"/>
          <w:szCs w:val="20"/>
        </w:rPr>
        <w:t xml:space="preserve">npm run backlog:check</w:t>
      </w:r>
      <w:r>
        <w:rPr>
          <w:rFonts w:ascii="Calibri" w:cs="Calibri" w:eastAsia="Calibri" w:hAnsi="Calibri"/>
          <w:sz w:val="21"/>
          <w:szCs w:val="21"/>
        </w:rPr>
        <w:t xml:space="preserve"> (part of </w:t>
      </w:r>
      <w:r>
        <w:rPr>
          <w:rFonts w:ascii="Consolas" w:cs="Consolas" w:eastAsia="Consolas" w:hAnsi="Consolas"/>
          <w:color w:val="8A1C3B"/>
          <w:sz w:val="20"/>
          <w:szCs w:val="20"/>
        </w:rPr>
        <w:t xml:space="preserve">npm test</w:t>
      </w:r>
      <w:r>
        <w:rPr>
          <w:rFonts w:ascii="Calibri" w:cs="Calibri" w:eastAsia="Calibri" w:hAnsi="Calibri"/>
          <w:sz w:val="21"/>
          <w:szCs w:val="21"/>
        </w:rPr>
        <w:t xml:space="preserve">) fails when it contradicts itself or the repository. The numbers on this page are generated from its tables.</w:t>
      </w:r>
    </w:p>
    <w:p>
      <w:pPr>
        <w:pStyle w:val="Heading2"/>
        <w:keepNext/>
        <w:spacing w:after="120" w:before="280"/>
      </w:pPr>
      <w:r>
        <w:rPr>
          <w:rFonts w:ascii="Calibri" w:cs="Calibri" w:eastAsia="Calibri" w:hAnsi="Calibri"/>
        </w:rPr>
        <w:t xml:space="preserve">23.1 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Built</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 built</w:t>
            </w:r>
          </w:p>
        </w:tc>
        <w:tc>
          <w:tcPr>
            <w:tcW w:type="dxa" w:w="16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Total</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Could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Won't this release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76</w:t>
            </w:r>
          </w:p>
        </w:tc>
      </w:tr>
    </w:tbl>
    <w:p>
      <w:pPr>
        <w:spacing w:after="140"/>
      </w:pPr>
    </w:p>
    <w:p>
      <w:pPr>
        <w:spacing w:after="110" w:line="276"/>
      </w:pPr>
      <w:r>
        <w:rPr>
          <w:rFonts w:ascii="Calibri" w:cs="Calibri" w:eastAsia="Calibri" w:hAnsi="Calibri"/>
          <w:sz w:val="21"/>
          <w:szCs w:val="21"/>
        </w:rPr>
        <w:t xml:space="preserve">7 of the 21 built items still have a check open against a real service or device (marked below).</w:t>
      </w:r>
    </w:p>
    <w:p>
      <w:pPr>
        <w:pStyle w:val="Heading2"/>
        <w:keepNext/>
        <w:spacing w:after="120" w:before="280"/>
      </w:pPr>
      <w:r>
        <w:rPr>
          <w:rFonts w:ascii="Calibri" w:cs="Calibri" w:eastAsia="Calibri" w:hAnsi="Calibri"/>
        </w:rPr>
        <w:t xml:space="preserve">23.2 Built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173"/>
        <w:gridCol w:w="894"/>
        <w:gridCol w:w="496"/>
        <w:gridCol w:w="3181"/>
      </w:tblGrid>
      <w:tr>
        <w:trPr>
          <w:cantSplit/>
          <w:tblHeader/>
        </w:trPr>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1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Item</w:t>
            </w:r>
          </w:p>
        </w:tc>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Class</w:t>
            </w:r>
          </w:p>
        </w:tc>
        <w:tc>
          <w:tcPr>
            <w:tcW w:type="dxa" w:w="49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31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 still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verification and sending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real e-mail provider contacted</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reset</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Revocable sessions, rotating refresh tokens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Brute-force defence, CAPTCHA, alerts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never reached; fails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SEC-05</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ID-token verification, safe linking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genuine Google token yet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 and bulk-action alert and daily cap</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Trusted client IP behind the proxy</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behind a real CDN; origin must be CDN-only</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SEC-08</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Audit log (the owner's own trail)</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SEC-16</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Next.js 15.5.28 and React 19 (25 advisories)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run on a Windows host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SEC-06b</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for large exports and bulk deletes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SEC-09</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Two-factor authentication (authenticator app)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SEC-10</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Generic sign-up answer, alias folding</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argon2id passwords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run on Windows or macOS</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Forced owner filter, test of every route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headers, nonce-based CSP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under the CSP; a real CDN</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terms out of the logs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zod 4, puppeteer 25, Prisma 7, npm audit gate</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SEC-15</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Encryption of names and phones, key rotation</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SEC-18</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 per verified session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SEC-19</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on the confirmation page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SEC-20</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cap on names and answers, Sheets re-confirmation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23.3 Not built: the Must items, by what they wait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Waiting on</w:t>
            </w:r>
          </w:p>
        </w:tc>
        <w:tc>
          <w:tcPr>
            <w:tcW w:type="dxa" w:w="68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Items</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Code, nothing from outside (7)</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DAT-01, PAY-02, PAY-07, PAY-13, WA-03, ADM-01, ADM-02</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Counsel (a lawyer) (5)</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LEG-01, LEG-02, LEG-03, LEG-04, PAY-08a</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provider (4)</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PAY-01, PAY-03, PAY-04, PAY-05</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host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DAT-02, OPS-01, OPS-02</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(3)</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WA-01, WA-02, WA-04</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You (a decision or an action)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OPS-03, BIZ-01, BIZ-02</w:t>
            </w:r>
          </w:p>
        </w:tc>
      </w:tr>
    </w:tbl>
    <w:p>
      <w:pPr>
        <w:spacing w:after="140"/>
      </w:pPr>
    </w:p>
    <w:p>
      <w:pPr>
        <w:spacing w:after="110" w:line="276"/>
      </w:pPr>
      <w:r>
        <w:rPr>
          <w:rFonts w:ascii="Calibri" w:cs="Calibri" w:eastAsia="Calibri" w:hAnsi="Calibri"/>
          <w:sz w:val="21"/>
          <w:szCs w:val="21"/>
        </w:rPr>
        <w:t xml:space="preserve">Only the first line is code that can be written now. The others are not code: starting them is what shortens the road to a launch.</w:t>
      </w:r>
    </w:p>
    <w:p>
      <w:pPr>
        <w:pStyle w:val="Heading2"/>
        <w:keepNext/>
        <w:spacing w:after="120" w:before="280"/>
      </w:pPr>
      <w:r>
        <w:rPr>
          <w:rFonts w:ascii="Calibri" w:cs="Calibri" w:eastAsia="Calibri" w:hAnsi="Calibri"/>
        </w:rPr>
        <w:t xml:space="preserve">23.4 Not built: Should, Could and Won't this release</w:t>
      </w:r>
    </w:p>
    <w:p>
      <w:pPr>
        <w:pStyle w:val="ListParagraph"/>
        <w:numPr>
          <w:ilvl w:val="0"/>
          <w:numId w:val="3"/>
        </w:numPr>
        <w:spacing w:after="50" w:line="264"/>
      </w:pPr>
      <w:r>
        <w:rPr>
          <w:rFonts w:ascii="Calibri" w:cs="Calibri" w:eastAsia="Calibri" w:hAnsi="Calibri"/>
          <w:b/>
          <w:bCs/>
          <w:sz w:val="21"/>
          <w:szCs w:val="21"/>
        </w:rPr>
        <w:t xml:space="preserve">Should (11):</w:t>
      </w:r>
      <w:r>
        <w:rPr>
          <w:rFonts w:ascii="Calibri" w:cs="Calibri" w:eastAsia="Calibri" w:hAnsi="Calibri"/>
          <w:sz w:val="21"/>
          <w:szCs w:val="21"/>
        </w:rPr>
        <w:t xml:space="preserve"> PAY-06, WA-06, BIZ-03, ADM-03, ADM-04, LEG-02b, LEG-05, PAY-08b, PAY-09, WA-05, OPS-04</w:t>
      </w:r>
    </w:p>
    <w:p>
      <w:pPr>
        <w:pStyle w:val="ListParagraph"/>
        <w:numPr>
          <w:ilvl w:val="0"/>
          <w:numId w:val="3"/>
        </w:numPr>
        <w:spacing w:after="50" w:line="264"/>
      </w:pPr>
      <w:r>
        <w:rPr>
          <w:rFonts w:ascii="Calibri" w:cs="Calibri" w:eastAsia="Calibri" w:hAnsi="Calibri"/>
          <w:b/>
          <w:bCs/>
          <w:sz w:val="21"/>
          <w:szCs w:val="21"/>
        </w:rPr>
        <w:t xml:space="preserve">Could (10):</w:t>
      </w:r>
      <w:r>
        <w:rPr>
          <w:rFonts w:ascii="Calibri" w:cs="Calibri" w:eastAsia="Calibri" w:hAnsi="Calibri"/>
          <w:sz w:val="21"/>
          <w:szCs w:val="21"/>
        </w:rPr>
        <w:t xml:space="preserve"> WA-07, BIZ-04, BIZ-05, BIZ-06, DSN-01, ADM-05, ADM-06, PAY-11, PAY-12, OPS-05</w:t>
      </w:r>
    </w:p>
    <w:p>
      <w:pPr>
        <w:pStyle w:val="ListParagraph"/>
        <w:numPr>
          <w:ilvl w:val="0"/>
          <w:numId w:val="3"/>
        </w:numPr>
        <w:spacing w:after="50" w:line="264"/>
      </w:pPr>
      <w:r>
        <w:rPr>
          <w:rFonts w:ascii="Calibri" w:cs="Calibri" w:eastAsia="Calibri" w:hAnsi="Calibri"/>
          <w:b/>
          <w:bCs/>
          <w:sz w:val="21"/>
          <w:szCs w:val="21"/>
        </w:rPr>
        <w:t xml:space="preserve">Won't this release (9):</w:t>
      </w:r>
      <w:r>
        <w:rPr>
          <w:rFonts w:ascii="Calibri" w:cs="Calibri" w:eastAsia="Calibri" w:hAnsi="Calibri"/>
          <w:sz w:val="21"/>
          <w:szCs w:val="21"/>
        </w:rPr>
        <w:t xml:space="preserve"> DEF-01, DEF-02, DEF-03, DEF-04, FUT-01, FUT-02, FUT-03, FUT-04, FUT-05</w:t>
      </w:r>
    </w:p>
    <w:p>
      <w:pPr>
        <w:pStyle w:val="Heading2"/>
        <w:keepNext/>
        <w:spacing w:after="120" w:before="280"/>
      </w:pPr>
      <w:r>
        <w:rPr>
          <w:rFonts w:ascii="Calibri" w:cs="Calibri" w:eastAsia="Calibri" w:hAnsi="Calibri"/>
        </w:rPr>
        <w:t xml:space="preserve">23.5 How it is kept honest</w:t>
      </w:r>
    </w:p>
    <w:p>
      <w:pPr>
        <w:pStyle w:val="ListParagraph"/>
        <w:numPr>
          <w:ilvl w:val="0"/>
          <w:numId w:val="3"/>
        </w:numPr>
        <w:spacing w:after="50" w:line="264"/>
      </w:pPr>
      <w:r>
        <w:rPr>
          <w:rFonts w:ascii="Calibri" w:cs="Calibri" w:eastAsia="Calibri" w:hAnsi="Calibri"/>
          <w:sz w:val="21"/>
          <w:szCs w:val="21"/>
        </w:rPr>
        <w:t xml:space="preserve">A built item names its evidence (tests, migrations, files) and the checker confirms the files exist.</w:t>
      </w:r>
    </w:p>
    <w:p>
      <w:pPr>
        <w:pStyle w:val="ListParagraph"/>
        <w:numPr>
          <w:ilvl w:val="0"/>
          <w:numId w:val="3"/>
        </w:numPr>
        <w:spacing w:after="50" w:line="264"/>
      </w:pPr>
      <w:r>
        <w:rPr>
          <w:rFonts w:ascii="Calibri" w:cs="Calibri" w:eastAsia="Calibri" w:hAnsi="Calibri"/>
          <w:sz w:val="21"/>
          <w:szCs w:val="21"/>
        </w:rPr>
        <w:t xml:space="preserve">An item that is deferred or changes class must cite a decision of the owner, recorded with its date and the owner's words.</w:t>
      </w:r>
    </w:p>
    <w:p>
      <w:pPr>
        <w:pStyle w:val="ListParagraph"/>
        <w:numPr>
          <w:ilvl w:val="0"/>
          <w:numId w:val="3"/>
        </w:numPr>
        <w:spacing w:after="50" w:line="264"/>
      </w:pPr>
      <w:r>
        <w:rPr>
          <w:rFonts w:ascii="Calibri" w:cs="Calibri" w:eastAsia="Calibri" w:hAnsi="Calibri"/>
          <w:sz w:val="21"/>
          <w:szCs w:val="21"/>
        </w:rPr>
        <w:t xml:space="preserve">Against the version on the main branch the checker also refuses a row that disappears, a Must item that leaves Must without a recorded decision, and a change with no change-log entry as serious as the change.</w:t>
      </w:r>
    </w:p>
    <w:p>
      <w:pPr>
        <w:pStyle w:val="ListParagraph"/>
        <w:numPr>
          <w:ilvl w:val="0"/>
          <w:numId w:val="3"/>
        </w:numPr>
        <w:spacing w:after="50" w:line="264"/>
      </w:pPr>
      <w:r>
        <w:rPr>
          <w:rFonts w:ascii="Calibri" w:cs="Calibri" w:eastAsia="Calibri" w:hAnsi="Calibri"/>
          <w:sz w:val="21"/>
          <w:szCs w:val="21"/>
        </w:rPr>
        <w:t xml:space="preserve">It cannot judge whether what the file says is true: the check-still-open column is where a check nobody has run is written down.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2026-10-28T14:57:08.924Z</dcterms:created>
  <dcterms:modified xsi:type="dcterms:W3CDTF">2026-10-28T14:57:08.924Z</dcterms:modified>
</cp:coreProperties>
</file>

<file path=docProps/custom.xml><?xml version="1.0" encoding="utf-8"?>
<Properties xmlns="http://schemas.openxmlformats.org/officeDocument/2006/custom-properties" xmlns:vt="http://schemas.openxmlformats.org/officeDocument/2006/docPropsVTypes"/>
</file>