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7A40" w:sz="12" w:space="2"/>
        </w:pBdr>
        <w:spacing w:after="40"/>
      </w:pPr>
      <w:r>
        <w:rPr>
          <w:rFonts w:ascii="Calibri" w:cs="Calibri" w:eastAsia="Calibri" w:hAnsi="Calibri"/>
          <w:b/>
          <w:bCs/>
          <w:color w:val="0B2B22"/>
          <w:sz w:val="34"/>
          <w:szCs w:val="34"/>
        </w:rPr>
        <w:t xml:space="preserve">SurveyFlow V1 — facts sheet for legal review</w:t>
      </w:r>
    </w:p>
    <w:p>
      <w:pPr>
        <w:spacing w:after="70" w:line="228"/>
      </w:pPr>
      <w:r>
        <w:rPr>
          <w:rFonts w:ascii="Calibri" w:cs="Calibri" w:eastAsia="Calibri" w:hAnsi="Calibri"/>
          <w:i/>
          <w:iCs/>
          <w:color w:val="5B6F66"/>
          <w:sz w:val="19"/>
          <w:szCs w:val="19"/>
        </w:rPr>
        <w:t xml:space="preserve">Prepared 28 Oct 2026 from the code and the docs (</w:t>
      </w:r>
      <w:r>
        <w:rPr>
          <w:rFonts w:ascii="Consolas" w:cs="Consolas" w:eastAsia="Consolas" w:hAnsi="Consolas"/>
          <w:i/>
          <w:iCs/>
          <w:color w:val="5B6F66"/>
          <w:sz w:val="18"/>
          <w:szCs w:val="18"/>
        </w:rPr>
        <w:t xml:space="preserve">docs/DECISIONS.md</w:t>
      </w:r>
      <w:r>
        <w:rPr>
          <w:rFonts w:ascii="Calibri" w:cs="Calibri" w:eastAsia="Calibri" w:hAnsi="Calibri"/>
          <w:i/>
          <w:iCs/>
          <w:color w:val="5B6F66"/>
          <w:sz w:val="19"/>
          <w:szCs w:val="19"/>
        </w:rPr>
        <w:t xml:space="preserve">, </w:t>
      </w:r>
      <w:r>
        <w:rPr>
          <w:rFonts w:ascii="Consolas" w:cs="Consolas" w:eastAsia="Consolas" w:hAnsi="Consolas"/>
          <w:i/>
          <w:iCs/>
          <w:color w:val="5B6F66"/>
          <w:sz w:val="18"/>
          <w:szCs w:val="18"/>
        </w:rPr>
        <w:t xml:space="preserve">docs/SECURITY.md</w:t>
      </w:r>
      <w:r>
        <w:rPr>
          <w:rFonts w:ascii="Calibri" w:cs="Calibri" w:eastAsia="Calibri" w:hAnsi="Calibri"/>
          <w:i/>
          <w:iCs/>
          <w:color w:val="5B6F66"/>
          <w:sz w:val="19"/>
          <w:szCs w:val="19"/>
        </w:rPr>
        <w:t xml:space="preserve">). It states what the software does today. </w:t>
      </w:r>
      <w:r>
        <w:rPr>
          <w:rFonts w:ascii="Calibri" w:cs="Calibri" w:eastAsia="Calibri" w:hAnsi="Calibri"/>
          <w:b/>
          <w:bCs/>
          <w:i/>
          <w:iCs/>
          <w:color w:val="5B6F66"/>
          <w:sz w:val="19"/>
          <w:szCs w:val="19"/>
        </w:rPr>
        <w:t xml:space="preserve">?</w:t>
      </w:r>
      <w:r>
        <w:rPr>
          <w:rFonts w:ascii="Calibri" w:cs="Calibri" w:eastAsia="Calibri" w:hAnsi="Calibri"/>
          <w:i/>
          <w:iCs/>
          <w:color w:val="5B6F66"/>
          <w:sz w:val="19"/>
          <w:szCs w:val="19"/>
        </w:rPr>
        <w:t xml:space="preserve"> marks an assumption or a decision not taken yet. One page, to bring to the advisor; the same text is in </w:t>
      </w:r>
      <w:r>
        <w:rPr>
          <w:rFonts w:ascii="Consolas" w:cs="Consolas" w:eastAsia="Consolas" w:hAnsi="Consolas"/>
          <w:i/>
          <w:iCs/>
          <w:color w:val="5B6F66"/>
          <w:sz w:val="18"/>
          <w:szCs w:val="18"/>
        </w:rPr>
        <w:t xml:space="preserve">docs/LEGAL_FACTS_SHEET.md</w:t>
      </w:r>
      <w:r>
        <w:rPr>
          <w:rFonts w:ascii="Calibri" w:cs="Calibri" w:eastAsia="Calibri" w:hAnsi="Calibri"/>
          <w:i/>
          <w:iCs/>
          <w:color w:val="5B6F66"/>
          <w:sz w:val="19"/>
          <w:szCs w:val="19"/>
        </w:rPr>
        <w:t xml:space="preserve"> and </w:t>
      </w:r>
      <w:r>
        <w:rPr>
          <w:rFonts w:ascii="Consolas" w:cs="Consolas" w:eastAsia="Consolas" w:hAnsi="Consolas"/>
          <w:i/>
          <w:iCs/>
          <w:color w:val="5B6F66"/>
          <w:sz w:val="18"/>
          <w:szCs w:val="18"/>
        </w:rPr>
        <w:t xml:space="preserve">docs/SurveyFlow_Legal_Facts_Sheet.docx</w:t>
      </w:r>
      <w:r>
        <w:rPr>
          <w:rFonts w:ascii="Calibri" w:cs="Calibri" w:eastAsia="Calibri" w:hAnsi="Calibri"/>
          <w:i/>
          <w:iCs/>
          <w:color w:val="5B6F66"/>
          <w:sz w:val="19"/>
          <w:szCs w:val="19"/>
        </w:rPr>
        <w:t xml:space="preserve">.</w:t>
      </w:r>
    </w:p>
    <w:p>
      <w:pPr>
        <w:spacing w:after="50" w:line="228"/>
      </w:pPr>
      <w:r>
        <w:rPr>
          <w:rFonts w:ascii="Calibri" w:cs="Calibri" w:eastAsia="Calibri" w:hAnsi="Calibri"/>
          <w:b/>
          <w:bCs/>
          <w:sz w:val="19"/>
          <w:szCs w:val="19"/>
        </w:rPr>
        <w:t xml:space="preserve">1. The service.</w:t>
      </w:r>
      <w:r>
        <w:rPr>
          <w:rFonts w:ascii="Calibri" w:cs="Calibri" w:eastAsia="Calibri" w:hAnsi="Calibri"/>
          <w:sz w:val="19"/>
          <w:szCs w:val="19"/>
        </w:rPr>
        <w:t xml:space="preserve"> A web application for customers ("owners") in Cameroon first (CFA francs; prices also shown for Nigeria, Kenya, Ghana, South Africa, Uganda, and by card elsewhere). An owner builds a survey and sends it to </w:t>
      </w:r>
      <w:r>
        <w:rPr>
          <w:rFonts w:ascii="Calibri" w:cs="Calibri" w:eastAsia="Calibri" w:hAnsi="Calibri"/>
          <w:b/>
          <w:bCs/>
          <w:sz w:val="19"/>
          <w:szCs w:val="19"/>
        </w:rPr>
        <w:t xml:space="preserve">their own contacts</w:t>
      </w:r>
      <w:r>
        <w:rPr>
          <w:rFonts w:ascii="Calibri" w:cs="Calibri" w:eastAsia="Calibri" w:hAnsi="Calibri"/>
          <w:sz w:val="19"/>
          <w:szCs w:val="19"/>
        </w:rPr>
        <w:t xml:space="preserve"> through Meta's WhatsApp Business Cloud API. Participants answer inside WhatsApp. The owner sees the results, can download them, and can reward participants (airtime, Mobile Money, discount code, prize draw) paid from a </w:t>
      </w:r>
      <w:r>
        <w:rPr>
          <w:rFonts w:ascii="Calibri" w:cs="Calibri" w:eastAsia="Calibri" w:hAnsi="Calibri"/>
          <w:b/>
          <w:bCs/>
          <w:sz w:val="19"/>
          <w:szCs w:val="19"/>
        </w:rPr>
        <w:t xml:space="preserve">prepaid wallet</w:t>
      </w:r>
      <w:r>
        <w:rPr>
          <w:rFonts w:ascii="Calibri" w:cs="Calibri" w:eastAsia="Calibri" w:hAnsi="Calibri"/>
          <w:sz w:val="19"/>
          <w:szCs w:val="19"/>
        </w:rPr>
        <w:t xml:space="preserve"> the owner tops up. Plans: Explore (free), Starter, Growth, Business.</w:t>
      </w:r>
    </w:p>
    <w:p>
      <w:pPr>
        <w:spacing w:after="50" w:line="228"/>
      </w:pPr>
      <w:r>
        <w:rPr>
          <w:rFonts w:ascii="Calibri" w:cs="Calibri" w:eastAsia="Calibri" w:hAnsi="Calibri"/>
          <w:b/>
          <w:bCs/>
          <w:sz w:val="19"/>
          <w:szCs w:val="19"/>
        </w:rPr>
        <w:t xml:space="preserve">2. Roles (to confirm).</w:t>
      </w:r>
      <w:r>
        <w:rPr>
          <w:rFonts w:ascii="Calibri" w:cs="Calibri" w:eastAsia="Calibri" w:hAnsi="Calibri"/>
          <w:sz w:val="19"/>
          <w:szCs w:val="19"/>
        </w:rPr>
        <w:t xml:space="preserve"> Operating entity and registered office: </w:t>
      </w:r>
      <w:r>
        <w:rPr>
          <w:rFonts w:ascii="Calibri" w:cs="Calibri" w:eastAsia="Calibri" w:hAnsi="Calibri"/>
          <w:b/>
          <w:bCs/>
          <w:sz w:val="19"/>
          <w:szCs w:val="19"/>
        </w:rPr>
        <w:t xml:space="preserve">?</w:t>
      </w:r>
      <w:r>
        <w:rPr>
          <w:rFonts w:ascii="Calibri" w:cs="Calibri" w:eastAsia="Calibri" w:hAnsi="Calibri"/>
          <w:sz w:val="19"/>
          <w:szCs w:val="19"/>
        </w:rPr>
        <w:t xml:space="preserve"> (to be stated). Participants' data: the owner decides what to ask and whom to message (controller), SurveyFlow processes it (processor). The owner's own account, billing and security data: SurveyFlow is the controller. No data-processing agreement exists. The privacy and terms pages are drafts, marked as such, never reviewed by counsel.</w:t>
      </w:r>
    </w:p>
    <w:tbl>
      <w:tblPr>
        <w:tblW w:type="dxa" w:w="10658"/>
        <w:tblBorders>
          <w:top w:val="single" w:color="auto" w:sz="4"/>
          <w:left w:val="single" w:color="auto" w:sz="4"/>
          <w:bottom w:val="single" w:color="auto" w:sz="4"/>
          <w:right w:val="single" w:color="auto" w:sz="4"/>
          <w:insideH w:val="single" w:color="auto" w:sz="4"/>
          <w:insideV w:val="single" w:color="auto" w:sz="4"/>
        </w:tblBorders>
      </w:tblPr>
      <w:tblGrid>
        <w:gridCol w:w="1038"/>
        <w:gridCol w:w="3113"/>
        <w:gridCol w:w="3735"/>
        <w:gridCol w:w="2772"/>
      </w:tblGrid>
      <w:tr>
        <w:trPr>
          <w:tblHeader/>
        </w:trPr>
        <w:tc>
          <w:tcPr>
            <w:tcW w:type="dxa" w:w="1038"/>
            <w:tcBorders>
              <w:top w:val="single" w:color="B9C6BE" w:sz="4"/>
              <w:left w:val="single" w:color="B9C6BE" w:sz="4"/>
              <w:bottom w:val="single" w:color="B9C6BE" w:sz="4"/>
              <w:right w:val="single" w:color="B9C6BE" w:sz="4"/>
            </w:tcBorders>
            <w:shd w:fill="0B2B22" w:color="auto" w:val="clear"/>
            <w:tcMar>
              <w:top w:type="dxa" w:w="25"/>
              <w:left w:type="dxa" w:w="70"/>
              <w:bottom w:type="dxa" w:w="25"/>
              <w:right w:type="dxa" w:w="70"/>
            </w:tcMar>
          </w:tcPr>
          <w:p>
            <w:pPr>
              <w:spacing w:after="0" w:line="228"/>
            </w:pPr>
            <w:r>
              <w:rPr>
                <w:rFonts w:ascii="Calibri" w:cs="Calibri" w:eastAsia="Calibri" w:hAnsi="Calibri"/>
                <w:b/>
                <w:bCs/>
                <w:color w:val="FFFFFF"/>
                <w:sz w:val="19"/>
                <w:szCs w:val="19"/>
              </w:rPr>
              <w:t xml:space="preserve">Whose data</w:t>
            </w:r>
          </w:p>
        </w:tc>
        <w:tc>
          <w:tcPr>
            <w:tcW w:type="dxa" w:w="3113"/>
            <w:tcBorders>
              <w:top w:val="single" w:color="B9C6BE" w:sz="4"/>
              <w:left w:val="single" w:color="B9C6BE" w:sz="4"/>
              <w:bottom w:val="single" w:color="B9C6BE" w:sz="4"/>
              <w:right w:val="single" w:color="B9C6BE" w:sz="4"/>
            </w:tcBorders>
            <w:shd w:fill="0B2B22" w:color="auto" w:val="clear"/>
            <w:tcMar>
              <w:top w:type="dxa" w:w="25"/>
              <w:left w:type="dxa" w:w="70"/>
              <w:bottom w:type="dxa" w:w="25"/>
              <w:right w:type="dxa" w:w="70"/>
            </w:tcMar>
          </w:tcPr>
          <w:p>
            <w:pPr>
              <w:spacing w:after="0" w:line="228"/>
            </w:pPr>
            <w:r>
              <w:rPr>
                <w:rFonts w:ascii="Calibri" w:cs="Calibri" w:eastAsia="Calibri" w:hAnsi="Calibri"/>
                <w:b/>
                <w:bCs/>
                <w:color w:val="FFFFFF"/>
                <w:sz w:val="19"/>
                <w:szCs w:val="19"/>
              </w:rPr>
              <w:t xml:space="preserve">What is held</w:t>
            </w:r>
          </w:p>
        </w:tc>
        <w:tc>
          <w:tcPr>
            <w:tcW w:type="dxa" w:w="3735"/>
            <w:tcBorders>
              <w:top w:val="single" w:color="B9C6BE" w:sz="4"/>
              <w:left w:val="single" w:color="B9C6BE" w:sz="4"/>
              <w:bottom w:val="single" w:color="B9C6BE" w:sz="4"/>
              <w:right w:val="single" w:color="B9C6BE" w:sz="4"/>
            </w:tcBorders>
            <w:shd w:fill="0B2B22" w:color="auto" w:val="clear"/>
            <w:tcMar>
              <w:top w:type="dxa" w:w="25"/>
              <w:left w:type="dxa" w:w="70"/>
              <w:bottom w:type="dxa" w:w="25"/>
              <w:right w:type="dxa" w:w="70"/>
            </w:tcMar>
          </w:tcPr>
          <w:p>
            <w:pPr>
              <w:spacing w:after="0" w:line="228"/>
            </w:pPr>
            <w:r>
              <w:rPr>
                <w:rFonts w:ascii="Calibri" w:cs="Calibri" w:eastAsia="Calibri" w:hAnsi="Calibri"/>
                <w:b/>
                <w:bCs/>
                <w:color w:val="FFFFFF"/>
                <w:sz w:val="19"/>
                <w:szCs w:val="19"/>
              </w:rPr>
              <w:t xml:space="preserve">How it is protected</w:t>
            </w:r>
          </w:p>
        </w:tc>
        <w:tc>
          <w:tcPr>
            <w:tcW w:type="dxa" w:w="2772"/>
            <w:tcBorders>
              <w:top w:val="single" w:color="B9C6BE" w:sz="4"/>
              <w:left w:val="single" w:color="B9C6BE" w:sz="4"/>
              <w:bottom w:val="single" w:color="B9C6BE" w:sz="4"/>
              <w:right w:val="single" w:color="B9C6BE" w:sz="4"/>
            </w:tcBorders>
            <w:shd w:fill="0B2B22" w:color="auto" w:val="clear"/>
            <w:tcMar>
              <w:top w:type="dxa" w:w="25"/>
              <w:left w:type="dxa" w:w="70"/>
              <w:bottom w:type="dxa" w:w="25"/>
              <w:right w:type="dxa" w:w="70"/>
            </w:tcMar>
          </w:tcPr>
          <w:p>
            <w:pPr>
              <w:spacing w:after="0" w:line="228"/>
            </w:pPr>
            <w:r>
              <w:rPr>
                <w:rFonts w:ascii="Calibri" w:cs="Calibri" w:eastAsia="Calibri" w:hAnsi="Calibri"/>
                <w:b/>
                <w:bCs/>
                <w:color w:val="FFFFFF"/>
                <w:sz w:val="19"/>
                <w:szCs w:val="19"/>
              </w:rPr>
              <w:t xml:space="preserve">How long</w:t>
            </w:r>
          </w:p>
        </w:tc>
      </w:tr>
      <w:tr>
        <w:trPr>
          <w:cantSplit/>
        </w:trPr>
        <w:tc>
          <w:tcPr>
            <w:tcW w:type="dxa" w:w="1038"/>
            <w:tcBorders>
              <w:top w:val="single" w:color="B9C6BE" w:sz="4"/>
              <w:left w:val="single" w:color="B9C6BE" w:sz="4"/>
              <w:bottom w:val="single" w:color="B9C6BE" w:sz="4"/>
              <w:right w:val="single" w:color="B9C6BE" w:sz="4"/>
            </w:tcBorders>
            <w:shd w:fill="FFFFFF" w:color="auto" w:val="clear"/>
            <w:tcMar>
              <w:top w:type="dxa" w:w="25"/>
              <w:left w:type="dxa" w:w="70"/>
              <w:bottom w:type="dxa" w:w="25"/>
              <w:right w:type="dxa" w:w="70"/>
            </w:tcMar>
          </w:tcPr>
          <w:p>
            <w:pPr>
              <w:spacing w:after="0" w:line="228"/>
            </w:pPr>
            <w:r>
              <w:rPr>
                <w:rFonts w:ascii="Calibri" w:cs="Calibri" w:eastAsia="Calibri" w:hAnsi="Calibri"/>
                <w:b/>
                <w:bCs/>
                <w:sz w:val="19"/>
                <w:szCs w:val="19"/>
              </w:rPr>
              <w:t xml:space="preserve">Owner</w:t>
            </w:r>
          </w:p>
        </w:tc>
        <w:tc>
          <w:tcPr>
            <w:tcW w:type="dxa" w:w="3113"/>
            <w:tcBorders>
              <w:top w:val="single" w:color="B9C6BE" w:sz="4"/>
              <w:left w:val="single" w:color="B9C6BE" w:sz="4"/>
              <w:bottom w:val="single" w:color="B9C6BE" w:sz="4"/>
              <w:right w:val="single" w:color="B9C6BE" w:sz="4"/>
            </w:tcBorders>
            <w:shd w:fill="FFFFFF" w:color="auto" w:val="clear"/>
            <w:tcMar>
              <w:top w:type="dxa" w:w="25"/>
              <w:left w:type="dxa" w:w="70"/>
              <w:bottom w:type="dxa" w:w="25"/>
              <w:right w:type="dxa" w:w="70"/>
            </w:tcMar>
          </w:tcPr>
          <w:p>
            <w:pPr>
              <w:spacing w:after="0" w:line="228"/>
            </w:pPr>
            <w:r>
              <w:rPr>
                <w:rFonts w:ascii="Calibri" w:cs="Calibri" w:eastAsia="Calibri" w:hAnsi="Calibri"/>
                <w:sz w:val="19"/>
                <w:szCs w:val="19"/>
              </w:rPr>
              <w:t xml:space="preserve">Name, business, e-mail, phone, country, plan; payments (provider, amount, payer's Mobile Money number); WhatsApp and Google access tokens; sign-in history (browser label, first three groups of the IP address, country)</w:t>
            </w:r>
          </w:p>
        </w:tc>
        <w:tc>
          <w:tcPr>
            <w:tcW w:type="dxa" w:w="3735"/>
            <w:tcBorders>
              <w:top w:val="single" w:color="B9C6BE" w:sz="4"/>
              <w:left w:val="single" w:color="B9C6BE" w:sz="4"/>
              <w:bottom w:val="single" w:color="B9C6BE" w:sz="4"/>
              <w:right w:val="single" w:color="B9C6BE" w:sz="4"/>
            </w:tcBorders>
            <w:shd w:fill="FFFFFF" w:color="auto" w:val="clear"/>
            <w:tcMar>
              <w:top w:type="dxa" w:w="25"/>
              <w:left w:type="dxa" w:w="70"/>
              <w:bottom w:type="dxa" w:w="25"/>
              <w:right w:type="dxa" w:w="70"/>
            </w:tcMar>
          </w:tcPr>
          <w:p>
            <w:pPr>
              <w:spacing w:after="0" w:line="228"/>
            </w:pPr>
            <w:r>
              <w:rPr>
                <w:rFonts w:ascii="Calibri" w:cs="Calibri" w:eastAsia="Calibri" w:hAnsi="Calibri"/>
                <w:sz w:val="19"/>
                <w:szCs w:val="19"/>
              </w:rPr>
              <w:t xml:space="preserve">Password: argon2id hash. Tokens and the authenticator secret: AES-256-GCM. Sign-in and security events: append-only log (ids and counts, no numbers or names)</w:t>
            </w:r>
          </w:p>
        </w:tc>
        <w:tc>
          <w:tcPr>
            <w:tcW w:type="dxa" w:w="2772"/>
            <w:tcBorders>
              <w:top w:val="single" w:color="B9C6BE" w:sz="4"/>
              <w:left w:val="single" w:color="B9C6BE" w:sz="4"/>
              <w:bottom w:val="single" w:color="B9C6BE" w:sz="4"/>
              <w:right w:val="single" w:color="B9C6BE" w:sz="4"/>
            </w:tcBorders>
            <w:shd w:fill="FFFFFF" w:color="auto" w:val="clear"/>
            <w:tcMar>
              <w:top w:type="dxa" w:w="25"/>
              <w:left w:type="dxa" w:w="70"/>
              <w:bottom w:type="dxa" w:w="25"/>
              <w:right w:type="dxa" w:w="70"/>
            </w:tcMar>
          </w:tcPr>
          <w:p>
            <w:pPr>
              <w:spacing w:after="0" w:line="228"/>
            </w:pPr>
            <w:r>
              <w:rPr>
                <w:rFonts w:ascii="Calibri" w:cs="Calibri" w:eastAsia="Calibri" w:hAnsi="Calibri"/>
                <w:sz w:val="19"/>
                <w:szCs w:val="19"/>
              </w:rPr>
              <w:t xml:space="preserve">Account life. Ended sessions 30 days. Security log 400 days. Never-confirmed accounts deleted after 24 h</w:t>
            </w:r>
          </w:p>
        </w:tc>
      </w:tr>
      <w:tr>
        <w:trPr>
          <w:cantSplit/>
        </w:trPr>
        <w:tc>
          <w:tcPr>
            <w:tcW w:type="dxa" w:w="1038"/>
            <w:tcBorders>
              <w:top w:val="single" w:color="B9C6BE" w:sz="4"/>
              <w:left w:val="single" w:color="B9C6BE" w:sz="4"/>
              <w:bottom w:val="single" w:color="B9C6BE" w:sz="4"/>
              <w:right w:val="single" w:color="B9C6BE" w:sz="4"/>
            </w:tcBorders>
            <w:shd w:fill="F3F6F4" w:color="auto" w:val="clear"/>
            <w:tcMar>
              <w:top w:type="dxa" w:w="25"/>
              <w:left w:type="dxa" w:w="70"/>
              <w:bottom w:type="dxa" w:w="25"/>
              <w:right w:type="dxa" w:w="70"/>
            </w:tcMar>
          </w:tcPr>
          <w:p>
            <w:pPr>
              <w:spacing w:after="0" w:line="228"/>
            </w:pPr>
            <w:r>
              <w:rPr>
                <w:rFonts w:ascii="Calibri" w:cs="Calibri" w:eastAsia="Calibri" w:hAnsi="Calibri"/>
                <w:b/>
                <w:bCs/>
                <w:sz w:val="19"/>
                <w:szCs w:val="19"/>
              </w:rPr>
              <w:t xml:space="preserve">Participant</w:t>
            </w:r>
            <w:r>
              <w:rPr>
                <w:rFonts w:ascii="Calibri" w:cs="Calibri" w:eastAsia="Calibri" w:hAnsi="Calibri"/>
                <w:sz w:val="19"/>
                <w:szCs w:val="19"/>
              </w:rPr>
              <w:t xml:space="preserve"> (supplied by the owner)</w:t>
            </w:r>
          </w:p>
        </w:tc>
        <w:tc>
          <w:tcPr>
            <w:tcW w:type="dxa" w:w="3113"/>
            <w:tcBorders>
              <w:top w:val="single" w:color="B9C6BE" w:sz="4"/>
              <w:left w:val="single" w:color="B9C6BE" w:sz="4"/>
              <w:bottom w:val="single" w:color="B9C6BE" w:sz="4"/>
              <w:right w:val="single" w:color="B9C6BE" w:sz="4"/>
            </w:tcBorders>
            <w:shd w:fill="F3F6F4" w:color="auto" w:val="clear"/>
            <w:tcMar>
              <w:top w:type="dxa" w:w="25"/>
              <w:left w:type="dxa" w:w="70"/>
              <w:bottom w:type="dxa" w:w="25"/>
              <w:right w:type="dxa" w:w="70"/>
            </w:tcMar>
          </w:tcPr>
          <w:p>
            <w:pPr>
              <w:spacing w:after="0" w:line="228"/>
            </w:pPr>
            <w:r>
              <w:rPr>
                <w:rFonts w:ascii="Calibri" w:cs="Calibri" w:eastAsia="Calibri" w:hAnsi="Calibri"/>
                <w:sz w:val="19"/>
                <w:szCs w:val="19"/>
              </w:rPr>
              <w:t xml:space="preserve">Name, WhatsApp number, tags, consent tick with time and source, STOP flag, </w:t>
            </w:r>
            <w:r>
              <w:rPr>
                <w:rFonts w:ascii="Calibri" w:cs="Calibri" w:eastAsia="Calibri" w:hAnsi="Calibri"/>
                <w:b/>
                <w:bCs/>
                <w:sz w:val="19"/>
                <w:szCs w:val="19"/>
              </w:rPr>
              <w:t xml:space="preserve">answers (free text)</w:t>
            </w:r>
            <w:r>
              <w:rPr>
                <w:rFonts w:ascii="Calibri" w:cs="Calibri" w:eastAsia="Calibri" w:hAnsi="Calibri"/>
                <w:sz w:val="19"/>
                <w:szCs w:val="19"/>
              </w:rPr>
              <w:t xml:space="preserve">, delivery and gift status</w:t>
            </w:r>
          </w:p>
        </w:tc>
        <w:tc>
          <w:tcPr>
            <w:tcW w:type="dxa" w:w="3735"/>
            <w:tcBorders>
              <w:top w:val="single" w:color="B9C6BE" w:sz="4"/>
              <w:left w:val="single" w:color="B9C6BE" w:sz="4"/>
              <w:bottom w:val="single" w:color="B9C6BE" w:sz="4"/>
              <w:right w:val="single" w:color="B9C6BE" w:sz="4"/>
            </w:tcBorders>
            <w:shd w:fill="F3F6F4" w:color="auto" w:val="clear"/>
            <w:tcMar>
              <w:top w:type="dxa" w:w="25"/>
              <w:left w:type="dxa" w:w="70"/>
              <w:bottom w:type="dxa" w:w="25"/>
              <w:right w:type="dxa" w:w="70"/>
            </w:tcMar>
          </w:tcPr>
          <w:p>
            <w:pPr>
              <w:spacing w:after="0" w:line="228"/>
            </w:pPr>
            <w:r>
              <w:rPr>
                <w:rFonts w:ascii="Calibri" w:cs="Calibri" w:eastAsia="Calibri" w:hAnsi="Calibri"/>
                <w:sz w:val="19"/>
                <w:szCs w:val="19"/>
              </w:rPr>
              <w:t xml:space="preserve">Name and number AES-256-GCM encrypted in the database and masked on screen (showing one is limited and logged). </w:t>
            </w:r>
            <w:r>
              <w:rPr>
                <w:rFonts w:ascii="Calibri" w:cs="Calibri" w:eastAsia="Calibri" w:hAnsi="Calibri"/>
                <w:b/>
                <w:bCs/>
                <w:sz w:val="19"/>
                <w:szCs w:val="19"/>
              </w:rPr>
              <w:t xml:space="preserve">Answers are stored unencrypted.</w:t>
            </w:r>
            <w:r>
              <w:rPr>
                <w:rFonts w:ascii="Calibri" w:cs="Calibri" w:eastAsia="Calibri" w:hAnsi="Calibri"/>
                <w:sz w:val="19"/>
                <w:szCs w:val="19"/>
              </w:rPr>
              <w:t xml:space="preserve"> Isolated per owner (tested on every route)</w:t>
            </w:r>
          </w:p>
        </w:tc>
        <w:tc>
          <w:tcPr>
            <w:tcW w:type="dxa" w:w="2772"/>
            <w:tcBorders>
              <w:top w:val="single" w:color="B9C6BE" w:sz="4"/>
              <w:left w:val="single" w:color="B9C6BE" w:sz="4"/>
              <w:bottom w:val="single" w:color="B9C6BE" w:sz="4"/>
              <w:right w:val="single" w:color="B9C6BE" w:sz="4"/>
            </w:tcBorders>
            <w:shd w:fill="F3F6F4" w:color="auto" w:val="clear"/>
            <w:tcMar>
              <w:top w:type="dxa" w:w="25"/>
              <w:left w:type="dxa" w:w="70"/>
              <w:bottom w:type="dxa" w:w="25"/>
              <w:right w:type="dxa" w:w="70"/>
            </w:tcMar>
          </w:tcPr>
          <w:p>
            <w:pPr>
              <w:spacing w:after="0" w:line="228"/>
            </w:pPr>
            <w:r>
              <w:rPr>
                <w:rFonts w:ascii="Calibri" w:cs="Calibri" w:eastAsia="Calibri" w:hAnsi="Calibri"/>
                <w:sz w:val="19"/>
                <w:szCs w:val="19"/>
              </w:rPr>
              <w:t xml:space="preserve">Until the owner deletes them. </w:t>
            </w:r>
            <w:r>
              <w:rPr>
                <w:rFonts w:ascii="Calibri" w:cs="Calibri" w:eastAsia="Calibri" w:hAnsi="Calibri"/>
                <w:b/>
                <w:bCs/>
                <w:sz w:val="19"/>
                <w:szCs w:val="19"/>
              </w:rPr>
              <w:t xml:space="preserve">No self-service account deletion or export yet</w:t>
            </w:r>
          </w:p>
        </w:tc>
      </w:tr>
      <w:tr>
        <w:trPr>
          <w:cantSplit/>
        </w:trPr>
        <w:tc>
          <w:tcPr>
            <w:tcW w:type="dxa" w:w="1038"/>
            <w:tcBorders>
              <w:top w:val="single" w:color="B9C6BE" w:sz="4"/>
              <w:left w:val="single" w:color="B9C6BE" w:sz="4"/>
              <w:bottom w:val="single" w:color="B9C6BE" w:sz="4"/>
              <w:right w:val="single" w:color="B9C6BE" w:sz="4"/>
            </w:tcBorders>
            <w:shd w:fill="FFFFFF" w:color="auto" w:val="clear"/>
            <w:tcMar>
              <w:top w:type="dxa" w:w="25"/>
              <w:left w:type="dxa" w:w="70"/>
              <w:bottom w:type="dxa" w:w="25"/>
              <w:right w:type="dxa" w:w="70"/>
            </w:tcMar>
          </w:tcPr>
          <w:p>
            <w:pPr>
              <w:spacing w:after="0" w:line="228"/>
            </w:pPr>
            <w:r>
              <w:rPr>
                <w:rFonts w:ascii="Calibri" w:cs="Calibri" w:eastAsia="Calibri" w:hAnsi="Calibri"/>
                <w:b/>
                <w:bCs/>
                <w:sz w:val="19"/>
                <w:szCs w:val="19"/>
              </w:rPr>
              <w:t xml:space="preserve">Visitor</w:t>
            </w:r>
          </w:p>
        </w:tc>
        <w:tc>
          <w:tcPr>
            <w:tcW w:type="dxa" w:w="3113"/>
            <w:tcBorders>
              <w:top w:val="single" w:color="B9C6BE" w:sz="4"/>
              <w:left w:val="single" w:color="B9C6BE" w:sz="4"/>
              <w:bottom w:val="single" w:color="B9C6BE" w:sz="4"/>
              <w:right w:val="single" w:color="B9C6BE" w:sz="4"/>
            </w:tcBorders>
            <w:shd w:fill="FFFFFF" w:color="auto" w:val="clear"/>
            <w:tcMar>
              <w:top w:type="dxa" w:w="25"/>
              <w:left w:type="dxa" w:w="70"/>
              <w:bottom w:type="dxa" w:w="25"/>
              <w:right w:type="dxa" w:w="70"/>
            </w:tcMar>
          </w:tcPr>
          <w:p>
            <w:pPr>
              <w:spacing w:after="0" w:line="228"/>
            </w:pPr>
            <w:r>
              <w:rPr>
                <w:rFonts w:ascii="Calibri" w:cs="Calibri" w:eastAsia="Calibri" w:hAnsi="Calibri"/>
                <w:sz w:val="19"/>
                <w:szCs w:val="19"/>
              </w:rPr>
              <w:t xml:space="preserve">Session and language cookies; CAPTCHA signals at sign-up and after failed sign-ins</w:t>
            </w:r>
          </w:p>
        </w:tc>
        <w:tc>
          <w:tcPr>
            <w:tcW w:type="dxa" w:w="3735"/>
            <w:tcBorders>
              <w:top w:val="single" w:color="B9C6BE" w:sz="4"/>
              <w:left w:val="single" w:color="B9C6BE" w:sz="4"/>
              <w:bottom w:val="single" w:color="B9C6BE" w:sz="4"/>
              <w:right w:val="single" w:color="B9C6BE" w:sz="4"/>
            </w:tcBorders>
            <w:shd w:fill="FFFFFF" w:color="auto" w:val="clear"/>
            <w:tcMar>
              <w:top w:type="dxa" w:w="25"/>
              <w:left w:type="dxa" w:w="70"/>
              <w:bottom w:type="dxa" w:w="25"/>
              <w:right w:type="dxa" w:w="70"/>
            </w:tcMar>
          </w:tcPr>
          <w:p>
            <w:pPr>
              <w:spacing w:after="0" w:line="228"/>
            </w:pPr>
            <w:r>
              <w:rPr>
                <w:rFonts w:ascii="Calibri" w:cs="Calibri" w:eastAsia="Calibri" w:hAnsi="Calibri"/>
                <w:sz w:val="19"/>
                <w:szCs w:val="19"/>
              </w:rPr>
              <w:t xml:space="preserve">Session cookie httpOnly</w:t>
            </w:r>
          </w:p>
        </w:tc>
        <w:tc>
          <w:tcPr>
            <w:tcW w:type="dxa" w:w="2772"/>
            <w:tcBorders>
              <w:top w:val="single" w:color="B9C6BE" w:sz="4"/>
              <w:left w:val="single" w:color="B9C6BE" w:sz="4"/>
              <w:bottom w:val="single" w:color="B9C6BE" w:sz="4"/>
              <w:right w:val="single" w:color="B9C6BE" w:sz="4"/>
            </w:tcBorders>
            <w:shd w:fill="FFFFFF" w:color="auto" w:val="clear"/>
            <w:tcMar>
              <w:top w:type="dxa" w:w="25"/>
              <w:left w:type="dxa" w:w="70"/>
              <w:bottom w:type="dxa" w:w="25"/>
              <w:right w:type="dxa" w:w="70"/>
            </w:tcMar>
          </w:tcPr>
          <w:p>
            <w:pPr>
              <w:spacing w:after="0" w:line="228"/>
            </w:pPr>
            <w:r>
              <w:rPr>
                <w:rFonts w:ascii="Calibri" w:cs="Calibri" w:eastAsia="Calibri" w:hAnsi="Calibri"/>
                <w:sz w:val="19"/>
                <w:szCs w:val="19"/>
              </w:rPr>
              <w:t xml:space="preserve">Session</w:t>
            </w:r>
          </w:p>
        </w:tc>
      </w:tr>
    </w:tbl>
    <w:p>
      <w:pPr>
        <w:spacing w:after="40"/>
      </w:pPr>
    </w:p>
    <w:p>
      <w:pPr>
        <w:spacing w:after="50" w:line="228"/>
      </w:pPr>
      <w:r>
        <w:rPr>
          <w:rFonts w:ascii="Calibri" w:cs="Calibri" w:eastAsia="Calibri" w:hAnsi="Calibri"/>
          <w:b/>
          <w:bCs/>
          <w:sz w:val="19"/>
          <w:szCs w:val="19"/>
        </w:rPr>
        <w:t xml:space="preserve">3. Who else receives data.</w:t>
      </w:r>
      <w:r>
        <w:rPr>
          <w:rFonts w:ascii="Calibri" w:cs="Calibri" w:eastAsia="Calibri" w:hAnsi="Calibri"/>
          <w:sz w:val="19"/>
          <w:szCs w:val="19"/>
        </w:rPr>
        <w:t xml:space="preserve"> Meta (participant numbers and message text). Payment providers (Notch Pay, CinetPay, Campay, PayUnit, Flutterwave, CamerPay: the owner's payer number and amounts; Campay also pays gifts to participants' numbers). Google (only if the owner signs in with Google or connects Sheets). Cloudflare (Turnstile CAPTCHA). haveibeenpwned.com (the first 5 characters of a new password's SHA-1 hash, nothing else). An e-mail provider for confirmation and security mails (</w:t>
      </w:r>
      <w:r>
        <w:rPr>
          <w:rFonts w:ascii="Calibri" w:cs="Calibri" w:eastAsia="Calibri" w:hAnsi="Calibri"/>
          <w:b/>
          <w:bCs/>
          <w:sz w:val="19"/>
          <w:szCs w:val="19"/>
        </w:rPr>
        <w:t xml:space="preserve">?</w:t>
      </w:r>
      <w:r>
        <w:rPr>
          <w:rFonts w:ascii="Calibri" w:cs="Calibri" w:eastAsia="Calibri" w:hAnsi="Calibri"/>
          <w:sz w:val="19"/>
          <w:szCs w:val="19"/>
        </w:rPr>
        <w:t xml:space="preserve"> not chosen). Hosting and database provider (</w:t>
      </w:r>
      <w:r>
        <w:rPr>
          <w:rFonts w:ascii="Calibri" w:cs="Calibri" w:eastAsia="Calibri" w:hAnsi="Calibri"/>
          <w:b/>
          <w:bCs/>
          <w:sz w:val="19"/>
          <w:szCs w:val="19"/>
        </w:rPr>
        <w:t xml:space="preserve">?</w:t>
      </w:r>
      <w:r>
        <w:rPr>
          <w:rFonts w:ascii="Calibri" w:cs="Calibri" w:eastAsia="Calibri" w:hAnsi="Calibri"/>
          <w:sz w:val="19"/>
          <w:szCs w:val="19"/>
        </w:rPr>
        <w:t xml:space="preserve"> not chosen, so the country of storage is unknown and cross-border transfer is likely). Staff access today: database access by the operator; there is no admin console or role system yet.</w:t>
      </w:r>
    </w:p>
    <w:p>
      <w:pPr>
        <w:spacing w:after="50" w:line="228"/>
      </w:pPr>
      <w:r>
        <w:rPr>
          <w:rFonts w:ascii="Calibri" w:cs="Calibri" w:eastAsia="Calibri" w:hAnsi="Calibri"/>
          <w:b/>
          <w:bCs/>
          <w:sz w:val="19"/>
          <w:szCs w:val="19"/>
        </w:rPr>
        <w:t xml:space="preserve">4. Consent.</w:t>
      </w:r>
      <w:r>
        <w:rPr>
          <w:rFonts w:ascii="Calibri" w:cs="Calibri" w:eastAsia="Calibri" w:hAnsi="Calibri"/>
          <w:sz w:val="19"/>
          <w:szCs w:val="19"/>
        </w:rPr>
        <w:t xml:space="preserve"> SurveyFlow does not verify it. The owner ticks "my contacts agreed to receive WhatsApp messages from me" (manual entry or CSV import); the tick is stored with a time and a source. Every invitation offers "Not now", and STOP is honoured for good. Business-initiated messages use Meta-approved templates (reminders are treated as marketing).</w:t>
      </w:r>
    </w:p>
    <w:p>
      <w:pPr>
        <w:spacing w:after="50" w:line="228"/>
      </w:pPr>
      <w:r>
        <w:rPr>
          <w:rFonts w:ascii="Calibri" w:cs="Calibri" w:eastAsia="Calibri" w:hAnsi="Calibri"/>
          <w:b/>
          <w:bCs/>
          <w:sz w:val="19"/>
          <w:szCs w:val="19"/>
        </w:rPr>
        <w:t xml:space="preserve">5. Money.</w:t>
      </w:r>
      <w:r>
        <w:rPr>
          <w:rFonts w:ascii="Calibri" w:cs="Calibri" w:eastAsia="Calibri" w:hAnsi="Calibri"/>
          <w:sz w:val="19"/>
          <w:szCs w:val="19"/>
        </w:rPr>
        <w:t xml:space="preserve"> Subscriptions are paid in advance through the providers (no card data stored); unused time is not refunded. Gift wallet: the owner tops up, each gift debits its amount plus a </w:t>
      </w:r>
      <w:r>
        <w:rPr>
          <w:rFonts w:ascii="Calibri" w:cs="Calibri" w:eastAsia="Calibri" w:hAnsi="Calibri"/>
          <w:b/>
          <w:bCs/>
          <w:sz w:val="19"/>
          <w:szCs w:val="19"/>
        </w:rPr>
        <w:t xml:space="preserve">placeholder 5 % fee</w:t>
      </w:r>
      <w:r>
        <w:rPr>
          <w:rFonts w:ascii="Calibri" w:cs="Calibri" w:eastAsia="Calibri" w:hAnsi="Calibri"/>
          <w:sz w:val="19"/>
          <w:szCs w:val="19"/>
        </w:rPr>
        <w:t xml:space="preserve"> (real tariffs </w:t>
      </w:r>
      <w:r>
        <w:rPr>
          <w:rFonts w:ascii="Calibri" w:cs="Calibri" w:eastAsia="Calibri" w:hAnsi="Calibri"/>
          <w:b/>
          <w:bCs/>
          <w:sz w:val="19"/>
          <w:szCs w:val="19"/>
        </w:rPr>
        <w:t xml:space="preserve">?</w:t>
      </w:r>
      <w:r>
        <w:rPr>
          <w:rFonts w:ascii="Calibri" w:cs="Calibri" w:eastAsia="Calibri" w:hAnsi="Calibri"/>
          <w:sz w:val="19"/>
          <w:szCs w:val="19"/>
        </w:rPr>
        <w:t xml:space="preserve"> pending), paid out through Campay. </w:t>
      </w:r>
      <w:r>
        <w:rPr>
          <w:rFonts w:ascii="Calibri" w:cs="Calibri" w:eastAsia="Calibri" w:hAnsi="Calibri"/>
          <w:b/>
          <w:bCs/>
          <w:sz w:val="19"/>
          <w:szCs w:val="19"/>
        </w:rPr>
        <w:t xml:space="preserve">The balance cannot be withdrawn and no refund rule is decided.</w:t>
      </w:r>
    </w:p>
    <w:p>
      <w:pPr>
        <w:spacing w:after="50" w:line="228"/>
      </w:pPr>
      <w:r>
        <w:rPr>
          <w:rFonts w:ascii="Calibri" w:cs="Calibri" w:eastAsia="Calibri" w:hAnsi="Calibri"/>
          <w:b/>
          <w:bCs/>
          <w:sz w:val="19"/>
          <w:szCs w:val="19"/>
        </w:rPr>
        <w:t xml:space="preserve">6. Not in place yet.</w:t>
      </w:r>
      <w:r>
        <w:rPr>
          <w:rFonts w:ascii="Calibri" w:cs="Calibri" w:eastAsia="Calibri" w:hAnsi="Calibri"/>
          <w:sz w:val="19"/>
          <w:szCs w:val="19"/>
        </w:rPr>
        <w:t xml:space="preserve"> Account deletion and data export; retention rules beyond the table; encrypted disks and backups (depends on hosting); a breach-notification procedure; the final privacy policy, terms and data-processing agreement; any test against the real Meta, payment-provider and e-mail services.</w:t>
      </w:r>
    </w:p>
    <w:p>
      <w:pPr>
        <w:spacing w:after="50" w:line="228"/>
      </w:pPr>
      <w:r>
        <w:rPr>
          <w:rFonts w:ascii="Calibri" w:cs="Calibri" w:eastAsia="Calibri" w:hAnsi="Calibri"/>
          <w:b/>
          <w:bCs/>
          <w:sz w:val="19"/>
          <w:szCs w:val="19"/>
        </w:rPr>
        <w:t xml:space="preserve">7. Questions for counsel.</w:t>
      </w:r>
    </w:p>
    <w:p>
      <w:pPr>
        <w:pStyle w:val="ListParagraph"/>
        <w:numPr>
          <w:ilvl w:val="0"/>
          <w:numId w:val="2"/>
        </w:numPr>
        <w:spacing w:after="10" w:line="228"/>
      </w:pPr>
      <w:r>
        <w:rPr>
          <w:rFonts w:ascii="Calibri" w:cs="Calibri" w:eastAsia="Calibri" w:hAnsi="Calibri"/>
          <w:sz w:val="19"/>
          <w:szCs w:val="19"/>
        </w:rPr>
        <w:t xml:space="preserve">Role split; the data-processing agreement; the legal basis for transfers to Meta, the providers and the host.</w:t>
      </w:r>
    </w:p>
    <w:p>
      <w:pPr>
        <w:pStyle w:val="ListParagraph"/>
        <w:numPr>
          <w:ilvl w:val="0"/>
          <w:numId w:val="2"/>
        </w:numPr>
        <w:spacing w:after="10" w:line="228"/>
      </w:pPr>
      <w:r>
        <w:rPr>
          <w:rFonts w:ascii="Calibri" w:cs="Calibri" w:eastAsia="Calibri" w:hAnsi="Calibri"/>
          <w:sz w:val="19"/>
          <w:szCs w:val="19"/>
        </w:rPr>
        <w:t xml:space="preserve">Cameroon's personal-data law (our draft cites Law No. 2024/017; status, registration and DPO duties?), Nigeria (NDPA 2023), Kenya (DPA 2019), Ghana (DPA 2012), Côte d'Ivoire (2013), GDPR when EU contacts appear: which apply and what must exist before launch.</w:t>
      </w:r>
    </w:p>
    <w:p>
      <w:pPr>
        <w:pStyle w:val="ListParagraph"/>
        <w:numPr>
          <w:ilvl w:val="0"/>
          <w:numId w:val="2"/>
        </w:numPr>
        <w:spacing w:after="10" w:line="228"/>
      </w:pPr>
      <w:r>
        <w:rPr>
          <w:rFonts w:ascii="Calibri" w:cs="Calibri" w:eastAsia="Calibri" w:hAnsi="Calibri"/>
          <w:sz w:val="19"/>
          <w:szCs w:val="19"/>
        </w:rPr>
        <w:t xml:space="preserve">The consent-responsibility clause; participants under 18; sensitive subjects (health, politics).</w:t>
      </w:r>
    </w:p>
    <w:p>
      <w:pPr>
        <w:pStyle w:val="ListParagraph"/>
        <w:numPr>
          <w:ilvl w:val="0"/>
          <w:numId w:val="2"/>
        </w:numPr>
        <w:spacing w:after="10" w:line="228"/>
      </w:pPr>
      <w:r>
        <w:rPr>
          <w:rFonts w:ascii="Calibri" w:cs="Calibri" w:eastAsia="Calibri" w:hAnsi="Calibri"/>
          <w:sz w:val="19"/>
          <w:szCs w:val="19"/>
        </w:rPr>
        <w:t xml:space="preserve">Is the prepaid wallet e-money or a regulated payment service (BEAC/COBAC and the other markets)? Unspent-balance and refund rules; VAT or other tax on subscriptions and gifts.</w:t>
      </w:r>
    </w:p>
    <w:p>
      <w:pPr>
        <w:pStyle w:val="ListParagraph"/>
        <w:numPr>
          <w:ilvl w:val="0"/>
          <w:numId w:val="2"/>
        </w:numPr>
        <w:spacing w:after="10" w:line="228"/>
      </w:pPr>
      <w:r>
        <w:rPr>
          <w:rFonts w:ascii="Calibri" w:cs="Calibri" w:eastAsia="Calibri" w:hAnsi="Calibri"/>
          <w:sz w:val="19"/>
          <w:szCs w:val="19"/>
        </w:rPr>
        <w:t xml:space="preserve">Prize draws and rewards: lottery and promotion rules per country.</w:t>
      </w:r>
    </w:p>
    <w:p>
      <w:pPr>
        <w:pStyle w:val="ListParagraph"/>
        <w:numPr>
          <w:ilvl w:val="0"/>
          <w:numId w:val="2"/>
        </w:numPr>
        <w:spacing w:after="10" w:line="228"/>
      </w:pPr>
      <w:r>
        <w:rPr>
          <w:rFonts w:ascii="Calibri" w:cs="Calibri" w:eastAsia="Calibri" w:hAnsi="Calibri"/>
          <w:sz w:val="19"/>
          <w:szCs w:val="19"/>
        </w:rPr>
        <w:t xml:space="preserve">Retention periods the law requires or forbids; erasure on request; breach notification (who, how fast).</w:t>
      </w:r>
    </w:p>
    <w:p>
      <w:pPr>
        <w:pStyle w:val="ListParagraph"/>
        <w:numPr>
          <w:ilvl w:val="0"/>
          <w:numId w:val="2"/>
        </w:numPr>
        <w:spacing w:after="10" w:line="228"/>
      </w:pPr>
      <w:r>
        <w:rPr>
          <w:rFonts w:ascii="Calibri" w:cs="Calibri" w:eastAsia="Calibri" w:hAnsi="Calibri"/>
          <w:sz w:val="19"/>
          <w:szCs w:val="19"/>
        </w:rPr>
        <w:t xml:space="preserve">Liability limits, availability wording, suspension, governing law and courts; Meta's and Google's platform terms.</w:t>
      </w:r>
    </w:p>
    <w:sectPr>
      <w:pgSz w:w="11906" w:h="16838" w:orient="portrait"/>
      <w:pgMar w:top="624" w:right="624" w:bottom="624" w:left="6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SurveyFlow V1 — facts sheet for legal review</dc:title>
  <dc:creator>SurveyFlow</dc:creator>
  <cp:lastModifiedBy>Un-named</cp:lastModifiedBy>
  <cp:revision>1</cp:revision>
  <dcterms:created xsi:type="dcterms:W3CDTF">2026-10-28T05:48:19.848Z</dcterms:created>
  <dcterms:modified xsi:type="dcterms:W3CDTF">2026-10-28T05:48:19.848Z</dcterms:modified>
</cp:coreProperties>
</file>

<file path=docProps/custom.xml><?xml version="1.0" encoding="utf-8"?>
<Properties xmlns="http://schemas.openxmlformats.org/officeDocument/2006/custom-properties" xmlns:vt="http://schemas.openxmlformats.org/officeDocument/2006/docPropsVTypes"/>
</file>