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33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Medidas de neumáticos y llantas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Tipo de acción</w:t>
            </w:r>
          </w:p>
        </w:tc>
        <w:tc>
          <w:p>
            <w:r>
              <w:rPr>
                <w:sz w:val="22"/>
                <w:szCs w:val="22"/>
              </w:rPr>
              <w:t xml:space="preserve">Instalacion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Marca separadores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Referencia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Grosor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9d004a5f03dcb4a396fc4ac74a4a9e5a46e22905.jpg"/><Relationship Id="rId8" Type="http://schemas.openxmlformats.org/officeDocument/2006/relationships/image" Target="media/d9109806f82121a56548902ce3b2336ad9cfcdc2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2025-10-14T06:12:30.547Z</dcterms:created>
  <dcterms:modified xsi:type="dcterms:W3CDTF">2025-10-14T06:12:30.547Z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