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arabank-testing-delivery-form"/>
    <w:p>
      <w:pPr>
        <w:pStyle w:val="Heading1"/>
      </w:pPr>
      <w:r>
        <w:t xml:space="preserve">PARABANK – TESTING DELIVERY FORM</w:t>
      </w:r>
    </w:p>
    <w:bookmarkStart w:id="20" w:name="project-delivery-details"/>
    <w:p>
      <w:pPr>
        <w:pStyle w:val="Heading2"/>
      </w:pPr>
      <w:r>
        <w:t xml:space="preserve">1. Project &amp; Delivery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ParaBank Online Banking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/ Release Version</w:t>
            </w:r>
          </w:p>
        </w:tc>
        <w:tc>
          <w:tcPr/>
          <w:p>
            <w:pPr>
              <w:pStyle w:val="Compact"/>
            </w:pPr>
            <w:r>
              <w:t xml:space="preserve">Release 2.5.0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Submission</w:t>
            </w:r>
          </w:p>
        </w:tc>
        <w:tc>
          <w:tcPr/>
          <w:p>
            <w:pPr>
              <w:pStyle w:val="Compact"/>
            </w:pPr>
            <w:r>
              <w:t xml:space="preserve">18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Requestor / Product Owner</w:t>
            </w:r>
          </w:p>
        </w:tc>
        <w:tc>
          <w:tcPr/>
          <w:p>
            <w:pPr>
              <w:pStyle w:val="Compact"/>
            </w:pPr>
            <w:r>
              <w:t xml:space="preserve">Product Management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Environment URL</w:t>
            </w:r>
          </w:p>
        </w:tc>
        <w:tc>
          <w:tcPr/>
          <w:p>
            <w:pPr>
              <w:pStyle w:val="Compact"/>
            </w:pPr>
            <w:r>
              <w:t xml:space="preserve">https://parabank.parasoft.com/parabank/index.htm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 Link</w:t>
            </w:r>
          </w:p>
        </w:tc>
        <w:tc>
          <w:tcPr/>
          <w:p>
            <w:pPr>
              <w:pStyle w:val="Compact"/>
            </w:pPr>
            <w:r>
              <w:t xml:space="preserve">[To be provided by Release Manager]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Manager</w:t>
            </w:r>
          </w:p>
        </w:tc>
        <w:tc>
          <w:tcPr/>
          <w:p>
            <w:pPr>
              <w:pStyle w:val="Compact"/>
            </w:pPr>
            <w:r>
              <w:t xml:space="preserve">QA Team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Type</w:t>
            </w:r>
          </w:p>
        </w:tc>
        <w:tc>
          <w:tcPr/>
          <w:p>
            <w:pPr>
              <w:pStyle w:val="Compact"/>
            </w:pPr>
            <w:r>
              <w:t xml:space="preserve">Functional Testing / Regression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Window</w:t>
            </w:r>
          </w:p>
        </w:tc>
        <w:tc>
          <w:tcPr/>
          <w:p>
            <w:pPr>
              <w:pStyle w:val="Compact"/>
            </w:pPr>
            <w:r>
              <w:t xml:space="preserve">Sprint Release – June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testing-scope-requirements"/>
    <w:p>
      <w:pPr>
        <w:pStyle w:val="Heading2"/>
      </w:pPr>
      <w:r>
        <w:t xml:space="preserve">2. Testing Scope &amp; Requirements</w:t>
      </w:r>
    </w:p>
    <w:bookmarkStart w:id="21" w:name="in-scope-features"/>
    <w:p>
      <w:pPr>
        <w:pStyle w:val="Heading3"/>
      </w:pPr>
      <w:r>
        <w:t xml:space="preserve">In-Scope Features</w:t>
      </w:r>
    </w:p>
    <w:p>
      <w:pPr>
        <w:pStyle w:val="FirstParagraph"/>
      </w:pPr>
      <w:r>
        <w:t xml:space="preserve">The following functionalities are included in this testing cycle:</w:t>
      </w:r>
    </w:p>
    <w:p>
      <w:pPr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1"/>
          <w:numId w:val="1002"/>
        </w:numPr>
      </w:pPr>
      <w:r>
        <w:t xml:space="preserve">Customer Login</w:t>
      </w:r>
    </w:p>
    <w:p>
      <w:pPr>
        <w:pStyle w:val="Compact"/>
        <w:numPr>
          <w:ilvl w:val="1"/>
          <w:numId w:val="1002"/>
        </w:numPr>
      </w:pPr>
      <w:r>
        <w:t xml:space="preserve">Logout</w:t>
      </w:r>
    </w:p>
    <w:p>
      <w:pPr>
        <w:pStyle w:val="Compact"/>
        <w:numPr>
          <w:ilvl w:val="1"/>
          <w:numId w:val="1002"/>
        </w:numPr>
      </w:pPr>
      <w:r>
        <w:t xml:space="preserve">Session Management</w:t>
      </w:r>
    </w:p>
    <w:p>
      <w:pPr>
        <w:numPr>
          <w:ilvl w:val="0"/>
          <w:numId w:val="1001"/>
        </w:numPr>
      </w:pPr>
      <w:r>
        <w:t xml:space="preserve">Customer Registration</w:t>
      </w:r>
    </w:p>
    <w:p>
      <w:pPr>
        <w:pStyle w:val="Compact"/>
        <w:numPr>
          <w:ilvl w:val="1"/>
          <w:numId w:val="1003"/>
        </w:numPr>
      </w:pPr>
      <w:r>
        <w:t xml:space="preserve">New Customer Sign-Up</w:t>
      </w:r>
    </w:p>
    <w:p>
      <w:pPr>
        <w:pStyle w:val="Compact"/>
        <w:numPr>
          <w:ilvl w:val="1"/>
          <w:numId w:val="1003"/>
        </w:numPr>
      </w:pPr>
      <w:r>
        <w:t xml:space="preserve">Validation Rules</w:t>
      </w:r>
    </w:p>
    <w:p>
      <w:pPr>
        <w:pStyle w:val="Compact"/>
        <w:numPr>
          <w:ilvl w:val="1"/>
          <w:numId w:val="1003"/>
        </w:numPr>
      </w:pPr>
      <w:r>
        <w:t xml:space="preserve">Duplicate User Checks</w:t>
      </w:r>
    </w:p>
    <w:p>
      <w:pPr>
        <w:numPr>
          <w:ilvl w:val="0"/>
          <w:numId w:val="1001"/>
        </w:numPr>
      </w:pPr>
      <w:r>
        <w:t xml:space="preserve">Account Services</w:t>
      </w:r>
    </w:p>
    <w:p>
      <w:pPr>
        <w:pStyle w:val="Compact"/>
        <w:numPr>
          <w:ilvl w:val="1"/>
          <w:numId w:val="1004"/>
        </w:numPr>
      </w:pPr>
      <w:r>
        <w:t xml:space="preserve">Account Overview</w:t>
      </w:r>
    </w:p>
    <w:p>
      <w:pPr>
        <w:pStyle w:val="Compact"/>
        <w:numPr>
          <w:ilvl w:val="1"/>
          <w:numId w:val="1004"/>
        </w:numPr>
      </w:pPr>
      <w:r>
        <w:t xml:space="preserve">Account Details</w:t>
      </w:r>
    </w:p>
    <w:p>
      <w:pPr>
        <w:pStyle w:val="Compact"/>
        <w:numPr>
          <w:ilvl w:val="1"/>
          <w:numId w:val="1004"/>
        </w:numPr>
      </w:pPr>
      <w:r>
        <w:t xml:space="preserve">Balance Verification</w:t>
      </w:r>
    </w:p>
    <w:p>
      <w:pPr>
        <w:numPr>
          <w:ilvl w:val="0"/>
          <w:numId w:val="1001"/>
        </w:numPr>
      </w:pPr>
      <w:r>
        <w:t xml:space="preserve">Funds Transfer</w:t>
      </w:r>
    </w:p>
    <w:p>
      <w:pPr>
        <w:pStyle w:val="Compact"/>
        <w:numPr>
          <w:ilvl w:val="1"/>
          <w:numId w:val="1005"/>
        </w:numPr>
      </w:pPr>
      <w:r>
        <w:t xml:space="preserve">Transfer Between Own Accounts</w:t>
      </w:r>
    </w:p>
    <w:p>
      <w:pPr>
        <w:pStyle w:val="Compact"/>
        <w:numPr>
          <w:ilvl w:val="1"/>
          <w:numId w:val="1005"/>
        </w:numPr>
      </w:pPr>
      <w:r>
        <w:t xml:space="preserve">Transfer Confirmation</w:t>
      </w:r>
    </w:p>
    <w:p>
      <w:pPr>
        <w:pStyle w:val="Compact"/>
        <w:numPr>
          <w:ilvl w:val="1"/>
          <w:numId w:val="1005"/>
        </w:numPr>
      </w:pPr>
      <w:r>
        <w:t xml:space="preserve">Transaction History Validation</w:t>
      </w:r>
    </w:p>
    <w:p>
      <w:pPr>
        <w:numPr>
          <w:ilvl w:val="0"/>
          <w:numId w:val="1001"/>
        </w:numPr>
      </w:pPr>
      <w:r>
        <w:t xml:space="preserve">Bill Payment</w:t>
      </w:r>
    </w:p>
    <w:p>
      <w:pPr>
        <w:pStyle w:val="Compact"/>
        <w:numPr>
          <w:ilvl w:val="1"/>
          <w:numId w:val="1006"/>
        </w:numPr>
      </w:pPr>
      <w:r>
        <w:t xml:space="preserve">Add Payee</w:t>
      </w:r>
    </w:p>
    <w:p>
      <w:pPr>
        <w:pStyle w:val="Compact"/>
        <w:numPr>
          <w:ilvl w:val="1"/>
          <w:numId w:val="1006"/>
        </w:numPr>
      </w:pPr>
      <w:r>
        <w:t xml:space="preserve">Make Bill Payment</w:t>
      </w:r>
    </w:p>
    <w:p>
      <w:pPr>
        <w:pStyle w:val="Compact"/>
        <w:numPr>
          <w:ilvl w:val="1"/>
          <w:numId w:val="1006"/>
        </w:numPr>
      </w:pPr>
      <w:r>
        <w:t xml:space="preserve">Payment Confirmation</w:t>
      </w:r>
    </w:p>
    <w:p>
      <w:pPr>
        <w:numPr>
          <w:ilvl w:val="0"/>
          <w:numId w:val="1001"/>
        </w:numPr>
      </w:pPr>
      <w:r>
        <w:t xml:space="preserve">Transaction History</w:t>
      </w:r>
    </w:p>
    <w:p>
      <w:pPr>
        <w:pStyle w:val="Compact"/>
        <w:numPr>
          <w:ilvl w:val="1"/>
          <w:numId w:val="1007"/>
        </w:numPr>
      </w:pPr>
      <w:r>
        <w:t xml:space="preserve">Recent Transactions</w:t>
      </w:r>
    </w:p>
    <w:p>
      <w:pPr>
        <w:pStyle w:val="Compact"/>
        <w:numPr>
          <w:ilvl w:val="1"/>
          <w:numId w:val="1007"/>
        </w:numPr>
      </w:pPr>
      <w:r>
        <w:t xml:space="preserve">Search Transactions by Date</w:t>
      </w:r>
    </w:p>
    <w:p>
      <w:pPr>
        <w:numPr>
          <w:ilvl w:val="0"/>
          <w:numId w:val="1001"/>
        </w:numPr>
      </w:pPr>
      <w:r>
        <w:t xml:space="preserve">Customer Profile Management</w:t>
      </w:r>
    </w:p>
    <w:p>
      <w:pPr>
        <w:pStyle w:val="Compact"/>
        <w:numPr>
          <w:ilvl w:val="1"/>
          <w:numId w:val="1008"/>
        </w:numPr>
      </w:pPr>
      <w:r>
        <w:t xml:space="preserve">Update Contact Information</w:t>
      </w:r>
    </w:p>
    <w:p>
      <w:pPr>
        <w:pStyle w:val="Compact"/>
        <w:numPr>
          <w:ilvl w:val="1"/>
          <w:numId w:val="1008"/>
        </w:numPr>
      </w:pPr>
      <w:r>
        <w:t xml:space="preserve">Profile Validation</w:t>
      </w:r>
    </w:p>
    <w:p>
      <w:pPr>
        <w:numPr>
          <w:ilvl w:val="0"/>
          <w:numId w:val="1001"/>
        </w:numPr>
      </w:pPr>
      <w:r>
        <w:t xml:space="preserve">Navigation &amp; Usability</w:t>
      </w:r>
    </w:p>
    <w:p>
      <w:pPr>
        <w:pStyle w:val="Compact"/>
        <w:numPr>
          <w:ilvl w:val="1"/>
          <w:numId w:val="1009"/>
        </w:numPr>
      </w:pPr>
      <w:r>
        <w:t xml:space="preserve">Menu Navigation</w:t>
      </w:r>
    </w:p>
    <w:p>
      <w:pPr>
        <w:pStyle w:val="Compact"/>
        <w:numPr>
          <w:ilvl w:val="1"/>
          <w:numId w:val="1009"/>
        </w:numPr>
      </w:pPr>
      <w:r>
        <w:t xml:space="preserve">Responsive Layout Verification</w:t>
      </w:r>
    </w:p>
    <w:p>
      <w:r>
        <w:pict>
          <v:rect style="width:0;height:1.5pt" o:hralign="center" o:hrstd="t" o:hr="t"/>
        </w:pict>
      </w:r>
    </w:p>
    <w:bookmarkEnd w:id="21"/>
    <w:bookmarkStart w:id="22" w:name="out-of-scope-features"/>
    <w:p>
      <w:pPr>
        <w:pStyle w:val="Heading3"/>
      </w:pPr>
      <w:r>
        <w:t xml:space="preserve">Out-of-Scope Features</w:t>
      </w:r>
    </w:p>
    <w:p>
      <w:pPr>
        <w:pStyle w:val="FirstParagraph"/>
      </w:pPr>
      <w:r>
        <w:t xml:space="preserve">The following items are excluded from this testing cycle:</w:t>
      </w:r>
    </w:p>
    <w:p>
      <w:pPr>
        <w:pStyle w:val="Compact"/>
        <w:numPr>
          <w:ilvl w:val="0"/>
          <w:numId w:val="1010"/>
        </w:numPr>
      </w:pPr>
      <w:r>
        <w:t xml:space="preserve">Performance Testing</w:t>
      </w:r>
    </w:p>
    <w:p>
      <w:pPr>
        <w:pStyle w:val="Compact"/>
        <w:numPr>
          <w:ilvl w:val="0"/>
          <w:numId w:val="1010"/>
        </w:numPr>
      </w:pPr>
      <w:r>
        <w:t xml:space="preserve">Load and Stress Testing</w:t>
      </w:r>
    </w:p>
    <w:p>
      <w:pPr>
        <w:pStyle w:val="Compact"/>
        <w:numPr>
          <w:ilvl w:val="0"/>
          <w:numId w:val="1010"/>
        </w:numPr>
      </w:pPr>
      <w:r>
        <w:t xml:space="preserve">Security/Penetration Testing</w:t>
      </w:r>
    </w:p>
    <w:p>
      <w:pPr>
        <w:pStyle w:val="Compact"/>
        <w:numPr>
          <w:ilvl w:val="0"/>
          <w:numId w:val="1010"/>
        </w:numPr>
      </w:pPr>
      <w:r>
        <w:t xml:space="preserve">Mobile Native Application Testing</w:t>
      </w:r>
    </w:p>
    <w:p>
      <w:pPr>
        <w:pStyle w:val="Compact"/>
        <w:numPr>
          <w:ilvl w:val="0"/>
          <w:numId w:val="1010"/>
        </w:numPr>
      </w:pPr>
      <w:r>
        <w:t xml:space="preserve">Third-Party Banking Integrations</w:t>
      </w:r>
    </w:p>
    <w:p>
      <w:pPr>
        <w:pStyle w:val="Compact"/>
        <w:numPr>
          <w:ilvl w:val="0"/>
          <w:numId w:val="1010"/>
        </w:numPr>
      </w:pPr>
      <w:r>
        <w:t xml:space="preserve">Disaster Recovery Testing</w:t>
      </w:r>
    </w:p>
    <w:p>
      <w:pPr>
        <w:pStyle w:val="Compact"/>
        <w:numPr>
          <w:ilvl w:val="0"/>
          <w:numId w:val="1010"/>
        </w:numPr>
      </w:pPr>
      <w:r>
        <w:t xml:space="preserve">Accessibility Compliance Audit</w:t>
      </w:r>
    </w:p>
    <w:p>
      <w:pPr>
        <w:pStyle w:val="Compact"/>
        <w:numPr>
          <w:ilvl w:val="0"/>
          <w:numId w:val="1010"/>
        </w:numPr>
      </w:pPr>
      <w:r>
        <w:t xml:space="preserve">Production Environment Validation</w:t>
      </w:r>
    </w:p>
    <w:p>
      <w:r>
        <w:pict>
          <v:rect style="width:0;height:1.5pt" o:hralign="center" o:hrstd="t" o:hr="t"/>
        </w:pict>
      </w:r>
    </w:p>
    <w:bookmarkEnd w:id="22"/>
    <w:bookmarkStart w:id="27" w:name="pre-requisites-for-testing"/>
    <w:p>
      <w:pPr>
        <w:pStyle w:val="Heading3"/>
      </w:pPr>
      <w:r>
        <w:t xml:space="preserve">Pre-Requisites for Testing</w:t>
      </w:r>
    </w:p>
    <w:bookmarkStart w:id="23" w:name="test-accounts"/>
    <w:p>
      <w:pPr>
        <w:pStyle w:val="Heading4"/>
      </w:pPr>
      <w:r>
        <w:t xml:space="preserve">Test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Customer</w:t>
            </w:r>
          </w:p>
        </w:tc>
        <w:tc>
          <w:tcPr/>
          <w:p>
            <w:pPr>
              <w:pStyle w:val="Compact"/>
            </w:pPr>
            <w:r>
              <w:t xml:space="preserve">Provided by QA Team</w:t>
            </w:r>
          </w:p>
        </w:tc>
        <w:tc>
          <w:tcPr/>
          <w:p>
            <w:pPr>
              <w:pStyle w:val="Compact"/>
            </w:pPr>
            <w:r>
              <w:t xml:space="preserve">Retail Banking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Provided by Application Team</w:t>
            </w:r>
          </w:p>
        </w:tc>
        <w:tc>
          <w:tcPr/>
          <w:p>
            <w:pPr>
              <w:pStyle w:val="Compact"/>
            </w:pPr>
            <w:r>
              <w:t xml:space="preserve">Administrative Functions</w:t>
            </w:r>
          </w:p>
        </w:tc>
      </w:tr>
    </w:tbl>
    <w:bookmarkEnd w:id="23"/>
    <w:bookmarkStart w:id="24" w:name="environment-requirements"/>
    <w:p>
      <w:pPr>
        <w:pStyle w:val="Heading4"/>
      </w:pPr>
      <w:r>
        <w:t xml:space="preserve">Environment Requirements</w:t>
      </w:r>
    </w:p>
    <w:p>
      <w:pPr>
        <w:pStyle w:val="Compact"/>
        <w:numPr>
          <w:ilvl w:val="0"/>
          <w:numId w:val="1011"/>
        </w:numPr>
      </w:pPr>
      <w:r>
        <w:t xml:space="preserve">Dedicated QA Environment Available</w:t>
      </w:r>
    </w:p>
    <w:p>
      <w:pPr>
        <w:pStyle w:val="Compact"/>
        <w:numPr>
          <w:ilvl w:val="0"/>
          <w:numId w:val="1011"/>
        </w:numPr>
      </w:pPr>
      <w:r>
        <w:t xml:space="preserve">Backend Services Running</w:t>
      </w:r>
    </w:p>
    <w:p>
      <w:pPr>
        <w:pStyle w:val="Compact"/>
        <w:numPr>
          <w:ilvl w:val="0"/>
          <w:numId w:val="1011"/>
        </w:numPr>
      </w:pPr>
      <w:r>
        <w:t xml:space="preserve">Database Refresh Completed</w:t>
      </w:r>
    </w:p>
    <w:p>
      <w:pPr>
        <w:pStyle w:val="Compact"/>
        <w:numPr>
          <w:ilvl w:val="0"/>
          <w:numId w:val="1011"/>
        </w:numPr>
      </w:pPr>
      <w:r>
        <w:t xml:space="preserve">Test Data Seeded</w:t>
      </w:r>
    </w:p>
    <w:bookmarkEnd w:id="24"/>
    <w:bookmarkStart w:id="25" w:name="supported-browsers"/>
    <w:p>
      <w:pPr>
        <w:pStyle w:val="Heading4"/>
      </w:pPr>
      <w:r>
        <w:t xml:space="preserve">Supported Browsers</w:t>
      </w:r>
    </w:p>
    <w:p>
      <w:pPr>
        <w:pStyle w:val="Compact"/>
        <w:numPr>
          <w:ilvl w:val="0"/>
          <w:numId w:val="1012"/>
        </w:numPr>
      </w:pPr>
      <w:r>
        <w:t xml:space="preserve">Google Chrome (Latest)</w:t>
      </w:r>
    </w:p>
    <w:p>
      <w:pPr>
        <w:pStyle w:val="Compact"/>
        <w:numPr>
          <w:ilvl w:val="0"/>
          <w:numId w:val="1012"/>
        </w:numPr>
      </w:pPr>
      <w:r>
        <w:t xml:space="preserve">Microsoft Edge (Latest)</w:t>
      </w:r>
    </w:p>
    <w:p>
      <w:pPr>
        <w:pStyle w:val="Compact"/>
        <w:numPr>
          <w:ilvl w:val="0"/>
          <w:numId w:val="1012"/>
        </w:numPr>
      </w:pPr>
      <w:r>
        <w:t xml:space="preserve">Mozilla Firefox (Latest)</w:t>
      </w:r>
    </w:p>
    <w:bookmarkEnd w:id="25"/>
    <w:bookmarkStart w:id="26" w:name="required-integrations"/>
    <w:p>
      <w:pPr>
        <w:pStyle w:val="Heading4"/>
      </w:pPr>
      <w:r>
        <w:t xml:space="preserve">Required Integrations</w:t>
      </w:r>
    </w:p>
    <w:p>
      <w:pPr>
        <w:pStyle w:val="Compact"/>
        <w:numPr>
          <w:ilvl w:val="0"/>
          <w:numId w:val="1013"/>
        </w:numPr>
      </w:pPr>
      <w:r>
        <w:t xml:space="preserve">Customer Account Service API</w:t>
      </w:r>
    </w:p>
    <w:p>
      <w:pPr>
        <w:pStyle w:val="Compact"/>
        <w:numPr>
          <w:ilvl w:val="0"/>
          <w:numId w:val="1013"/>
        </w:numPr>
      </w:pPr>
      <w:r>
        <w:t xml:space="preserve">Transaction Service API</w:t>
      </w:r>
    </w:p>
    <w:p>
      <w:pPr>
        <w:pStyle w:val="Compact"/>
        <w:numPr>
          <w:ilvl w:val="0"/>
          <w:numId w:val="1013"/>
        </w:numPr>
      </w:pPr>
      <w:r>
        <w:t xml:space="preserve">Bill Payment Service</w:t>
      </w:r>
    </w:p>
    <w:p>
      <w:pPr>
        <w:pStyle w:val="Compact"/>
        <w:numPr>
          <w:ilvl w:val="0"/>
          <w:numId w:val="1013"/>
        </w:numPr>
      </w:pPr>
      <w:r>
        <w:t xml:space="preserve">Authentication Service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test-execution-summary"/>
    <w:p>
      <w:pPr>
        <w:pStyle w:val="Heading2"/>
      </w:pPr>
      <w:r>
        <w:t xml:space="preserve">3. Test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Planned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Executed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Completion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29" w:name="overall-test-status"/>
    <w:p>
      <w:pPr>
        <w:pStyle w:val="Heading3"/>
      </w:pPr>
      <w:r>
        <w:t xml:space="preserve">Overall Test Status</w:t>
      </w:r>
    </w:p>
    <w:p>
      <w:pPr>
        <w:pStyle w:val="FirstParagraph"/>
      </w:pPr>
      <w:r>
        <w:rPr>
          <w:b/>
          <w:bCs/>
        </w:rPr>
        <w:t xml:space="preserve">Conditional PASS</w:t>
      </w:r>
    </w:p>
    <w:p>
      <w:pPr>
        <w:pStyle w:val="BodyText"/>
      </w:pPr>
      <w:r>
        <w:t xml:space="preserve">The application is functionally stable for release subject to acceptance of the known open issues listed below.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known-issues"/>
    <w:p>
      <w:pPr>
        <w:pStyle w:val="Heading2"/>
      </w:pPr>
      <w:r>
        <w:t xml:space="preserve">4. Known Issues</w:t>
      </w:r>
    </w:p>
    <w:bookmarkStart w:id="31" w:name="critical-bugs-open"/>
    <w:p>
      <w:pPr>
        <w:pStyle w:val="Heading3"/>
      </w:pPr>
      <w:r>
        <w:t xml:space="preserve">Critical Bugs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PB-342</w:t>
            </w:r>
          </w:p>
        </w:tc>
        <w:tc>
          <w:tcPr/>
          <w:p>
            <w:pPr>
              <w:pStyle w:val="Compact"/>
            </w:pPr>
            <w:r>
              <w:t xml:space="preserve">Funds Transfer confirmation page intermittently displays duplicate transaction reference numbers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PB-351</w:t>
            </w:r>
          </w:p>
        </w:tc>
        <w:tc>
          <w:tcPr/>
          <w:p>
            <w:pPr>
              <w:pStyle w:val="Compact"/>
            </w:pPr>
            <w:r>
              <w:t xml:space="preserve">Session timeout does not redirect users to login page under specific scenarios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1"/>
    <w:bookmarkStart w:id="32" w:name="moderate-bugs-open"/>
    <w:p>
      <w:pPr>
        <w:pStyle w:val="Heading3"/>
      </w:pPr>
      <w:r>
        <w:t xml:space="preserve">Moderate Bugs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PB-367</w:t>
            </w:r>
          </w:p>
        </w:tc>
        <w:tc>
          <w:tcPr/>
          <w:p>
            <w:pPr>
              <w:pStyle w:val="Compact"/>
            </w:pPr>
            <w:r>
              <w:t xml:space="preserve">Transaction history filter returns inconsistent results for large date ranges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PB-372</w:t>
            </w:r>
          </w:p>
        </w:tc>
        <w:tc>
          <w:tcPr/>
          <w:p>
            <w:pPr>
              <w:pStyle w:val="Compact"/>
            </w:pPr>
            <w:r>
              <w:t xml:space="preserve">Profile update success message formatting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PB-379</w:t>
            </w:r>
          </w:p>
        </w:tc>
        <w:tc>
          <w:tcPr/>
          <w:p>
            <w:pPr>
              <w:pStyle w:val="Compact"/>
            </w:pPr>
            <w:r>
              <w:t xml:space="preserve">UI alignment issue on Firefox browser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2"/>
    <w:bookmarkStart w:id="33" w:name="workarounds-available"/>
    <w:p>
      <w:pPr>
        <w:pStyle w:val="Heading3"/>
      </w:pPr>
      <w:r>
        <w:t xml:space="preserve">Workarounds Available</w:t>
      </w:r>
    </w:p>
    <w:p>
      <w:pPr>
        <w:pStyle w:val="FirstParagraph"/>
      </w:pPr>
      <w:r>
        <w:rPr>
          <w:b/>
          <w:bCs/>
        </w:rPr>
        <w:t xml:space="preserve">Yes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PB-367</w:t>
            </w:r>
          </w:p>
        </w:tc>
        <w:tc>
          <w:tcPr/>
          <w:p>
            <w:pPr>
              <w:pStyle w:val="Compact"/>
            </w:pPr>
            <w:r>
              <w:t xml:space="preserve">Use predefined date ranges instead of custom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PB-379</w:t>
            </w:r>
          </w:p>
        </w:tc>
        <w:tc>
          <w:tcPr/>
          <w:p>
            <w:pPr>
              <w:pStyle w:val="Compact"/>
            </w:pPr>
            <w:r>
              <w:t xml:space="preserve">Refresh browser page after profile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risks-observations"/>
    <w:p>
      <w:pPr>
        <w:pStyle w:val="Heading2"/>
      </w:pPr>
      <w:r>
        <w:t xml:space="preserve">5. Risks &amp; Observations</w:t>
      </w:r>
    </w:p>
    <w:p>
      <w:pPr>
        <w:pStyle w:val="Compact"/>
        <w:numPr>
          <w:ilvl w:val="0"/>
          <w:numId w:val="1014"/>
        </w:numPr>
      </w:pPr>
      <w:r>
        <w:t xml:space="preserve">No critical blockers preventing core banking operations.</w:t>
      </w:r>
    </w:p>
    <w:p>
      <w:pPr>
        <w:pStyle w:val="Compact"/>
        <w:numPr>
          <w:ilvl w:val="0"/>
          <w:numId w:val="1014"/>
        </w:numPr>
      </w:pPr>
      <w:r>
        <w:t xml:space="preserve">Minor UI inconsistencies remain across browsers.</w:t>
      </w:r>
    </w:p>
    <w:p>
      <w:pPr>
        <w:pStyle w:val="Compact"/>
        <w:numPr>
          <w:ilvl w:val="0"/>
          <w:numId w:val="1014"/>
        </w:numPr>
      </w:pPr>
      <w:r>
        <w:t xml:space="preserve">Additional regression testing is recommended after bug fixes for PB-342 and PB-351.</w:t>
      </w:r>
    </w:p>
    <w:p>
      <w:pPr>
        <w:pStyle w:val="Compact"/>
        <w:numPr>
          <w:ilvl w:val="0"/>
          <w:numId w:val="1014"/>
        </w:numPr>
      </w:pPr>
      <w:r>
        <w:t xml:space="preserve">Monitoring required during first production deployment window.</w:t>
      </w:r>
    </w:p>
    <w:p>
      <w:r>
        <w:pict>
          <v:rect style="width:0;height:1.5pt" o:hralign="center" o:hrstd="t" o:hr="t"/>
        </w:pict>
      </w:r>
    </w:p>
    <w:bookmarkEnd w:id="35"/>
    <w:bookmarkStart w:id="36" w:name="qa-recommendation"/>
    <w:p>
      <w:pPr>
        <w:pStyle w:val="Heading2"/>
      </w:pPr>
      <w:r>
        <w:t xml:space="preserve">6. QA Recommendation</w:t>
      </w:r>
    </w:p>
    <w:p>
      <w:pPr>
        <w:pStyle w:val="FirstParagraph"/>
      </w:pPr>
      <w:r>
        <w:t xml:space="preserve">Based on the executed test cases and current defect status:</w:t>
      </w:r>
    </w:p>
    <w:p>
      <w:pPr>
        <w:pStyle w:val="BodyText"/>
      </w:pPr>
      <w:r>
        <w:rPr>
          <w:b/>
          <w:bCs/>
        </w:rPr>
        <w:t xml:space="preserve">Recommendation: Proceed with release under conditional approval.</w:t>
      </w:r>
    </w:p>
    <w:p>
      <w:pPr>
        <w:pStyle w:val="BodyText"/>
      </w:pPr>
      <w:r>
        <w:t xml:space="preserve">Open defects have documented workarounds and do not prevent execution of core customer banking transactions.</w:t>
      </w:r>
    </w:p>
    <w:p>
      <w:r>
        <w:pict>
          <v:rect style="width:0;height:1.5pt" o:hralign="center" o:hrstd="t" o:hr="t"/>
        </w:pict>
      </w:r>
    </w:p>
    <w:bookmarkEnd w:id="36"/>
    <w:bookmarkStart w:id="38" w:name="approval-sign-off"/>
    <w:p>
      <w:pPr>
        <w:pStyle w:val="Heading2"/>
      </w:pPr>
      <w:r>
        <w:t xml:space="preserve">7. Approval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7" w:name="document-version-history"/>
    <w:p>
      <w:pPr>
        <w:pStyle w:val="Heading3"/>
      </w:pPr>
      <w:r>
        <w:t xml:space="preserve">Document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712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18-Jun-2026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Initial Release Testing Delivery Form</w:t>
            </w:r>
          </w:p>
        </w:tc>
      </w:tr>
    </w:tbl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2026-06-18T12:27:48Z</dcterms:created>
  <dcterms:modified xsi:type="dcterms:W3CDTF">2026-06-18T12:27:48Z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