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Theme="minorAscii" w:hAnsiTheme="minorAscii"/>
          <w:sz w:val="24"/>
          <w:szCs w:val="24"/>
        </w:rPr>
      </w:pPr>
    </w:p>
    <w:p>
      <w:pPr>
        <w:jc w:val="center"/>
        <w:rPr>
          <w:rFonts w:hint="default" w:asciiTheme="minorAscii" w:hAnsiTheme="minorAscii"/>
          <w:sz w:val="40"/>
          <w:szCs w:val="40"/>
          <w:lang w:val="en-US"/>
        </w:rPr>
      </w:pPr>
      <w:r>
        <w:rPr>
          <w:rFonts w:hint="default" w:asciiTheme="minorAscii" w:hAnsiTheme="minorAscii"/>
          <w:sz w:val="40"/>
          <w:szCs w:val="40"/>
          <w:lang w:val="en-US"/>
        </w:rPr>
        <w:t>“There are no limitations to study in abroad when we are with you.”</w:t>
      </w:r>
    </w:p>
    <w:p>
      <w:pPr>
        <w:jc w:val="center"/>
        <w:rPr>
          <w:rFonts w:hint="default" w:asciiTheme="minorAscii" w:hAnsiTheme="minorAscii"/>
          <w:sz w:val="40"/>
          <w:szCs w:val="40"/>
          <w:lang w:val="en-US"/>
        </w:rPr>
      </w:pPr>
    </w:p>
    <w:p>
      <w:pPr>
        <w:jc w:val="center"/>
        <w:rPr>
          <w:rFonts w:hint="default" w:asciiTheme="minorAscii" w:hAnsiTheme="minorAscii"/>
          <w:sz w:val="40"/>
          <w:szCs w:val="40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40"/>
          <w:szCs w:val="40"/>
          <w:lang w:val="en-US"/>
        </w:rPr>
      </w:pPr>
      <w:r>
        <w:rPr>
          <w:rFonts w:hint="default" w:asciiTheme="minorAscii" w:hAnsiTheme="minorAscii"/>
          <w:sz w:val="40"/>
          <w:szCs w:val="40"/>
          <w:lang w:val="en-US"/>
        </w:rPr>
        <w:t>“We thrive to build your future with our brilliance”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  <w:t>Our Services:</w:t>
      </w:r>
    </w:p>
    <w:p>
      <w:p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Profile Analysis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Career Counseling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Course and University Selection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Application and Admission assistance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Scholarship and Financial Aid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Documentation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Visa guidance &amp; Processing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Pre-Departure rundown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Post-Arrival assistance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  <w:t>Our Study Abroad Process: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</w:pPr>
    </w:p>
    <w:p>
      <w:pPr>
        <w:numPr>
          <w:numId w:val="0"/>
        </w:numP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  <w:t>Our process of guiding the students is simple but quite effective. It involves 5 steps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  <w:t xml:space="preserve">Planning and advice </w:t>
      </w:r>
    </w:p>
    <w:p>
      <w:pPr>
        <w:numPr>
          <w:ilvl w:val="0"/>
          <w:numId w:val="2"/>
        </w:numP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  <w:t xml:space="preserve">Course selection and admission </w:t>
      </w:r>
    </w:p>
    <w:p>
      <w:pPr>
        <w:numPr>
          <w:ilvl w:val="0"/>
          <w:numId w:val="2"/>
        </w:numP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  <w:t>Documentation and visa processing</w:t>
      </w:r>
    </w:p>
    <w:p>
      <w:pPr>
        <w:numPr>
          <w:ilvl w:val="0"/>
          <w:numId w:val="2"/>
        </w:numP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  <w:t>Pre-departure Guidance</w:t>
      </w:r>
    </w:p>
    <w:p>
      <w:pPr>
        <w:numPr>
          <w:ilvl w:val="0"/>
          <w:numId w:val="2"/>
        </w:numP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32"/>
          <w:szCs w:val="32"/>
          <w:u w:val="none"/>
          <w:lang w:val="en-US"/>
        </w:rPr>
        <w:t xml:space="preserve">Flight booking assistance and Post-arrival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evamped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New Shape">
    <w:panose1 w:val="020B0803020203060204"/>
    <w:charset w:val="00"/>
    <w:family w:val="auto"/>
    <w:pitch w:val="default"/>
    <w:sig w:usb0="8000002F" w:usb1="4000204B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8FF38"/>
    <w:multiLevelType w:val="singleLevel"/>
    <w:tmpl w:val="49D8FF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924065"/>
    <w:multiLevelType w:val="singleLevel"/>
    <w:tmpl w:val="5F9240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4847"/>
    <w:rsid w:val="7FA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2023-04-17T08:59:00Z</dcterms:created>
  <dc:creator>navee</dc:creator>
  <cp:lastModifiedBy>navee</cp:lastModifiedBy>
  <dcterms:modified xsi:type="dcterms:W3CDTF">2023-04-17T09:20:41Z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3B0ABD751899456686BEBAF343A8E07E</vt:lpwstr>
  </property>
</Properties>
</file>