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Pr>
                <w:rStyle w:val="Title1Char"/>
                <w:color w:val="60CAF3" w:themeColor="accent4" w:themeTint="99"/>
              </w:rPr>
              <w:t xml:space="preserve">⟦legalNameUpper⟧</w:t>
            </w:r>
            <w:r>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752FA73F" w:rsidR="00DC2911" w:rsidRPr="00494CBF" w:rsidRDefault="003D7734" w:rsidP="00494CBF">
            <w:pPr>
              <w:jc w:val="center"/>
              <w:rPr>
                <w:rFonts w:cstheme="minorHAnsi"/>
                <w:sz w:val="32"/>
                <w:szCs w:val="32"/>
              </w:rPr>
            </w:pPr>
            <w:r>
              <w:rPr>
                <w:rFonts w:cstheme="minorHAnsi"/>
                <w:sz w:val="32"/>
                <w:szCs w:val="32"/>
              </w:rPr>
              <w:t>Environmental &amp; Sustainability 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64CAC8A3" w14:textId="77777777" w:rsidR="00293406" w:rsidRDefault="00293406" w:rsidP="00DC2911">
      <w:pPr>
        <w:tabs>
          <w:tab w:val="left" w:pos="6360"/>
        </w:tabs>
      </w:pPr>
    </w:p>
    <w:p w14:paraId="12924BC9" w14:textId="77777777" w:rsidR="00293406" w:rsidRDefault="00293406" w:rsidP="00DC2911">
      <w:pPr>
        <w:tabs>
          <w:tab w:val="left" w:pos="6360"/>
        </w:tabs>
      </w:pPr>
    </w:p>
    <w:p w14:paraId="6069630E" w14:textId="77777777" w:rsidR="00293406" w:rsidRDefault="00293406"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t>Contents</w:t>
          </w:r>
        </w:p>
        <w:p w14:paraId="796FC1EB" w14:textId="7F38124D" w:rsidR="00E31064"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22819906" w:history="1">
            <w:r>
              <w:rPr>
                <w:rStyle w:val="Hyperlink"/>
                <w:noProof/>
              </w:rPr>
              <w:t>Introduction</w:t>
            </w:r>
            <w:r>
              <w:rPr>
                <w:noProof/>
                <w:webHidden/>
              </w:rPr>
              <w:tab/>
            </w:r>
            <w:r>
              <w:rPr>
                <w:noProof/>
                <w:webHidden/>
              </w:rPr>
              <w:fldChar w:fldCharType="begin"/>
            </w:r>
            <w:r>
              <w:rPr>
                <w:noProof/>
                <w:webHidden/>
              </w:rPr>
              <w:instrText xml:space="preserve"> PAGEREF _Toc222819906 \h </w:instrText>
            </w:r>
            <w:r>
              <w:rPr>
                <w:noProof/>
                <w:webHidden/>
              </w:rPr>
            </w:r>
            <w:r>
              <w:rPr>
                <w:noProof/>
                <w:webHidden/>
              </w:rPr>
              <w:fldChar w:fldCharType="separate"/>
            </w:r>
            <w:r>
              <w:rPr>
                <w:noProof/>
                <w:webHidden/>
              </w:rPr>
              <w:t>3</w:t>
            </w:r>
            <w:r>
              <w:rPr>
                <w:noProof/>
                <w:webHidden/>
              </w:rPr>
              <w:fldChar w:fldCharType="end"/>
            </w:r>
          </w:hyperlink>
        </w:p>
        <w:p w14:paraId="4F6F4151" w14:textId="4E370F2E" w:rsidR="00E31064" w:rsidRDefault="00E31064">
          <w:pPr>
            <w:pStyle w:val="TOC2"/>
            <w:tabs>
              <w:tab w:val="right" w:leader="dot" w:pos="9016"/>
            </w:tabs>
            <w:rPr>
              <w:rFonts w:asciiTheme="minorHAnsi" w:eastAsiaTheme="minorEastAsia" w:hAnsiTheme="minorHAnsi"/>
              <w:noProof/>
              <w:color w:val="auto"/>
              <w:sz w:val="24"/>
              <w:szCs w:val="24"/>
              <w:lang w:eastAsia="en-GB"/>
            </w:rPr>
          </w:pPr>
          <w:hyperlink w:anchor="_Toc222819907" w:history="1">
            <w:r>
              <w:rPr>
                <w:rStyle w:val="Hyperlink"/>
                <w:noProof/>
              </w:rPr>
              <w:t>Policy Statement</w:t>
            </w:r>
            <w:r>
              <w:rPr>
                <w:noProof/>
                <w:webHidden/>
              </w:rPr>
              <w:tab/>
            </w:r>
            <w:r>
              <w:rPr>
                <w:noProof/>
                <w:webHidden/>
              </w:rPr>
              <w:fldChar w:fldCharType="begin"/>
            </w:r>
            <w:r>
              <w:rPr>
                <w:noProof/>
                <w:webHidden/>
              </w:rPr>
              <w:instrText xml:space="preserve"> PAGEREF _Toc222819907 \h </w:instrText>
            </w:r>
            <w:r>
              <w:rPr>
                <w:noProof/>
                <w:webHidden/>
              </w:rPr>
            </w:r>
            <w:r>
              <w:rPr>
                <w:noProof/>
                <w:webHidden/>
              </w:rPr>
              <w:fldChar w:fldCharType="separate"/>
            </w:r>
            <w:r>
              <w:rPr>
                <w:noProof/>
                <w:webHidden/>
              </w:rPr>
              <w:t>3</w:t>
            </w:r>
            <w:r>
              <w:rPr>
                <w:noProof/>
                <w:webHidden/>
              </w:rPr>
              <w:fldChar w:fldCharType="end"/>
            </w:r>
          </w:hyperlink>
        </w:p>
        <w:p w14:paraId="7A299E75" w14:textId="20511A14" w:rsidR="00E31064" w:rsidRDefault="00E31064">
          <w:pPr>
            <w:pStyle w:val="TOC2"/>
            <w:tabs>
              <w:tab w:val="right" w:leader="dot" w:pos="9016"/>
            </w:tabs>
            <w:rPr>
              <w:rFonts w:asciiTheme="minorHAnsi" w:eastAsiaTheme="minorEastAsia" w:hAnsiTheme="minorHAnsi"/>
              <w:noProof/>
              <w:color w:val="auto"/>
              <w:sz w:val="24"/>
              <w:szCs w:val="24"/>
              <w:lang w:eastAsia="en-GB"/>
            </w:rPr>
          </w:pPr>
          <w:hyperlink w:anchor="_Toc222819908" w:history="1">
            <w:r>
              <w:rPr>
                <w:rStyle w:val="Hyperlink"/>
                <w:noProof/>
              </w:rPr>
              <w:t>Regulatory and Industry Framework</w:t>
            </w:r>
            <w:r>
              <w:rPr>
                <w:noProof/>
                <w:webHidden/>
              </w:rPr>
              <w:tab/>
            </w:r>
            <w:r>
              <w:rPr>
                <w:noProof/>
                <w:webHidden/>
              </w:rPr>
              <w:fldChar w:fldCharType="begin"/>
            </w:r>
            <w:r>
              <w:rPr>
                <w:noProof/>
                <w:webHidden/>
              </w:rPr>
              <w:instrText xml:space="preserve"> PAGEREF _Toc222819908 \h </w:instrText>
            </w:r>
            <w:r>
              <w:rPr>
                <w:noProof/>
                <w:webHidden/>
              </w:rPr>
            </w:r>
            <w:r>
              <w:rPr>
                <w:noProof/>
                <w:webHidden/>
              </w:rPr>
              <w:fldChar w:fldCharType="separate"/>
            </w:r>
            <w:r>
              <w:rPr>
                <w:noProof/>
                <w:webHidden/>
              </w:rPr>
              <w:t>3</w:t>
            </w:r>
            <w:r>
              <w:rPr>
                <w:noProof/>
                <w:webHidden/>
              </w:rPr>
              <w:fldChar w:fldCharType="end"/>
            </w:r>
          </w:hyperlink>
        </w:p>
        <w:p w14:paraId="29B0ED22" w14:textId="6B0B747A" w:rsidR="00E31064" w:rsidRDefault="00E31064">
          <w:pPr>
            <w:pStyle w:val="TOC2"/>
            <w:tabs>
              <w:tab w:val="right" w:leader="dot" w:pos="9016"/>
            </w:tabs>
            <w:rPr>
              <w:rFonts w:asciiTheme="minorHAnsi" w:eastAsiaTheme="minorEastAsia" w:hAnsiTheme="minorHAnsi"/>
              <w:noProof/>
              <w:color w:val="auto"/>
              <w:sz w:val="24"/>
              <w:szCs w:val="24"/>
              <w:lang w:eastAsia="en-GB"/>
            </w:rPr>
          </w:pPr>
          <w:hyperlink w:anchor="_Toc222819909" w:history="1">
            <w:r>
              <w:rPr>
                <w:rStyle w:val="Hyperlink"/>
                <w:noProof/>
              </w:rPr>
              <w:t>Identification and Management of Environmental Aspects</w:t>
            </w:r>
            <w:r>
              <w:rPr>
                <w:noProof/>
                <w:webHidden/>
              </w:rPr>
              <w:tab/>
            </w:r>
            <w:r>
              <w:rPr>
                <w:noProof/>
                <w:webHidden/>
              </w:rPr>
              <w:fldChar w:fldCharType="begin"/>
            </w:r>
            <w:r>
              <w:rPr>
                <w:noProof/>
                <w:webHidden/>
              </w:rPr>
              <w:instrText xml:space="preserve"> PAGEREF _Toc222819909 \h </w:instrText>
            </w:r>
            <w:r>
              <w:rPr>
                <w:noProof/>
                <w:webHidden/>
              </w:rPr>
            </w:r>
            <w:r>
              <w:rPr>
                <w:noProof/>
                <w:webHidden/>
              </w:rPr>
              <w:fldChar w:fldCharType="separate"/>
            </w:r>
            <w:r>
              <w:rPr>
                <w:noProof/>
                <w:webHidden/>
              </w:rPr>
              <w:t>4</w:t>
            </w:r>
            <w:r>
              <w:rPr>
                <w:noProof/>
                <w:webHidden/>
              </w:rPr>
              <w:fldChar w:fldCharType="end"/>
            </w:r>
          </w:hyperlink>
        </w:p>
        <w:p w14:paraId="03860A4C" w14:textId="23F32355" w:rsidR="00E31064" w:rsidRDefault="00E31064">
          <w:pPr>
            <w:pStyle w:val="TOC2"/>
            <w:tabs>
              <w:tab w:val="right" w:leader="dot" w:pos="9016"/>
            </w:tabs>
            <w:rPr>
              <w:rFonts w:asciiTheme="minorHAnsi" w:eastAsiaTheme="minorEastAsia" w:hAnsiTheme="minorHAnsi"/>
              <w:noProof/>
              <w:color w:val="auto"/>
              <w:sz w:val="24"/>
              <w:szCs w:val="24"/>
              <w:lang w:eastAsia="en-GB"/>
            </w:rPr>
          </w:pPr>
          <w:hyperlink w:anchor="_Toc222819910" w:history="1">
            <w:r>
              <w:rPr>
                <w:rStyle w:val="Hyperlink"/>
                <w:noProof/>
              </w:rPr>
              <w:t>Waste Management and Resource Efficiency</w:t>
            </w:r>
            <w:r>
              <w:rPr>
                <w:noProof/>
                <w:webHidden/>
              </w:rPr>
              <w:tab/>
            </w:r>
            <w:r>
              <w:rPr>
                <w:noProof/>
                <w:webHidden/>
              </w:rPr>
              <w:fldChar w:fldCharType="begin"/>
            </w:r>
            <w:r>
              <w:rPr>
                <w:noProof/>
                <w:webHidden/>
              </w:rPr>
              <w:instrText xml:space="preserve"> PAGEREF _Toc222819910 \h </w:instrText>
            </w:r>
            <w:r>
              <w:rPr>
                <w:noProof/>
                <w:webHidden/>
              </w:rPr>
            </w:r>
            <w:r>
              <w:rPr>
                <w:noProof/>
                <w:webHidden/>
              </w:rPr>
              <w:fldChar w:fldCharType="separate"/>
            </w:r>
            <w:r>
              <w:rPr>
                <w:noProof/>
                <w:webHidden/>
              </w:rPr>
              <w:t>4</w:t>
            </w:r>
            <w:r>
              <w:rPr>
                <w:noProof/>
                <w:webHidden/>
              </w:rPr>
              <w:fldChar w:fldCharType="end"/>
            </w:r>
          </w:hyperlink>
        </w:p>
        <w:p w14:paraId="4845AA06" w14:textId="13E62684" w:rsidR="00E31064" w:rsidRDefault="00E31064">
          <w:pPr>
            <w:pStyle w:val="TOC2"/>
            <w:tabs>
              <w:tab w:val="right" w:leader="dot" w:pos="9016"/>
            </w:tabs>
            <w:rPr>
              <w:rFonts w:asciiTheme="minorHAnsi" w:eastAsiaTheme="minorEastAsia" w:hAnsiTheme="minorHAnsi"/>
              <w:noProof/>
              <w:color w:val="auto"/>
              <w:sz w:val="24"/>
              <w:szCs w:val="24"/>
              <w:lang w:eastAsia="en-GB"/>
            </w:rPr>
          </w:pPr>
          <w:hyperlink w:anchor="_Toc222819911" w:history="1">
            <w:r>
              <w:rPr>
                <w:rStyle w:val="Hyperlink"/>
                <w:noProof/>
              </w:rPr>
              <w:t>Pollution Prevention and Environmental Protection</w:t>
            </w:r>
            <w:r>
              <w:rPr>
                <w:noProof/>
                <w:webHidden/>
              </w:rPr>
              <w:tab/>
            </w:r>
            <w:r>
              <w:rPr>
                <w:noProof/>
                <w:webHidden/>
              </w:rPr>
              <w:fldChar w:fldCharType="begin"/>
            </w:r>
            <w:r>
              <w:rPr>
                <w:noProof/>
                <w:webHidden/>
              </w:rPr>
              <w:instrText xml:space="preserve"> PAGEREF _Toc222819911 \h </w:instrText>
            </w:r>
            <w:r>
              <w:rPr>
                <w:noProof/>
                <w:webHidden/>
              </w:rPr>
            </w:r>
            <w:r>
              <w:rPr>
                <w:noProof/>
                <w:webHidden/>
              </w:rPr>
              <w:fldChar w:fldCharType="separate"/>
            </w:r>
            <w:r>
              <w:rPr>
                <w:noProof/>
                <w:webHidden/>
              </w:rPr>
              <w:t>4</w:t>
            </w:r>
            <w:r>
              <w:rPr>
                <w:noProof/>
                <w:webHidden/>
              </w:rPr>
              <w:fldChar w:fldCharType="end"/>
            </w:r>
          </w:hyperlink>
        </w:p>
        <w:p w14:paraId="33988CA9" w14:textId="2C2A2FEB" w:rsidR="00E31064" w:rsidRDefault="00E31064">
          <w:pPr>
            <w:pStyle w:val="TOC2"/>
            <w:tabs>
              <w:tab w:val="right" w:leader="dot" w:pos="9016"/>
            </w:tabs>
            <w:rPr>
              <w:rFonts w:asciiTheme="minorHAnsi" w:eastAsiaTheme="minorEastAsia" w:hAnsiTheme="minorHAnsi"/>
              <w:noProof/>
              <w:color w:val="auto"/>
              <w:sz w:val="24"/>
              <w:szCs w:val="24"/>
              <w:lang w:eastAsia="en-GB"/>
            </w:rPr>
          </w:pPr>
          <w:hyperlink w:anchor="_Toc222819912" w:history="1">
            <w:r>
              <w:rPr>
                <w:rStyle w:val="Hyperlink"/>
                <w:noProof/>
              </w:rPr>
              <w:t>Energy Use and Climate Change Considerations</w:t>
            </w:r>
            <w:r>
              <w:rPr>
                <w:noProof/>
                <w:webHidden/>
              </w:rPr>
              <w:tab/>
            </w:r>
            <w:r>
              <w:rPr>
                <w:noProof/>
                <w:webHidden/>
              </w:rPr>
              <w:fldChar w:fldCharType="begin"/>
            </w:r>
            <w:r>
              <w:rPr>
                <w:noProof/>
                <w:webHidden/>
              </w:rPr>
              <w:instrText xml:space="preserve"> PAGEREF _Toc222819912 \h </w:instrText>
            </w:r>
            <w:r>
              <w:rPr>
                <w:noProof/>
                <w:webHidden/>
              </w:rPr>
            </w:r>
            <w:r>
              <w:rPr>
                <w:noProof/>
                <w:webHidden/>
              </w:rPr>
              <w:fldChar w:fldCharType="separate"/>
            </w:r>
            <w:r>
              <w:rPr>
                <w:noProof/>
                <w:webHidden/>
              </w:rPr>
              <w:t>5</w:t>
            </w:r>
            <w:r>
              <w:rPr>
                <w:noProof/>
                <w:webHidden/>
              </w:rPr>
              <w:fldChar w:fldCharType="end"/>
            </w:r>
          </w:hyperlink>
        </w:p>
        <w:p w14:paraId="7E58F91F" w14:textId="7F5C0EE0" w:rsidR="00E31064" w:rsidRDefault="00E31064">
          <w:pPr>
            <w:pStyle w:val="TOC2"/>
            <w:tabs>
              <w:tab w:val="right" w:leader="dot" w:pos="9016"/>
            </w:tabs>
            <w:rPr>
              <w:rFonts w:asciiTheme="minorHAnsi" w:eastAsiaTheme="minorEastAsia" w:hAnsiTheme="minorHAnsi"/>
              <w:noProof/>
              <w:color w:val="auto"/>
              <w:sz w:val="24"/>
              <w:szCs w:val="24"/>
              <w:lang w:eastAsia="en-GB"/>
            </w:rPr>
          </w:pPr>
          <w:hyperlink w:anchor="_Toc222819913" w:history="1">
            <w:r>
              <w:rPr>
                <w:rStyle w:val="Hyperlink"/>
                <w:noProof/>
              </w:rPr>
              <w:t>Competence, Awareness and Supply Chain Engagement</w:t>
            </w:r>
            <w:r>
              <w:rPr>
                <w:noProof/>
                <w:webHidden/>
              </w:rPr>
              <w:tab/>
            </w:r>
            <w:r>
              <w:rPr>
                <w:noProof/>
                <w:webHidden/>
              </w:rPr>
              <w:fldChar w:fldCharType="begin"/>
            </w:r>
            <w:r>
              <w:rPr>
                <w:noProof/>
                <w:webHidden/>
              </w:rPr>
              <w:instrText xml:space="preserve"> PAGEREF _Toc222819913 \h </w:instrText>
            </w:r>
            <w:r>
              <w:rPr>
                <w:noProof/>
                <w:webHidden/>
              </w:rPr>
            </w:r>
            <w:r>
              <w:rPr>
                <w:noProof/>
                <w:webHidden/>
              </w:rPr>
              <w:fldChar w:fldCharType="separate"/>
            </w:r>
            <w:r>
              <w:rPr>
                <w:noProof/>
                <w:webHidden/>
              </w:rPr>
              <w:t>5</w:t>
            </w:r>
            <w:r>
              <w:rPr>
                <w:noProof/>
                <w:webHidden/>
              </w:rPr>
              <w:fldChar w:fldCharType="end"/>
            </w:r>
          </w:hyperlink>
        </w:p>
        <w:p w14:paraId="365A1046" w14:textId="49E08527" w:rsidR="00E31064" w:rsidRDefault="00E31064">
          <w:pPr>
            <w:pStyle w:val="TOC2"/>
            <w:tabs>
              <w:tab w:val="right" w:leader="dot" w:pos="9016"/>
            </w:tabs>
            <w:rPr>
              <w:rFonts w:asciiTheme="minorHAnsi" w:eastAsiaTheme="minorEastAsia" w:hAnsiTheme="minorHAnsi"/>
              <w:noProof/>
              <w:color w:val="auto"/>
              <w:sz w:val="24"/>
              <w:szCs w:val="24"/>
              <w:lang w:eastAsia="en-GB"/>
            </w:rPr>
          </w:pPr>
          <w:hyperlink w:anchor="_Toc222819914" w:history="1">
            <w:r>
              <w:rPr>
                <w:rStyle w:val="Hyperlink"/>
                <w:noProof/>
              </w:rPr>
              <w:t>Responsibilities</w:t>
            </w:r>
            <w:r>
              <w:rPr>
                <w:noProof/>
                <w:webHidden/>
              </w:rPr>
              <w:tab/>
            </w:r>
            <w:r>
              <w:rPr>
                <w:noProof/>
                <w:webHidden/>
              </w:rPr>
              <w:fldChar w:fldCharType="begin"/>
            </w:r>
            <w:r>
              <w:rPr>
                <w:noProof/>
                <w:webHidden/>
              </w:rPr>
              <w:instrText xml:space="preserve"> PAGEREF _Toc222819914 \h </w:instrText>
            </w:r>
            <w:r>
              <w:rPr>
                <w:noProof/>
                <w:webHidden/>
              </w:rPr>
            </w:r>
            <w:r>
              <w:rPr>
                <w:noProof/>
                <w:webHidden/>
              </w:rPr>
              <w:fldChar w:fldCharType="separate"/>
            </w:r>
            <w:r>
              <w:rPr>
                <w:noProof/>
                <w:webHidden/>
              </w:rPr>
              <w:t>5</w:t>
            </w:r>
            <w:r>
              <w:rPr>
                <w:noProof/>
                <w:webHidden/>
              </w:rPr>
              <w:fldChar w:fldCharType="end"/>
            </w:r>
          </w:hyperlink>
        </w:p>
        <w:p w14:paraId="382F2A91" w14:textId="3775019D" w:rsidR="00E31064" w:rsidRDefault="00E31064">
          <w:pPr>
            <w:pStyle w:val="TOC2"/>
            <w:tabs>
              <w:tab w:val="right" w:leader="dot" w:pos="9016"/>
            </w:tabs>
            <w:rPr>
              <w:rFonts w:asciiTheme="minorHAnsi" w:eastAsiaTheme="minorEastAsia" w:hAnsiTheme="minorHAnsi"/>
              <w:noProof/>
              <w:color w:val="auto"/>
              <w:sz w:val="24"/>
              <w:szCs w:val="24"/>
              <w:lang w:eastAsia="en-GB"/>
            </w:rPr>
          </w:pPr>
          <w:hyperlink w:anchor="_Toc222819915" w:history="1">
            <w:r>
              <w:rPr>
                <w:rStyle w:val="Hyperlink"/>
                <w:noProof/>
              </w:rPr>
              <w:t>Monitoring and Continuous Improvement</w:t>
            </w:r>
            <w:r>
              <w:rPr>
                <w:noProof/>
                <w:webHidden/>
              </w:rPr>
              <w:tab/>
            </w:r>
            <w:r>
              <w:rPr>
                <w:noProof/>
                <w:webHidden/>
              </w:rPr>
              <w:fldChar w:fldCharType="begin"/>
            </w:r>
            <w:r>
              <w:rPr>
                <w:noProof/>
                <w:webHidden/>
              </w:rPr>
              <w:instrText xml:space="preserve"> PAGEREF _Toc222819915 \h </w:instrText>
            </w:r>
            <w:r>
              <w:rPr>
                <w:noProof/>
                <w:webHidden/>
              </w:rPr>
            </w:r>
            <w:r>
              <w:rPr>
                <w:noProof/>
                <w:webHidden/>
              </w:rPr>
              <w:fldChar w:fldCharType="separate"/>
            </w:r>
            <w:r>
              <w:rPr>
                <w:noProof/>
                <w:webHidden/>
              </w:rPr>
              <w:t>5</w:t>
            </w:r>
            <w:r>
              <w:rPr>
                <w:noProof/>
                <w:webHidden/>
              </w:rPr>
              <w:fldChar w:fldCharType="end"/>
            </w:r>
          </w:hyperlink>
        </w:p>
        <w:p w14:paraId="27DD8FD7" w14:textId="0480CE0D"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CF3D009" w14:textId="77777777" w:rsidR="00DC2911" w:rsidRDefault="00DC2911" w:rsidP="00DC2911">
      <w:pPr>
        <w:tabs>
          <w:tab w:val="left" w:pos="6360"/>
        </w:tabs>
      </w:pPr>
    </w:p>
    <w:p w14:paraId="7BFA2C42" w14:textId="77777777" w:rsidR="00421754" w:rsidRDefault="00421754" w:rsidP="00DC2911">
      <w:pPr>
        <w:tabs>
          <w:tab w:val="left" w:pos="6360"/>
        </w:tabs>
      </w:pPr>
    </w:p>
    <w:p w14:paraId="326DA131" w14:textId="77777777" w:rsidR="00421754" w:rsidRDefault="00421754" w:rsidP="00DC2911">
      <w:pPr>
        <w:tabs>
          <w:tab w:val="left" w:pos="6360"/>
        </w:tabs>
      </w:pPr>
    </w:p>
    <w:p w14:paraId="26D04A84" w14:textId="77777777" w:rsidR="00494CBF" w:rsidRDefault="00494CBF" w:rsidP="00DC2911">
      <w:pPr>
        <w:tabs>
          <w:tab w:val="left" w:pos="6360"/>
        </w:tabs>
      </w:pPr>
    </w:p>
    <w:p w14:paraId="3E77B536" w14:textId="77777777" w:rsidR="00494CBF" w:rsidRDefault="00494CBF" w:rsidP="00DC2911">
      <w:pPr>
        <w:tabs>
          <w:tab w:val="left" w:pos="6360"/>
        </w:tabs>
      </w:pPr>
    </w:p>
    <w:p w14:paraId="3E6C05D5" w14:textId="77777777" w:rsidR="00A87218" w:rsidRDefault="00A87218" w:rsidP="00DC2911">
      <w:pPr>
        <w:tabs>
          <w:tab w:val="left" w:pos="6360"/>
        </w:tabs>
      </w:pPr>
    </w:p>
    <w:p w14:paraId="1DEF4A52" w14:textId="77777777" w:rsidR="00A87218" w:rsidRDefault="00A87218" w:rsidP="00DC2911">
      <w:pPr>
        <w:tabs>
          <w:tab w:val="left" w:pos="6360"/>
        </w:tabs>
      </w:pPr>
    </w:p>
    <w:p w14:paraId="08D769E8" w14:textId="77777777" w:rsidR="00A87218" w:rsidRDefault="00A87218" w:rsidP="00DC2911">
      <w:pPr>
        <w:tabs>
          <w:tab w:val="left" w:pos="6360"/>
        </w:tabs>
      </w:pPr>
    </w:p>
    <w:p w14:paraId="185CC502" w14:textId="42D8E3C8" w:rsidR="00A87218" w:rsidRDefault="00A87218" w:rsidP="00A87218">
      <w:pPr>
        <w:pStyle w:val="Heading1"/>
      </w:pPr>
      <w:bookmarkStart w:id="0" w:name="_Toc222819906"/>
      <w:r>
        <w:t>Introduction</w:t>
      </w:r>
      <w:bookmarkEnd w:id="0"/>
    </w:p>
    <w:p w14:paraId="778AF8BF" w14:textId="2D22072A" w:rsidR="00A87218" w:rsidRDefault="00A87218" w:rsidP="00A87218">
      <w:pPr>
        <w:tabs>
          <w:tab w:val="left" w:pos="6360"/>
        </w:tabs>
      </w:pPr>
      <w:commentRangeStart w:id="1"/>
      <w:r>
        <w:rPr>
          <w:highlight w:val="yellow"/>
        </w:rPr>
        <w:t>⟦legalName⟧ (⟦short⟧) operates within the United Kingdom construction industry as a specialist contractor undertaking the manufacture, supply and installation of ventilation and ductwork systems. Construction activities have inherent environmental impacts, including resource consumption, waste generation, emissions to air, noise, transport-related carbon emissions and the potential for pollution incidents if not properly managed.</w:t>
      </w:r>
      <w:commentRangeEnd w:id="1"/>
      <w:r>
        <w:commentReference w:id="1"/>
      </w:r>
    </w:p>
    <w:p w14:paraId="24336C0D" w14:textId="206F6325" w:rsidR="00A87218" w:rsidRDefault="00A87218" w:rsidP="00A87218">
      <w:pPr>
        <w:tabs>
          <w:tab w:val="left" w:pos="6360"/>
        </w:tabs>
      </w:pPr>
      <w:r>
        <w:t>The UK construction sector is subject to comprehensive environmental regulation and increasing expectations relating to sustainable development, carbon reduction, responsible sourcing and waste minimisation. Legislative drivers such as the Environmental Protection Act 1990, the Climate Change Act 2008, the Environment Act 2021 and the Construction (Design and Management) Regulations 2015 require contractors to plan, manage and monitor work in a manner that minimises environmental harm and promotes responsible resource use.</w:t>
      </w:r>
    </w:p>
    <w:p w14:paraId="1836F5E0" w14:textId="544A4203" w:rsidR="00A87218" w:rsidRDefault="00A87218" w:rsidP="00A87218">
      <w:pPr>
        <w:tabs>
          <w:tab w:val="left" w:pos="6360"/>
        </w:tabs>
      </w:pPr>
      <w:r>
        <w:t>⟦short⟧ recognises that environmental performance is an integral component of safe and competent construction delivery. Effective environmental management supports legal compliance, protects natural resources, enhances workforce awareness and contributes to the long-term sustainability of the built environment.</w:t>
      </w:r>
    </w:p>
    <w:p w14:paraId="0F835A9C" w14:textId="77777777" w:rsidR="00A87218" w:rsidRDefault="00A87218" w:rsidP="00A87218">
      <w:pPr>
        <w:tabs>
          <w:tab w:val="left" w:pos="6360"/>
        </w:tabs>
      </w:pPr>
      <w:r>
        <w:t>This policy establishes the framework through which ⟦short⟧ manages its environmental responsibilities and embeds sustainable practices into its operations.</w:t>
      </w:r>
    </w:p>
    <w:p w14:paraId="3D37CA0B" w14:textId="77777777" w:rsidR="00A87218" w:rsidRDefault="00A87218" w:rsidP="00A87218">
      <w:pPr>
        <w:tabs>
          <w:tab w:val="left" w:pos="6360"/>
        </w:tabs>
      </w:pPr>
    </w:p>
    <w:p w14:paraId="0E90B107" w14:textId="2300A0B1" w:rsidR="00A87218" w:rsidRDefault="00A87218" w:rsidP="00AE2F20">
      <w:pPr>
        <w:pStyle w:val="Heading2"/>
      </w:pPr>
      <w:bookmarkStart w:id="1" w:name="_Toc222819907"/>
      <w:r>
        <w:t>Policy Statement</w:t>
      </w:r>
      <w:bookmarkEnd w:id="1"/>
    </w:p>
    <w:p w14:paraId="4C021CE9" w14:textId="08541702" w:rsidR="00A87218" w:rsidRDefault="00A87218" w:rsidP="00A87218">
      <w:pPr>
        <w:tabs>
          <w:tab w:val="left" w:pos="6360"/>
        </w:tabs>
      </w:pPr>
      <w:r>
        <w:t>⟦short⟧ is committed to preventing pollution, complying with applicable environmental legislation and continually improving environmental performance across its activities.</w:t>
      </w:r>
    </w:p>
    <w:p w14:paraId="313949FD" w14:textId="764E671E" w:rsidR="00A87218" w:rsidRDefault="00A87218" w:rsidP="00A87218">
      <w:pPr>
        <w:tabs>
          <w:tab w:val="left" w:pos="6360"/>
        </w:tabs>
      </w:pPr>
      <w:r>
        <w:t>The company will manage its operations in a manner that minimises waste, reduces resource consumption, prevents environmental incidents and supports national objectives relating to climate change mitigation and sustainable construction.</w:t>
      </w:r>
    </w:p>
    <w:p w14:paraId="7DD84885" w14:textId="77777777" w:rsidR="00A87218" w:rsidRDefault="00A87218" w:rsidP="00A87218">
      <w:pPr>
        <w:tabs>
          <w:tab w:val="left" w:pos="6360"/>
        </w:tabs>
      </w:pPr>
      <w:r>
        <w:t>Environmental management will be integrated into project planning, procurement, site operations and management oversight. The company recognises that sustainability considerations must be proportionate to its size and operational scope but nevertheless form a core element of responsible construction practice.</w:t>
      </w:r>
    </w:p>
    <w:p w14:paraId="6D631FCF" w14:textId="77777777" w:rsidR="00A87218" w:rsidRDefault="00A87218" w:rsidP="00A87218">
      <w:pPr>
        <w:tabs>
          <w:tab w:val="left" w:pos="6360"/>
        </w:tabs>
      </w:pPr>
    </w:p>
    <w:p w14:paraId="309A96B0" w14:textId="567AD19A" w:rsidR="00A87218" w:rsidRDefault="00A87218" w:rsidP="00AE2F20">
      <w:pPr>
        <w:pStyle w:val="Heading2"/>
      </w:pPr>
      <w:bookmarkStart w:id="2" w:name="_Toc222819908"/>
      <w:r>
        <w:t>Regulatory and Industry Framework</w:t>
      </w:r>
      <w:bookmarkEnd w:id="2"/>
    </w:p>
    <w:p w14:paraId="78F978A9" w14:textId="6C30020D" w:rsidR="00A87218" w:rsidRDefault="00A87218" w:rsidP="00A87218">
      <w:pPr>
        <w:tabs>
          <w:tab w:val="left" w:pos="6360"/>
        </w:tabs>
      </w:pPr>
      <w:r>
        <w:t>This policy supports compliance with, but is not limited to, the Environmental Protection Act 1990, the Waste (England and Wales) Regulations 2011, the Hazardous Waste Regulations 2005 where applicable, the Climate Change Act 2008, the Environment Act 2021, the Clean Air Act 1993 and the Construction (Design and Management) Regulations 2015.</w:t>
      </w:r>
    </w:p>
    <w:p w14:paraId="1596D6D8" w14:textId="77777777" w:rsidR="00A87218" w:rsidRDefault="00A87218" w:rsidP="00A87218">
      <w:pPr>
        <w:tabs>
          <w:tab w:val="left" w:pos="6360"/>
        </w:tabs>
      </w:pPr>
      <w:r>
        <w:t>The company also acknowledges the importance of sustainable construction principles promoted across the UK built environment sector, including resource efficiency, waste reduction, carbon awareness and supply chain competence development.</w:t>
      </w:r>
    </w:p>
    <w:p w14:paraId="215FA773" w14:textId="77777777" w:rsidR="00AE2F20" w:rsidRDefault="00AE2F20" w:rsidP="00A87218">
      <w:pPr>
        <w:tabs>
          <w:tab w:val="left" w:pos="6360"/>
        </w:tabs>
      </w:pPr>
    </w:p>
    <w:p w14:paraId="51F23FFE" w14:textId="77777777" w:rsidR="00AE2F20" w:rsidRDefault="00AE2F20" w:rsidP="00A87218">
      <w:pPr>
        <w:tabs>
          <w:tab w:val="left" w:pos="6360"/>
        </w:tabs>
      </w:pPr>
    </w:p>
    <w:p w14:paraId="3B8428E6" w14:textId="77777777" w:rsidR="00AE2F20" w:rsidRDefault="00AE2F20" w:rsidP="00A87218">
      <w:pPr>
        <w:tabs>
          <w:tab w:val="left" w:pos="6360"/>
        </w:tabs>
      </w:pPr>
    </w:p>
    <w:p w14:paraId="23FA1C3F" w14:textId="77777777" w:rsidR="00AE2F20" w:rsidRDefault="00AE2F20" w:rsidP="00A87218">
      <w:pPr>
        <w:tabs>
          <w:tab w:val="left" w:pos="6360"/>
        </w:tabs>
      </w:pPr>
    </w:p>
    <w:p w14:paraId="0966A4F9" w14:textId="77777777" w:rsidR="00AE2F20" w:rsidRDefault="00AE2F20" w:rsidP="00A87218">
      <w:pPr>
        <w:tabs>
          <w:tab w:val="left" w:pos="6360"/>
        </w:tabs>
      </w:pPr>
    </w:p>
    <w:p w14:paraId="6DAC3B2A" w14:textId="77777777" w:rsidR="00AE2F20" w:rsidRDefault="00AE2F20" w:rsidP="00A87218">
      <w:pPr>
        <w:tabs>
          <w:tab w:val="left" w:pos="6360"/>
        </w:tabs>
      </w:pPr>
    </w:p>
    <w:p w14:paraId="56BCE23A" w14:textId="77777777" w:rsidR="00A87218" w:rsidRDefault="00A87218" w:rsidP="00A87218">
      <w:pPr>
        <w:tabs>
          <w:tab w:val="left" w:pos="6360"/>
        </w:tabs>
      </w:pPr>
    </w:p>
    <w:p w14:paraId="50446934" w14:textId="5A3C5436" w:rsidR="00A87218" w:rsidRDefault="00A87218" w:rsidP="00AE2F20">
      <w:pPr>
        <w:pStyle w:val="Heading2"/>
      </w:pPr>
      <w:bookmarkStart w:id="3" w:name="_Toc222819909"/>
      <w:r>
        <w:t>Identification and Management of Environmental Aspects</w:t>
      </w:r>
      <w:bookmarkEnd w:id="3"/>
    </w:p>
    <w:p w14:paraId="60B1B74D" w14:textId="54E68655" w:rsidR="00A87218" w:rsidRDefault="00A87218" w:rsidP="00A87218">
      <w:pPr>
        <w:tabs>
          <w:tab w:val="left" w:pos="6360"/>
        </w:tabs>
      </w:pPr>
      <w:commentRangeStart w:id="2"/>
      <w:r>
        <w:rPr>
          <w:highlight w:val="yellow"/>
        </w:rPr>
        <w:t>⟦short⟧ recognises that its operations may give rise to environmental aspects including, but not limited to, the generation of scrap metal ductwork and off-cuts, insulation waste and packaging materials; vehicle emissions associated with transportation of materials and workforce; electricity consumption in any workshop or storage facility; noise and dust arising from cutting, drilling or installation works; and the risk of pollution from fuels, oils, sealants or other substances.</w:t>
      </w:r>
      <w:commentRangeEnd w:id="2"/>
      <w:r>
        <w:commentReference w:id="2"/>
      </w:r>
    </w:p>
    <w:p w14:paraId="3DBBFC70" w14:textId="18696500" w:rsidR="00A87218" w:rsidRDefault="00A87218" w:rsidP="00A87218">
      <w:pPr>
        <w:tabs>
          <w:tab w:val="left" w:pos="6360"/>
        </w:tabs>
      </w:pPr>
      <w:r>
        <w:t>Environmental aspects will be considered during pre-construction planning and incorporated into risk assessments and method statements where relevant. Site-specific environmental controls imposed by the Principal Designer, Principal Contractor or client will be reviewed and communicated to operatives through site inductions and briefings.</w:t>
      </w:r>
    </w:p>
    <w:p w14:paraId="1F37127F" w14:textId="77777777" w:rsidR="00A87218" w:rsidRDefault="00A87218" w:rsidP="00A87218">
      <w:pPr>
        <w:tabs>
          <w:tab w:val="left" w:pos="6360"/>
        </w:tabs>
      </w:pPr>
    </w:p>
    <w:p w14:paraId="447E6380" w14:textId="33A188B0" w:rsidR="00A87218" w:rsidRDefault="00A87218" w:rsidP="00AE2F20">
      <w:pPr>
        <w:pStyle w:val="Heading2"/>
      </w:pPr>
      <w:bookmarkStart w:id="4" w:name="_Toc222819910"/>
      <w:r>
        <w:t>Waste Management and Resource Efficiency</w:t>
      </w:r>
      <w:bookmarkEnd w:id="4"/>
    </w:p>
    <w:p w14:paraId="29484967" w14:textId="201CDBCB" w:rsidR="00A87218" w:rsidRDefault="00A87218" w:rsidP="00A87218">
      <w:pPr>
        <w:tabs>
          <w:tab w:val="left" w:pos="6360"/>
        </w:tabs>
      </w:pPr>
      <w:commentRangeStart w:id="3"/>
      <w:r>
        <w:rPr>
          <w:highlight w:val="yellow"/>
        </w:rPr>
        <w:t>⟦short⟧ is committed to applying the waste hierarchy of prevention, reduce, reuse, recycling, recover and responsible disposal. Material quantities will be planned carefully to minimise surplus. Off-cuts of metal ductwork will, where practicable, be segregated for recycling.</w:t>
      </w:r>
      <w:commentRangeEnd w:id="3"/>
      <w:r>
        <w:commentReference w:id="3"/>
      </w:r>
    </w:p>
    <w:p w14:paraId="77C6E385" w14:textId="2786D948" w:rsidR="00AE2F20" w:rsidRPr="00E31064" w:rsidRDefault="00AE2F20" w:rsidP="00AE2F20">
      <w:pPr>
        <w:tabs>
          <w:tab w:val="left" w:pos="6360"/>
        </w:tabs>
        <w:jc w:val="center"/>
        <w:rPr>
          <w:b/>
          <w:bCs/>
        </w:rPr>
      </w:pPr>
      <w:r>
        <w:rPr>
          <w:b/>
          <w:bCs/>
        </w:rPr>
        <w:t>The UK Waste Hierarchy</w:t>
      </w:r>
    </w:p>
    <w:p w14:paraId="13E5F6A0" w14:textId="46C7638A" w:rsidR="00AE2F20" w:rsidRDefault="00AE2F20" w:rsidP="00AE2F20">
      <w:pPr>
        <w:tabs>
          <w:tab w:val="left" w:pos="6360"/>
        </w:tabs>
        <w:jc w:val="center"/>
      </w:pPr>
      <w:r>
        <w:rPr>
          <w:noProof/>
        </w:rPr>
        <w:drawing>
          <wp:inline distT="0" distB="0" distL="0" distR="0" wp14:anchorId="6A428B7C" wp14:editId="19E7FB0C">
            <wp:extent cx="2698750" cy="1822389"/>
            <wp:effectExtent l="0" t="0" r="6350" b="6985"/>
            <wp:docPr id="132255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7120" name=""/>
                    <pic:cNvPicPr/>
                  </pic:nvPicPr>
                  <pic:blipFill>
                    <a:blip r:embed="rId8"/>
                    <a:stretch>
                      <a:fillRect/>
                    </a:stretch>
                  </pic:blipFill>
                  <pic:spPr>
                    <a:xfrm>
                      <a:off x="0" y="0"/>
                      <a:ext cx="2703492" cy="1825591"/>
                    </a:xfrm>
                    <a:prstGeom prst="rect">
                      <a:avLst/>
                    </a:prstGeom>
                  </pic:spPr>
                </pic:pic>
              </a:graphicData>
            </a:graphic>
          </wp:inline>
        </w:drawing>
      </w:r>
    </w:p>
    <w:p w14:paraId="61673EDC" w14:textId="7F1E9EA4" w:rsidR="00A87218" w:rsidRDefault="00A87218" w:rsidP="00A87218">
      <w:pPr>
        <w:tabs>
          <w:tab w:val="left" w:pos="6360"/>
        </w:tabs>
      </w:pPr>
      <w:r>
        <w:t>The company will fulfil its Duty of Care obligations by ensuring that waste is handled responsibly, transferred only to authorised carriers and facilities, and accompanied by appropriate documentation. Where the company transports waste, it will maintain the necessary waste carrier registration.</w:t>
      </w:r>
    </w:p>
    <w:p w14:paraId="50E36BFE" w14:textId="77777777" w:rsidR="00A87218" w:rsidRDefault="00A87218" w:rsidP="00A87218">
      <w:pPr>
        <w:tabs>
          <w:tab w:val="left" w:pos="6360"/>
        </w:tabs>
      </w:pPr>
      <w:r>
        <w:t>The company will seek to minimise packaging waste and encourage efficient use of materials. Opportunities for reuse or recycling will be considered before disposal, subject to safety and compliance requirements.</w:t>
      </w:r>
    </w:p>
    <w:p w14:paraId="3FB2C298" w14:textId="77777777" w:rsidR="00A87218" w:rsidRDefault="00A87218" w:rsidP="00A87218">
      <w:pPr>
        <w:tabs>
          <w:tab w:val="left" w:pos="6360"/>
        </w:tabs>
      </w:pPr>
    </w:p>
    <w:p w14:paraId="47E01A75" w14:textId="77777777" w:rsidR="00A87218" w:rsidRDefault="00A87218" w:rsidP="00E31064">
      <w:pPr>
        <w:pStyle w:val="Heading2"/>
      </w:pPr>
      <w:bookmarkStart w:id="5" w:name="_Toc222819911"/>
      <w:r>
        <w:t>Pollution Prevention and Environmental Protection</w:t>
      </w:r>
      <w:bookmarkEnd w:id="5"/>
    </w:p>
    <w:p w14:paraId="39ABF959" w14:textId="20112812" w:rsidR="00A87218" w:rsidRDefault="00A87218" w:rsidP="00A87218">
      <w:pPr>
        <w:tabs>
          <w:tab w:val="left" w:pos="6360"/>
        </w:tabs>
      </w:pPr>
      <w:r>
        <w:t>⟦short⟧ will implement proportionate controls to prevent pollution incidents. Fuels, oils and chemical products will be stored and handled responsibly. Spill response arrangements will be established where relevant, and personnel will be briefed on emergency procedures.</w:t>
      </w:r>
    </w:p>
    <w:p w14:paraId="59FA5887" w14:textId="0A0C55D1" w:rsidR="00A87218" w:rsidRDefault="00A87218" w:rsidP="00A87218">
      <w:pPr>
        <w:tabs>
          <w:tab w:val="left" w:pos="6360"/>
        </w:tabs>
      </w:pPr>
      <w:r>
        <w:t>No materials or waste will be disposed of in a manner that risks contamination of surface water, groundwater or land. The company will comply with site environmental controls, including dust suppression and noise management measures where required.</w:t>
      </w:r>
    </w:p>
    <w:p w14:paraId="74232BAD" w14:textId="77777777" w:rsidR="00A87218" w:rsidRDefault="00A87218" w:rsidP="00A87218">
      <w:pPr>
        <w:tabs>
          <w:tab w:val="left" w:pos="6360"/>
        </w:tabs>
      </w:pPr>
      <w:r>
        <w:t>Any environmental incident, near miss or non-conformance must be reported promptly. Incidents will be investigated and corrective action taken to prevent recurrence.</w:t>
      </w:r>
    </w:p>
    <w:p w14:paraId="415DB842" w14:textId="77777777" w:rsidR="00E31064" w:rsidRDefault="00E31064" w:rsidP="00A87218">
      <w:pPr>
        <w:tabs>
          <w:tab w:val="left" w:pos="6360"/>
        </w:tabs>
      </w:pPr>
    </w:p>
    <w:p w14:paraId="1E771E43" w14:textId="77777777" w:rsidR="00E31064" w:rsidRDefault="00E31064" w:rsidP="00A87218">
      <w:pPr>
        <w:tabs>
          <w:tab w:val="left" w:pos="6360"/>
        </w:tabs>
      </w:pPr>
    </w:p>
    <w:p w14:paraId="1553CA9F" w14:textId="77777777" w:rsidR="00E31064" w:rsidRDefault="00E31064" w:rsidP="00A87218">
      <w:pPr>
        <w:tabs>
          <w:tab w:val="left" w:pos="6360"/>
        </w:tabs>
      </w:pPr>
    </w:p>
    <w:p w14:paraId="044F76A0" w14:textId="77777777" w:rsidR="00A87218" w:rsidRDefault="00A87218" w:rsidP="00A87218">
      <w:pPr>
        <w:tabs>
          <w:tab w:val="left" w:pos="6360"/>
        </w:tabs>
      </w:pPr>
    </w:p>
    <w:p w14:paraId="7EBAAF38" w14:textId="1E41B47E" w:rsidR="00A87218" w:rsidRDefault="00A87218" w:rsidP="00E31064">
      <w:pPr>
        <w:pStyle w:val="Heading2"/>
      </w:pPr>
      <w:bookmarkStart w:id="6" w:name="_Toc222819912"/>
      <w:r>
        <w:t>Energy Use and Climate Change Considerations</w:t>
      </w:r>
      <w:bookmarkEnd w:id="6"/>
    </w:p>
    <w:p w14:paraId="025A950F" w14:textId="40B9E06D" w:rsidR="00A87218" w:rsidRDefault="00A87218" w:rsidP="00A87218">
      <w:pPr>
        <w:tabs>
          <w:tab w:val="left" w:pos="6360"/>
        </w:tabs>
      </w:pPr>
      <w:r>
        <w:t>The company recognises that its primary carbon impacts arise from fuel consumption associated with company vehicles and plant, and from electricity use within operational premises where applicable.</w:t>
      </w:r>
    </w:p>
    <w:p w14:paraId="0DA14625" w14:textId="02750A60" w:rsidR="00A87218" w:rsidRDefault="00A87218" w:rsidP="00A87218">
      <w:pPr>
        <w:tabs>
          <w:tab w:val="left" w:pos="6360"/>
        </w:tabs>
      </w:pPr>
      <w:r>
        <w:t>⟦short⟧ will promote efficient vehicle use through maintenance, responsible driving practices and minimising unnecessary engine idling. Where feasible and proportionate, the company will consider opportunities to improve energy efficiency and reduce emissions associated with its activities.</w:t>
      </w:r>
    </w:p>
    <w:p w14:paraId="7F0CA4D2" w14:textId="77777777" w:rsidR="00A87218" w:rsidRDefault="00A87218" w:rsidP="00A87218">
      <w:pPr>
        <w:tabs>
          <w:tab w:val="left" w:pos="6360"/>
        </w:tabs>
      </w:pPr>
      <w:r>
        <w:t>In line with broader UK climate objectives and evolving construction industry standards, the company will monitor developments relating to carbon reporting and reduction practices and will seek to improve its understanding of its environmental footprint over time.</w:t>
      </w:r>
    </w:p>
    <w:p w14:paraId="231C1303" w14:textId="77777777" w:rsidR="00A87218" w:rsidRDefault="00A87218" w:rsidP="00A87218">
      <w:pPr>
        <w:tabs>
          <w:tab w:val="left" w:pos="6360"/>
        </w:tabs>
      </w:pPr>
    </w:p>
    <w:p w14:paraId="5E091E08" w14:textId="49749635" w:rsidR="00A87218" w:rsidRDefault="00A87218" w:rsidP="00E31064">
      <w:pPr>
        <w:pStyle w:val="Heading2"/>
      </w:pPr>
      <w:bookmarkStart w:id="7" w:name="_Toc222819913"/>
      <w:r>
        <w:t>Competence, Awareness and Supply Chain Engagement</w:t>
      </w:r>
      <w:bookmarkEnd w:id="7"/>
    </w:p>
    <w:p w14:paraId="79430512" w14:textId="1BD0DF95" w:rsidR="00A87218" w:rsidRDefault="00A87218" w:rsidP="00A87218">
      <w:pPr>
        <w:tabs>
          <w:tab w:val="left" w:pos="6360"/>
        </w:tabs>
      </w:pPr>
      <w:r>
        <w:t>Environmental awareness forms part of ⟦short⟧’s induction and ongoing workforce communication processes. Employees are expected to understand their environmental responsibilities, including waste segregation, pollution prevention and reporting obligations.</w:t>
      </w:r>
    </w:p>
    <w:p w14:paraId="12FECBD1" w14:textId="52BB2BC1" w:rsidR="00A87218" w:rsidRDefault="00A87218" w:rsidP="00A87218">
      <w:pPr>
        <w:tabs>
          <w:tab w:val="left" w:pos="6360"/>
        </w:tabs>
      </w:pPr>
      <w:r>
        <w:t>The company supports continuous learning and will encourage engagement with recognised sustainability training resources within the construction industry to improve competence and awareness.</w:t>
      </w:r>
    </w:p>
    <w:p w14:paraId="12FECBD2" w14:textId="52BB2BC2" w:rsidR="00A87218" w:rsidRDefault="00A87218" w:rsidP="00A87218">
      <w:pPr>
        <w:tabs>
          <w:tab w:val="left" w:pos="6360"/>
        </w:tabs>
      </w:pPr>
      <w:r>
        <w:t>To support its in-house resource, ⟦short⟧ has appointed Archer Health and Safety Limited as its external environmental advisor. Archer Health and Safety Limited, represented by Simon Archer, leads ⟦short⟧ on environmental matters by developing the company’s environmental policy and supporting documentation, designing the environmental training matrix and refresher training programme, sourcing or delivering training content, monitoring legislative change, and providing ongoing technical guidance to the Managing Director and project teams. The advisor reports directly to the Managing Director and supports the company in maintaining a competent workforce capable of delivering its environmental obligations.</w:t>
      </w:r>
    </w:p>
    <w:p w14:paraId="6857D364" w14:textId="77777777" w:rsidR="00E31064" w:rsidRDefault="00E31064" w:rsidP="00A87218">
      <w:pPr>
        <w:tabs>
          <w:tab w:val="left" w:pos="6360"/>
        </w:tabs>
      </w:pPr>
    </w:p>
    <w:p w14:paraId="11A50001" w14:textId="11A50001" w:rsidR="00A87218" w:rsidRDefault="00A87218" w:rsidP="00E31064">
      <w:pPr>
        <w:pStyle w:val="Heading2"/>
      </w:pPr>
      <w:r>
        <w:t>Training Arrangements</w:t>
      </w:r>
    </w:p>
    <w:p w14:paraId="11A50002" w14:textId="19830519" w:rsidR="00A87218" w:rsidRDefault="00A87218" w:rsidP="00A87218">
      <w:pPr>
        <w:tabs>
          <w:tab w:val="left" w:pos="6360"/>
        </w:tabs>
      </w:pPr>
      <w:r>
        <w:t>⟦short⟧’s training arrangements are proportionate to its size and operating model as a small specialist sub-contractor providing labour and a degree of workshop fabrication</w:t>
      </w:r>
      <w:r w:rsidR="00B876C8">
        <w:t xml:space="preserve">. </w:t>
      </w:r>
      <w:r>
        <w:t>The arrangements are designed to ensure that every operative on a ⟦legalName⟧ site can identify the environmental risks of their own work and act on them without needing to refer to a specialist.</w:t>
      </w:r>
    </w:p>
    <w:p w14:paraId="11A50003" w14:textId="11A50003" w:rsidR="00A87218" w:rsidRDefault="00A87218" w:rsidP="00A87218">
      <w:pPr>
        <w:tabs>
          <w:tab w:val="left" w:pos="6360"/>
        </w:tabs>
      </w:pPr>
      <w:commentRangeStart w:id="4"/>
      <w:r>
        <w:rPr>
          <w:highlight w:val="yellow"/>
        </w:rPr>
        <w:t>Every employee and labour-only sub-contractor receives an environmental briefing as part of ⟦short⟧’s site induction before starting work. The briefing covers the company’s environmental commitments, the principal environmental risks of ductwork installation (waste, dust, spills, noise), the segregation arrangements on the live project, and the procedure for reporting environmental incidents and near misses. The induction is delivered by the site supervisor or by the appointed external environmental advisor and is acknowledged by signature on the induction record.</w:t>
      </w:r>
      <w:commentRangeEnd w:id="4"/>
      <w:r>
        <w:commentReference w:id="4"/>
      </w:r>
    </w:p>
    <w:p w14:paraId="11A50004" w14:textId="11A50004" w:rsidR="00A87218" w:rsidRDefault="00A87218" w:rsidP="00A87218">
      <w:pPr>
        <w:tabs>
          <w:tab w:val="left" w:pos="6360"/>
        </w:tabs>
      </w:pPr>
      <w:r>
        <w:t>Topic-specific training is delivered through a rolling programme of short toolbox talks, captured on a signed attendance sheet and recorded in the company’s training matrix. To supplement in-house training, the management team and supervisors are enrolled on accredited e-learning modules made available free of charge through the Supply Chain Sustainability School. The Managing Director and any site supervisors are required to complete the “Introduction to Environmental Management” module as a minimum, and CPD certificates are retained alongside the matrix.</w:t>
      </w:r>
    </w:p>
    <w:p w14:paraId="11A50005" w14:textId="11A50005" w:rsidR="00A87218" w:rsidRDefault="00A87218" w:rsidP="00A87218">
      <w:pPr>
        <w:tabs>
          <w:tab w:val="left" w:pos="6360"/>
        </w:tabs>
      </w:pPr>
      <w:r>
        <w:t>Where a Tier 1 principal contractor requires project-specific training (for example carbon literacy, an environmental site induction, or a particular waste management protocol), ⟦short⟧ personnel will complete it before commencing work and the record will be added to the matrix. Where a project, change in legislation or incident outcome requires training that exceeds in-house capability, the appointed external environmental advisor will source it from an accredited provider.</w:t>
      </w:r>
    </w:p>
    <w:p w14:paraId="11A50006" w14:textId="11A50006" w:rsidR="00A87218" w:rsidRDefault="00A87218" w:rsidP="00A87218">
      <w:pPr>
        <w:tabs>
          <w:tab w:val="left" w:pos="6360"/>
        </w:tabs>
      </w:pPr>
      <w:r>
        <w:lastRenderedPageBreak/>
        <w:t>Understanding is verified by a combination of signed acknowledgement at the point of delivery, supervisor observation of behaviour on site, and review of the company’s incident and near-miss record. Where understanding is judged inadequate, additional briefing is delivered and recorded.</w:t>
      </w:r>
    </w:p>
    <w:p w14:paraId="11A50010" w14:textId="11A50010" w:rsidR="00A87218" w:rsidRDefault="00A87218" w:rsidP="00E31064">
      <w:pPr>
        <w:pStyle w:val="Heading2"/>
      </w:pPr>
      <w:r>
        <w:t>Refresher Schedule</w:t>
      </w:r>
    </w:p>
    <w:p w14:paraId="11A50011" w14:textId="11A50011" w:rsidR="00A87218" w:rsidRDefault="00A87218" w:rsidP="00A87218">
      <w:pPr>
        <w:tabs>
          <w:tab w:val="left" w:pos="6360"/>
        </w:tabs>
      </w:pPr>
      <w:r>
        <w:t>The standing topics below are delivered on a rolling cycle. Frequencies reflect the relative environmental risk of each topic on a typical ⟦legalName⟧ project, balanced against the practicality of toolbox talks for a small workforce. The schedule is reviewed annually by the Managing Director with the appointed external environmental advisor, and earlier where a change in legislation, client requirement, or near-miss outcome calls for it.</w:t>
      </w:r>
    </w:p>
    <w:p w14:paraId="11A50012" w14:textId="11A50012" w:rsidR="00A87218" w:rsidRDefault="00A87218" w:rsidP="00A87218">
      <w:pPr>
        <w:pStyle w:val="ListParagraph"/>
        <w:numPr>
          <w:ilvl w:val="0"/>
          <w:numId w:val="9"/>
        </w:numPr>
      </w:pPr>
      <w:r>
        <w:t>Site environmental induction — every operative, before starting on every new project.</w:t>
      </w:r>
    </w:p>
    <w:p w14:paraId="11A50013" w14:textId="11A50013" w:rsidR="00A87218" w:rsidRDefault="00A87218" w:rsidP="00A87218">
      <w:pPr>
        <w:pStyle w:val="ListParagraph"/>
        <w:numPr>
          <w:ilvl w:val="0"/>
          <w:numId w:val="9"/>
        </w:numPr>
      </w:pPr>
      <w:r>
        <w:t>Waste segregation and Duty of Care — toolbox talk every 6 months.</w:t>
      </w:r>
    </w:p>
    <w:p w14:paraId="11A50014" w14:textId="11A50014" w:rsidR="00A87218" w:rsidRDefault="00A87218" w:rsidP="00A87218">
      <w:pPr>
        <w:pStyle w:val="ListParagraph"/>
        <w:numPr>
          <w:ilvl w:val="0"/>
          <w:numId w:val="9"/>
        </w:numPr>
      </w:pPr>
      <w:r>
        <w:t>Spill prevention and response — toolbox talk every 6 months, plus a kit check at the same interval.</w:t>
      </w:r>
    </w:p>
    <w:p w14:paraId="11A50015" w14:textId="11A50015" w:rsidR="00A87218" w:rsidRDefault="00A87218" w:rsidP="00A87218">
      <w:pPr>
        <w:pStyle w:val="ListParagraph"/>
        <w:numPr>
          <w:ilvl w:val="0"/>
          <w:numId w:val="9"/>
        </w:numPr>
      </w:pPr>
      <w:r>
        <w:t>Energy, fuel and efficient driving — toolbox talk annually.</w:t>
      </w:r>
    </w:p>
    <w:p w14:paraId="11A50016" w14:textId="11A50016" w:rsidR="00A87218" w:rsidRDefault="00A87218" w:rsidP="00A87218">
      <w:pPr>
        <w:pStyle w:val="ListParagraph"/>
        <w:numPr>
          <w:ilvl w:val="0"/>
          <w:numId w:val="9"/>
        </w:numPr>
      </w:pPr>
      <w:r>
        <w:t>Noise, dust and air quality during cutting and drilling — toolbox talk annually.</w:t>
      </w:r>
    </w:p>
    <w:p w14:paraId="11A50017" w14:textId="11A50017" w:rsidR="00A87218" w:rsidRDefault="00A87218" w:rsidP="00A87218">
      <w:pPr>
        <w:pStyle w:val="ListParagraph"/>
        <w:numPr>
          <w:ilvl w:val="0"/>
          <w:numId w:val="9"/>
        </w:numPr>
      </w:pPr>
      <w:r>
        <w:t>Materials, packaging and responsible sourcing (BES 6001 / FSC / PEFC awareness) — briefing annually for the management team.</w:t>
      </w:r>
    </w:p>
    <w:p w14:paraId="11A50018" w14:textId="11A50018" w:rsidR="00A87218" w:rsidRDefault="00A87218" w:rsidP="00A87218">
      <w:pPr>
        <w:pStyle w:val="ListParagraph"/>
        <w:numPr>
          <w:ilvl w:val="0"/>
          <w:numId w:val="9"/>
        </w:numPr>
      </w:pPr>
      <w:r>
        <w:t>Environmental legal framework refresher — annual briefing for the management team, delivered by the appointed advisor.</w:t>
      </w:r>
    </w:p>
    <w:p w14:paraId="11A50019" w14:textId="11A50019" w:rsidR="00A87218" w:rsidRDefault="00A87218" w:rsidP="00A87218">
      <w:pPr>
        <w:tabs>
          <w:tab w:val="left" w:pos="6360"/>
        </w:tabs>
      </w:pPr>
      <w:r>
        <w:t>Toolbox talks may be delivered alongside an existing health and safety toolbox talk where the topic overlaps (for example, dust and air quality), to keep the burden on site supervisors proportionate.</w:t>
      </w:r>
    </w:p>
    <w:p w14:paraId="11A50020" w14:textId="11A50020" w:rsidR="00A87218" w:rsidRDefault="00A87218" w:rsidP="00E31064">
      <w:pPr>
        <w:pStyle w:val="Heading2"/>
      </w:pPr>
      <w:r>
        <w:t>Competence and Legal Requirements</w:t>
      </w:r>
    </w:p>
    <w:p w14:paraId="11A50021" w14:textId="11A50021" w:rsidR="00A87218" w:rsidRDefault="00A87218" w:rsidP="00A87218">
      <w:pPr>
        <w:tabs>
          <w:tab w:val="left" w:pos="6360"/>
        </w:tabs>
      </w:pPr>
      <w:r>
        <w:t>The Managing Director ensures that any person carrying out work on behalf of ⟦short⟧ is competent for the environmental aspects of the task. Competence is judged on a combination of relevant qualifications, recorded training (held in the training matrix), demonstrable site experience, and supervisor observation. Where competence is being developed, the worker is supervised by a competent person until that competence is established.</w:t>
      </w:r>
    </w:p>
    <w:p w14:paraId="11A50022" w14:textId="11A50022" w:rsidR="00A87218" w:rsidRDefault="00A87218" w:rsidP="00A87218">
      <w:pPr>
        <w:tabs>
          <w:tab w:val="left" w:pos="6360"/>
        </w:tabs>
      </w:pPr>
      <w:r>
        <w:t>The principal environmental legislation applicable to ⟦short⟧’s activities is set out in the Regulatory and Industry Framework section of this policy and is monitored on the company’s behalf by the appointed external environmental advisor. The Managing Director is informed of relevant changes and the policy, training matrix and refresher schedule are updated to reflect them. New legal requirements introduced by a Tier 1 principal contractor or client (for example a new waste segregation protocol or carbon reporting obligation) are adopted on the affected project and integrated into ⟦short⟧’s standard arrangements where practical.</w:t>
      </w:r>
    </w:p>
    <w:p w14:paraId="11A50023" w14:textId="11A50023" w:rsidR="00A87218" w:rsidRDefault="00A87218" w:rsidP="00A87218">
      <w:pPr>
        <w:tabs>
          <w:tab w:val="left" w:pos="6360"/>
        </w:tabs>
      </w:pPr>
      <w:r>
        <w:t>The competence of the appointed external environmental advisor is itself maintained through accredited continuing professional development, including modules delivered by the Supply Chain Sustainability School, the records of which are held alongside the company’s own training matrix.</w:t>
      </w:r>
    </w:p>
    <w:p w14:paraId="009BB460" w14:textId="0AE9320F" w:rsidR="00A87218" w:rsidRDefault="00A87218" w:rsidP="00E31064">
      <w:pPr>
        <w:pStyle w:val="Heading2"/>
      </w:pPr>
      <w:bookmarkStart w:id="8" w:name="_Toc222819914"/>
      <w:r>
        <w:t>Responsibilities</w:t>
      </w:r>
      <w:bookmarkEnd w:id="8"/>
    </w:p>
    <w:p w14:paraId="3242CCEA" w14:textId="3FD3AC6B" w:rsidR="00A87218" w:rsidRDefault="00A87218" w:rsidP="00A87218">
      <w:pPr>
        <w:tabs>
          <w:tab w:val="left" w:pos="6360"/>
        </w:tabs>
      </w:pPr>
      <w:r>
        <w:t>The Managing Director retains overall accountability for environmental management within the company.</w:t>
      </w:r>
    </w:p>
    <w:p w14:paraId="3242CCEB" w14:textId="3FD3AC6C" w:rsidR="00A87218" w:rsidRDefault="00A87218" w:rsidP="00A87218">
      <w:pPr>
        <w:tabs>
          <w:tab w:val="left" w:pos="6360"/>
        </w:tabs>
      </w:pPr>
      <w:r>
        <w:t>Archer Health and Safety Limited, represented by Simon Archer, is the appointed external environmental advisor and leads the company on environmental matters. The advisor is responsible for the development and review of this policy and its supporting documents (including the environmental training matrix, training arrangements and refresher training programme), the identification of relevant legislative change, the design and review of environmental toolbox talks and briefings, and the provision of competent technical advice to the Managing Director, managers and supervisors. The advisor also supports the company in monitoring environmental performance and identifying continual improvement opportunities.</w:t>
      </w:r>
    </w:p>
    <w:p w14:paraId="11B617A6" w14:textId="60B01936" w:rsidR="00A87218" w:rsidRDefault="00A87218" w:rsidP="00A87218">
      <w:pPr>
        <w:tabs>
          <w:tab w:val="left" w:pos="6360"/>
        </w:tabs>
      </w:pPr>
      <w:r>
        <w:t>Managers and supervisors are responsible for integrating environmental considerations into project planning, ensuring compliance with site-specific controls, and supervising operatives to prevent environmental harm.</w:t>
      </w:r>
    </w:p>
    <w:p w14:paraId="11B5EA70" w14:textId="77777777" w:rsidR="00A87218" w:rsidRDefault="00A87218" w:rsidP="00A87218">
      <w:pPr>
        <w:tabs>
          <w:tab w:val="left" w:pos="6360"/>
        </w:tabs>
      </w:pPr>
      <w:r>
        <w:t>All employees and associated persons are responsible for working in accordance with environmental controls, minimising waste and reporting environmental concerns without delay.</w:t>
      </w:r>
    </w:p>
    <w:p w14:paraId="4335747D" w14:textId="77777777" w:rsidR="00B876C8" w:rsidRDefault="00B876C8" w:rsidP="00A87218">
      <w:pPr>
        <w:tabs>
          <w:tab w:val="left" w:pos="6360"/>
        </w:tabs>
      </w:pPr>
    </w:p>
    <w:p w14:paraId="0AEF87D5" w14:textId="77777777" w:rsidR="00A87218" w:rsidRDefault="00A87218" w:rsidP="00A87218">
      <w:pPr>
        <w:tabs>
          <w:tab w:val="left" w:pos="6360"/>
        </w:tabs>
      </w:pPr>
    </w:p>
    <w:p w14:paraId="40D4F9BF" w14:textId="77120B87" w:rsidR="00A87218" w:rsidRDefault="00A87218" w:rsidP="00E31064">
      <w:pPr>
        <w:pStyle w:val="Heading2"/>
      </w:pPr>
      <w:bookmarkStart w:id="9" w:name="_Toc222819915"/>
      <w:r>
        <w:t>Monitoring and Continuous Improvement</w:t>
      </w:r>
      <w:bookmarkEnd w:id="9"/>
    </w:p>
    <w:p w14:paraId="0AE9BB97" w14:textId="43D9C070" w:rsidR="00A87218" w:rsidRDefault="00A87218" w:rsidP="00A87218">
      <w:pPr>
        <w:tabs>
          <w:tab w:val="left" w:pos="6360"/>
        </w:tabs>
      </w:pPr>
      <w:r>
        <w:t>⟦short⟧ is committed to continual improvement in environmental performance. Environmental matters will be reviewed periodically at management level and improvement opportunities identified where reasonably practicable.</w:t>
      </w:r>
    </w:p>
    <w:p w14:paraId="12AF01A8" w14:textId="43CE50D2" w:rsidR="00F5642A" w:rsidRDefault="00A87218" w:rsidP="00A87218">
      <w:pPr>
        <w:tabs>
          <w:tab w:val="left" w:pos="6360"/>
        </w:tabs>
      </w:pPr>
      <w:r>
        <w:t>This policy will be reviewed annually or sooner where required by legislative change or operational experience.</w:t>
      </w:r>
    </w:p>
    <w:p w14:paraId="4EFB09E7" w14:textId="77777777" w:rsidR="00494CBF" w:rsidRDefault="00494CBF" w:rsidP="00DC2911">
      <w:pPr>
        <w:tabs>
          <w:tab w:val="left" w:pos="6360"/>
        </w:tabs>
      </w:pPr>
    </w:p>
    <w:p w14:paraId="28144E80" w14:textId="77777777" w:rsidR="009A76C6" w:rsidRDefault="009A76C6" w:rsidP="00DC2911">
      <w:pPr>
        <w:tabs>
          <w:tab w:val="left" w:pos="6360"/>
        </w:tabs>
      </w:pPr>
    </w:p>
    <w:p w14:paraId="02ED5238" w14:textId="77777777" w:rsidR="009A76C6" w:rsidRPr="00EE122E" w:rsidRDefault="009A76C6" w:rsidP="009A76C6">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p w14:paraId="6577E7D0" w14:textId="77777777" w:rsidR="009A76C6" w:rsidRDefault="009A76C6" w:rsidP="009A76C6">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Managing Director, ⟦legalName⟧ </w:t>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p>
    <w:p w14:paraId="4404FC9E" w14:textId="7BFDE643" w:rsidR="009A76C6" w:rsidRPr="00EE122E" w:rsidRDefault="009A76C6" w:rsidP="009A76C6">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Date: </w:t>
      </w:r>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sidR="00B876C8">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sidR="00B876C8">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fldChar w:fldCharType="end"/>
      </w:r>
    </w:p>
    <w:p w14:paraId="0E5C1304" w14:textId="77777777" w:rsidR="009A76C6" w:rsidRPr="00DC2911" w:rsidRDefault="009A76C6" w:rsidP="009A76C6">
      <w:pPr>
        <w:spacing w:after="0" w:line="240" w:lineRule="auto"/>
        <w:rPr>
          <w:rFonts w:eastAsia="Times New Roman" w:cs="Times New Roman"/>
          <w:kern w:val="0"/>
          <w:szCs w:val="20"/>
          <w:lang w:eastAsia="en-GB"/>
          <w14:ligatures w14:val="none"/>
        </w:rPr>
      </w:pPr>
    </w:p>
    <w:p w14:paraId="7D523D37" w14:textId="77777777" w:rsidR="009A76C6" w:rsidRDefault="009A76C6" w:rsidP="009A76C6">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032"/>
        <w:gridCol w:w="1373"/>
        <w:gridCol w:w="1559"/>
        <w:gridCol w:w="2835"/>
        <w:gridCol w:w="1843"/>
      </w:tblGrid>
      <w:tr w:rsidR="009A76C6" w14:paraId="01003C62" w14:textId="77777777" w:rsidTr="00D16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57037318" w14:textId="77777777" w:rsidR="009A76C6" w:rsidRPr="00D26341" w:rsidRDefault="009A76C6" w:rsidP="00D1627A">
            <w:pPr>
              <w:spacing w:line="240" w:lineRule="auto"/>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 xml:space="preserve">Version </w:t>
            </w:r>
          </w:p>
        </w:tc>
        <w:tc>
          <w:tcPr>
            <w:tcW w:w="1373" w:type="dxa"/>
          </w:tcPr>
          <w:p w14:paraId="3A635355"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Date</w:t>
            </w:r>
          </w:p>
        </w:tc>
        <w:tc>
          <w:tcPr>
            <w:tcW w:w="1559" w:type="dxa"/>
          </w:tcPr>
          <w:p w14:paraId="0F80C823"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Author</w:t>
            </w:r>
          </w:p>
        </w:tc>
        <w:tc>
          <w:tcPr>
            <w:tcW w:w="2835" w:type="dxa"/>
          </w:tcPr>
          <w:p w14:paraId="5A8A9B8A"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Description of Changes</w:t>
            </w:r>
          </w:p>
        </w:tc>
        <w:tc>
          <w:tcPr>
            <w:tcW w:w="1843" w:type="dxa"/>
          </w:tcPr>
          <w:p w14:paraId="127DD926"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 xml:space="preserve">Approval By </w:t>
            </w:r>
          </w:p>
        </w:tc>
      </w:tr>
      <w:tr w:rsidR="009A76C6" w14:paraId="44D48D50"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01192A36" w14:textId="77777777" w:rsidR="009A76C6" w:rsidRDefault="009A76C6"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3D750C58"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5"/>
            <w:r>
              <w:rPr>
                <w:rFonts w:eastAsia="Times New Roman" w:cs="Times New Roman"/>
                <w:kern w:val="0"/>
                <w:szCs w:val="20"/>
                <w:highlight w:val="yellow"/>
                <w:lang w:eastAsia="en-GB"/>
                <w14:ligatures w14:val="none"/>
              </w:rPr>
              <w:t>03/02/2025</w:t>
            </w:r>
            <w:commentRangeEnd w:id="5"/>
            <w:r>
              <w:commentReference w:id="5"/>
            </w:r>
          </w:p>
        </w:tc>
        <w:tc>
          <w:tcPr>
            <w:tcW w:w="1559" w:type="dxa"/>
          </w:tcPr>
          <w:p w14:paraId="4E67702F"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71478EFE"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43" w:type="dxa"/>
          </w:tcPr>
          <w:p w14:paraId="614590E5"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9A76C6" w14:paraId="2378B1B7"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293E1406" w14:textId="77777777" w:rsidR="009A76C6" w:rsidRDefault="009A76C6"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4D92FB7A"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6"/>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highlight w:val="yellow"/>
                <w:lang w:eastAsia="en-GB"/>
                <w14:ligatures w14:val="none"/>
              </w:rPr>
              <w:t>23/02/2026</w:t>
            </w:r>
            <w:r>
              <w:rPr>
                <w:rFonts w:eastAsia="Times New Roman" w:cs="Times New Roman"/>
                <w:kern w:val="0"/>
                <w:szCs w:val="20"/>
                <w:lang w:eastAsia="en-GB"/>
                <w14:ligatures w14:val="none"/>
              </w:rPr>
              <w:fldChar w:fldCharType="end"/>
            </w:r>
            <w:commentRangeEnd w:id="6"/>
            <w:r>
              <w:commentReference w:id="6"/>
            </w:r>
          </w:p>
        </w:tc>
        <w:tc>
          <w:tcPr>
            <w:tcW w:w="1559" w:type="dxa"/>
          </w:tcPr>
          <w:p w14:paraId="1AC6543C"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459A3E44"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49538095"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9A76C6" w14:paraId="2E3E4448"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5274CB33" w14:textId="49124B05" w:rsidR="009A76C6" w:rsidRDefault="009A76C6"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w:t>
            </w:r>
            <w:r w:rsidR="00B876C8">
              <w:rPr>
                <w:rFonts w:eastAsia="Times New Roman" w:cs="Times New Roman"/>
                <w:kern w:val="0"/>
                <w:szCs w:val="20"/>
                <w:lang w:eastAsia="en-GB"/>
                <w14:ligatures w14:val="none"/>
              </w:rPr>
              <w:t>1</w:t>
            </w:r>
          </w:p>
        </w:tc>
        <w:tc>
          <w:tcPr>
            <w:tcW w:w="1373" w:type="dxa"/>
          </w:tcPr>
          <w:p w14:paraId="65A44E39"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7"/>
            <w:r>
              <w:rPr>
                <w:rFonts w:eastAsia="Times New Roman" w:cs="Times New Roman"/>
                <w:kern w:val="0"/>
                <w:szCs w:val="20"/>
                <w:highlight w:val="yellow"/>
                <w:lang w:eastAsia="en-GB"/>
                <w14:ligatures w14:val="none"/>
              </w:rPr>
              <w:t>30/04/2026</w:t>
            </w:r>
            <w:commentRangeEnd w:id="7"/>
            <w:r>
              <w:commentReference w:id="7"/>
            </w:r>
          </w:p>
        </w:tc>
        <w:tc>
          <w:tcPr>
            <w:tcW w:w="1559" w:type="dxa"/>
          </w:tcPr>
          <w:p w14:paraId="6B59D3B8"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701C3313"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Added Training Arrangements, Refresher Schedule and Competence and Legal Requirements sections to consolidate training requirements within the policy.</w:t>
            </w:r>
          </w:p>
        </w:tc>
        <w:tc>
          <w:tcPr>
            <w:tcW w:w="1843" w:type="dxa"/>
          </w:tcPr>
          <w:p w14:paraId="04E05C36"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9A76C6" w14:paraId="2E3E4448"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5274CB33" w14:textId="49124B05" w:rsidR="009A76C6" w:rsidRDefault="009A76C6"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1.1</w:t>
            </w:r>
            <w:r w:rsidR="00B876C8">
              <w:rPr>
                <w:rFonts w:eastAsia="Times New Roman" w:cs="Times New Roman"/>
                <w:kern w:val="0"/>
                <w:szCs w:val="20"/>
                <w:lang w:eastAsia="en-GB"/>
                <w14:ligatures w14:val="none"/>
              </w:rPr>
            </w:r>
          </w:p>
        </w:tc>
        <w:tc>
          <w:tcPr>
            <w:tcW w:w="1373" w:type="dxa"/>
          </w:tcPr>
          <w:p w14:paraId="65A44E39"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p>
        </w:tc>
        <w:tc>
          <w:tcPr>
            <w:tcW w:w="1559" w:type="dxa"/>
          </w:tcPr>
          <w:p w14:paraId="6B59D3B8"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701C3313"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04E05C36"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bl>
    <w:p w14:paraId="56D1FCD7" w14:textId="77777777" w:rsidR="009A76C6" w:rsidRPr="00DC2911" w:rsidRDefault="009A76C6" w:rsidP="009A76C6">
      <w:pPr>
        <w:spacing w:after="0" w:line="240" w:lineRule="auto"/>
        <w:rPr>
          <w:rFonts w:eastAsia="Times New Roman" w:cs="Times New Roman"/>
          <w:kern w:val="0"/>
          <w:szCs w:val="20"/>
          <w:lang w:eastAsia="en-GB"/>
          <w14:ligatures w14:val="none"/>
        </w:rPr>
      </w:pPr>
    </w:p>
    <w:p w14:paraId="50DDA6EF" w14:textId="77777777" w:rsidR="009A76C6" w:rsidRDefault="009A76C6" w:rsidP="009A76C6">
      <w:pPr>
        <w:tabs>
          <w:tab w:val="left" w:pos="6360"/>
        </w:tabs>
      </w:pPr>
    </w:p>
    <w:p w14:paraId="23DE711A" w14:textId="77777777" w:rsidR="00DC2911" w:rsidRPr="00DC2911" w:rsidRDefault="00DC2911" w:rsidP="00DC2911">
      <w:pPr>
        <w:tabs>
          <w:tab w:val="left" w:pos="6360"/>
        </w:tabs>
      </w:pPr>
    </w:p>
    <w:sectPr w:rsidR="00DC2911" w:rsidRPr="00DC2911" w:rsidSect="009A76C6">
      <w:headerReference w:type="default" r:id="rId9"/>
      <w:footerReference w:type="default" r:id="rId10"/>
      <w:footerReference w:type="first" r:id="rId13"/>
      <w:headerReference w:type="first" r:id="rId14"/>
      <w:pgSz w:w="11906" w:h="16838"/>
      <w:pgMar w:top="1440" w:right="1440" w:bottom="1440" w:left="1440" w:header="708" w:footer="0"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 w:id="2" w:author="AHS Ltd" w:initials="AHS" w:date="2026-10-13T00:00:00Z">
    <w:p>
      <w:r>
        <w:t xml:space="preserve">AHS Ltd review: This was written for a ventilation ductwork contractor. Check it fits ⟦specialism⟧ and rewrite it where it does not.</w:t>
      </w:r>
    </w:p>
  </w:comment>
  <w:comment w:id="3" w:author="AHS Ltd" w:initials="AHS" w:date="2026-10-13T00:00:00Z">
    <w:p>
      <w:r>
        <w:t xml:space="preserve">AHS Ltd review: This was written for a ventilation ductwork contractor. Check it fits ⟦specialism⟧ and rewrite it where it does not.</w:t>
      </w:r>
    </w:p>
  </w:comment>
  <w:comment w:id="4" w:author="AHS Ltd" w:initials="AHS" w:date="2026-10-13T00:00:00Z">
    <w:p>
      <w:r>
        <w:t xml:space="preserve">AHS Ltd review: This was written for a ventilation ductwork contractor. Check it fits ⟦specialism⟧ and rewrite it where it does not.</w:t>
      </w:r>
    </w:p>
  </w:comment>
  <w:comment w:id="5" w:author="AHS Ltd" w:initials="AHS" w:date="2026-10-13T00:00:00Z">
    <w:p>
      <w:r>
        <w:t xml:space="preserve">AHS Ltd review: It carries dates from the original document: check or update them.</w:t>
      </w:r>
    </w:p>
  </w:comment>
  <w:comment w:id="6" w:author="AHS Ltd" w:initials="AHS" w:date="2026-10-13T00:00:00Z">
    <w:p>
      <w:r>
        <w:t xml:space="preserve">AHS Ltd review: It carries dates from the original document: check or update them.</w:t>
      </w:r>
    </w:p>
  </w:comment>
  <w:comment w:id="7"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80A8" w14:textId="77777777" w:rsidR="00F10257" w:rsidRDefault="00F10257" w:rsidP="00DC2911">
      <w:pPr>
        <w:spacing w:after="0" w:line="240" w:lineRule="auto"/>
      </w:pPr>
      <w:r>
        <w:separator/>
      </w:r>
    </w:p>
  </w:endnote>
  <w:endnote w:type="continuationSeparator" w:id="0">
    <w:p w14:paraId="274FB4D4" w14:textId="77777777" w:rsidR="00F10257" w:rsidRDefault="00F10257"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382E" w14:textId="40B70F72" w:rsidR="009A76C6" w:rsidRPr="000074F1" w:rsidRDefault="009A76C6" w:rsidP="009A76C6">
    <w:pPr>
      <w:pStyle w:val="Footer"/>
      <w:tabs>
        <w:tab w:val="left" w:pos="8890"/>
      </w:tabs>
      <w:jc w:val="center"/>
      <w:rPr>
        <w:sz w:val="16"/>
        <w:szCs w:val="16"/>
      </w:rPr>
    </w:pP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Pr>
        <w:sz w:val="16"/>
        <w:szCs w:val="16"/>
      </w:rPr>
      <w:t>4</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p w14:paraId="1E1F7535" w14:textId="77777777" w:rsidR="009A76C6" w:rsidRDefault="009A76C6">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1E3BA" w14:textId="77777777" w:rsidR="00F10257" w:rsidRDefault="00F10257" w:rsidP="00DC2911">
      <w:pPr>
        <w:spacing w:after="0" w:line="240" w:lineRule="auto"/>
      </w:pPr>
      <w:r>
        <w:separator/>
      </w:r>
    </w:p>
  </w:footnote>
  <w:footnote w:type="continuationSeparator" w:id="0">
    <w:p w14:paraId="73DAB23D" w14:textId="77777777" w:rsidR="00F10257" w:rsidRDefault="00F10257"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607490419" name="Picture 160749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632"/>
    <w:multiLevelType w:val="hybridMultilevel"/>
    <w:tmpl w:val="AA1430BE"/>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338"/>
    <w:multiLevelType w:val="hybridMultilevel"/>
    <w:tmpl w:val="F1525C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B86C6A"/>
    <w:multiLevelType w:val="hybridMultilevel"/>
    <w:tmpl w:val="F34E8D54"/>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F58C5"/>
    <w:multiLevelType w:val="hybridMultilevel"/>
    <w:tmpl w:val="8C1A67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3149"/>
    <w:multiLevelType w:val="hybridMultilevel"/>
    <w:tmpl w:val="864EDE74"/>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422D5"/>
    <w:multiLevelType w:val="hybridMultilevel"/>
    <w:tmpl w:val="398E53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76EFB"/>
    <w:multiLevelType w:val="hybridMultilevel"/>
    <w:tmpl w:val="E92CCB02"/>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292D6B"/>
    <w:multiLevelType w:val="hybridMultilevel"/>
    <w:tmpl w:val="24AA17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C77D19"/>
    <w:multiLevelType w:val="hybridMultilevel"/>
    <w:tmpl w:val="029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158387">
    <w:abstractNumId w:val="11"/>
  </w:num>
  <w:num w:numId="2" w16cid:durableId="1820338567">
    <w:abstractNumId w:val="6"/>
  </w:num>
  <w:num w:numId="3" w16cid:durableId="1090851989">
    <w:abstractNumId w:val="8"/>
  </w:num>
  <w:num w:numId="4" w16cid:durableId="1947075850">
    <w:abstractNumId w:val="10"/>
  </w:num>
  <w:num w:numId="5" w16cid:durableId="1475636362">
    <w:abstractNumId w:val="1"/>
  </w:num>
  <w:num w:numId="6" w16cid:durableId="1777170766">
    <w:abstractNumId w:val="4"/>
  </w:num>
  <w:num w:numId="7" w16cid:durableId="1143885335">
    <w:abstractNumId w:val="14"/>
  </w:num>
  <w:num w:numId="8" w16cid:durableId="83690946">
    <w:abstractNumId w:val="9"/>
  </w:num>
  <w:num w:numId="9" w16cid:durableId="1222014763">
    <w:abstractNumId w:val="0"/>
  </w:num>
  <w:num w:numId="10" w16cid:durableId="1316954319">
    <w:abstractNumId w:val="7"/>
  </w:num>
  <w:num w:numId="11" w16cid:durableId="402292643">
    <w:abstractNumId w:val="12"/>
  </w:num>
  <w:num w:numId="12" w16cid:durableId="1628467351">
    <w:abstractNumId w:val="2"/>
  </w:num>
  <w:num w:numId="13" w16cid:durableId="2013952275">
    <w:abstractNumId w:val="5"/>
  </w:num>
  <w:num w:numId="14" w16cid:durableId="1683817398">
    <w:abstractNumId w:val="3"/>
  </w:num>
  <w:num w:numId="15" w16cid:durableId="1426614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004900"/>
    <w:rsid w:val="000945D1"/>
    <w:rsid w:val="00211B26"/>
    <w:rsid w:val="002521F5"/>
    <w:rsid w:val="002640AA"/>
    <w:rsid w:val="00293406"/>
    <w:rsid w:val="002A5578"/>
    <w:rsid w:val="003873E1"/>
    <w:rsid w:val="003C3D91"/>
    <w:rsid w:val="003C51FD"/>
    <w:rsid w:val="003D7734"/>
    <w:rsid w:val="00421754"/>
    <w:rsid w:val="00494CBF"/>
    <w:rsid w:val="004974B1"/>
    <w:rsid w:val="00521869"/>
    <w:rsid w:val="00617B7F"/>
    <w:rsid w:val="00656817"/>
    <w:rsid w:val="00690B3E"/>
    <w:rsid w:val="006E4861"/>
    <w:rsid w:val="007333C9"/>
    <w:rsid w:val="007A6865"/>
    <w:rsid w:val="007C21A3"/>
    <w:rsid w:val="007F5508"/>
    <w:rsid w:val="00836E3A"/>
    <w:rsid w:val="00840EE9"/>
    <w:rsid w:val="00871BE0"/>
    <w:rsid w:val="0087701C"/>
    <w:rsid w:val="008B176C"/>
    <w:rsid w:val="008D183D"/>
    <w:rsid w:val="008E2EB3"/>
    <w:rsid w:val="00902183"/>
    <w:rsid w:val="009640C5"/>
    <w:rsid w:val="00970938"/>
    <w:rsid w:val="009A25FE"/>
    <w:rsid w:val="009A76C6"/>
    <w:rsid w:val="009F0564"/>
    <w:rsid w:val="00A202FE"/>
    <w:rsid w:val="00A87218"/>
    <w:rsid w:val="00A921AA"/>
    <w:rsid w:val="00AB14B7"/>
    <w:rsid w:val="00AE2F20"/>
    <w:rsid w:val="00B4403F"/>
    <w:rsid w:val="00B876C8"/>
    <w:rsid w:val="00C031B0"/>
    <w:rsid w:val="00C55F5D"/>
    <w:rsid w:val="00C60CAB"/>
    <w:rsid w:val="00C64B66"/>
    <w:rsid w:val="00C777BB"/>
    <w:rsid w:val="00CF4FFC"/>
    <w:rsid w:val="00D26341"/>
    <w:rsid w:val="00D71862"/>
    <w:rsid w:val="00D85758"/>
    <w:rsid w:val="00D94C77"/>
    <w:rsid w:val="00DA28F4"/>
    <w:rsid w:val="00DC2911"/>
    <w:rsid w:val="00DD03AC"/>
    <w:rsid w:val="00E31064"/>
    <w:rsid w:val="00E54E8B"/>
    <w:rsid w:val="00F10257"/>
    <w:rsid w:val="00F21CBF"/>
    <w:rsid w:val="00F438F1"/>
    <w:rsid w:val="00F43ADF"/>
    <w:rsid w:val="00F521A8"/>
    <w:rsid w:val="00F5642A"/>
    <w:rsid w:val="00FC1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4"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2323</Words>
  <Characters>13246</Characters>
  <Application>Microsoft Office Word</Application>
  <DocSecurity>4</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Environmental &amp; Sustainability Policy</dc:title>
  <dc:creator>AHS Ltd</dc:creator>
  <cp:lastModifiedBy>AHS Ltd</cp:lastModifiedBy>
</cp:coreProperties>
</file>