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t>
      </w:r>
    </w:p>
    <w:p>
      <w:pPr>
        <w:spacing w:after="200" w:before="400"/>
        <w:jc w:val="center"/>
      </w:pPr>
      <w:r>
        <w:rPr>
          <w:b w:val="false"/>
          <w:bCs w:val="false"/>
          <w:color w:val="0F9ED5"/>
          <w:sz w:val="96"/>
          <w:szCs w:val="96"/>
        </w:rPr>
        <w:t xml:space="preserve">⟦legalNameUpper⟧</w:t>
      </w:r>
    </w:p>
    <w:p>
      <w:pPr>
        <w:spacing w:before="600"/>
      </w:pPr>
      <w:r>
        <w:t xml:space="preserve"> </w:t>
      </w:r>
    </w:p>
    <w:p>
      <w:pPr>
        <w:spacing w:after="200" w:before="400"/>
        <w:jc w:val="center"/>
      </w:pPr>
      <w:r>
        <w:rPr>
          <w:color w:val="404040"/>
          <w:sz w:val="36"/>
          <w:szCs w:val="36"/>
        </w:rPr>
        <w:t xml:space="preserve">Environmental Training Matrix</w:t>
      </w:r>
    </w:p>
    <w:p>
      <w:r>
        <w:br w:type="page"/>
      </w:r>
    </w:p>
    <w:p>
      <w:pPr>
        <w:spacing w:after="240" w:before="200"/>
      </w:pPr>
      <w:r>
        <w:rPr>
          <w:b/>
          <w:bCs/>
          <w:sz w:val="36"/>
          <w:szCs w:val="36"/>
        </w:rPr>
        <w:t xml:space="preserve">Contents</w:t>
      </w:r>
    </w:p>
    <w:p>
      <w:pPr>
        <w:spacing w:after="60" w:before="60"/>
      </w:pPr>
      <w:r>
        <w:rPr>
          <w:sz w:val="22"/>
          <w:szCs w:val="22"/>
        </w:rPr>
        <w:t xml:space="preserve">Introduction	3</w:t>
      </w:r>
    </w:p>
    <w:p>
      <w:pPr>
        <w:spacing w:after="60" w:before="60"/>
      </w:pPr>
      <w:r>
        <w:rPr>
          <w:sz w:val="22"/>
          <w:szCs w:val="22"/>
        </w:rPr>
        <w:t xml:space="preserve">Purpose	3</w:t>
      </w:r>
    </w:p>
    <w:p>
      <w:pPr>
        <w:spacing w:after="60" w:before="60"/>
      </w:pPr>
      <w:r>
        <w:rPr>
          <w:sz w:val="22"/>
          <w:szCs w:val="22"/>
        </w:rPr>
        <w:t xml:space="preserve">Scope	3</w:t>
      </w:r>
    </w:p>
    <w:p>
      <w:pPr>
        <w:spacing w:after="60" w:before="60"/>
      </w:pPr>
      <w:r>
        <w:rPr>
          <w:sz w:val="22"/>
          <w:szCs w:val="22"/>
        </w:rPr>
        <w:t xml:space="preserve">Training Matrix	4</w:t>
      </w:r>
    </w:p>
    <w:p>
      <w:pPr>
        <w:spacing w:after="60" w:before="60"/>
      </w:pPr>
      <w:r>
        <w:rPr>
          <w:sz w:val="22"/>
          <w:szCs w:val="22"/>
        </w:rPr>
        <w:t xml:space="preserve">Review and Maintenance	5</w:t>
      </w:r>
    </w:p>
    <w:p>
      <w:r>
        <w:br w:type="page"/>
      </w:r>
    </w:p>
    <w:p>
      <w:pPr>
        <w:spacing w:after="120" w:before="360"/>
      </w:pPr>
      <w:r>
        <w:rPr>
          <w:color w:val="0F9ED5"/>
          <w:sz w:val="40"/>
          <w:szCs w:val="40"/>
        </w:rPr>
        <w:t xml:space="preserve">Introduction</w:t>
      </w:r>
    </w:p>
    <w:p>
      <w:pPr>
        <w:spacing w:after="80" w:before="80" w:line="300"/>
      </w:pPr>
      <w:r>
        <w:rPr>
          <w:sz w:val="22"/>
          <w:szCs w:val="22"/>
        </w:rPr>
        <w:t xml:space="preserve">This Environmental Training Matrix records the environmental training and competence development undertaken by ⟦legalName⟧ (⟦short⟧) personnel and its appointed external environmental advisor. It sits beneath the Environmental &amp; Sustainability Policy (⟦short⟧_POL_16) and is used by the Managing Director and the appointed external environmental advisor to plan, deliver and review training across the workforce.</w:t>
      </w:r>
    </w:p>
    <w:p>
      <w:pPr>
        <w:spacing w:after="80" w:before="80" w:line="300"/>
      </w:pPr>
      <w:r>
        <w:rPr>
          <w:sz w:val="22"/>
          <w:szCs w:val="22"/>
        </w:rPr>
        <w:t xml:space="preserve">The matrix is reviewed at least annually, or sooner where a change in role, scope of works, legislation or industry guidance triggers a re-evaluation of competence requirements. Refresher training intervals reflect either the requirements of the training provider, the recommendations of the appointed advisor, or the company’s own assessment of operational risk.</w:t>
      </w:r>
    </w:p>
    <w:p>
      <w:pPr>
        <w:spacing w:after="120" w:before="360"/>
      </w:pPr>
      <w:r>
        <w:rPr>
          <w:color w:val="0F9ED5"/>
          <w:sz w:val="40"/>
          <w:szCs w:val="40"/>
        </w:rPr>
        <w:t xml:space="preserve">Purpose</w:t>
      </w:r>
    </w:p>
    <w:p>
      <w:pPr>
        <w:spacing w:after="80" w:before="80" w:line="300"/>
      </w:pPr>
      <w:r>
        <w:rPr>
          <w:sz w:val="22"/>
          <w:szCs w:val="22"/>
        </w:rPr>
        <w:t xml:space="preserve">The matrix provides documentary evidence that ⟦short⟧ has training arrangements in place to ensure that its workforce has sufficient skills and understanding to identify and manage the environmental aspects of its activities. It supports compliance with the Common Assessment Standard and provides a single, auditable record that can be presented to clients, principal contractors and assessors on request.</w:t>
      </w:r>
    </w:p>
    <w:p>
      <w:pPr>
        <w:spacing w:after="120" w:before="360"/>
      </w:pPr>
      <w:r>
        <w:rPr>
          <w:color w:val="0F9ED5"/>
          <w:sz w:val="40"/>
          <w:szCs w:val="40"/>
        </w:rPr>
        <w:t xml:space="preserve">Scope</w:t>
      </w:r>
    </w:p>
    <w:p>
      <w:pPr>
        <w:spacing w:after="80" w:before="80" w:line="300"/>
      </w:pPr>
      <w:r>
        <w:rPr>
          <w:sz w:val="22"/>
          <w:szCs w:val="22"/>
        </w:rPr>
        <w:t xml:space="preserve">The matrix covers all directly employed staff and any labour-only sub-contractors regularly engaged on ⟦short⟧ projects. It includes induction-level environmental awareness, topic-specific toolbox talks, and accredited external training such as that provided by the Supply Chain Sustainability School. The matrix also records the training held by the appointed external environmental advisor where this supports the company’s technical capability.</w:t>
      </w:r>
    </w:p>
    <w:p>
      <w:pPr>
        <w:spacing w:after="120" w:before="360"/>
      </w:pPr>
      <w:r>
        <w:rPr>
          <w:color w:val="0F9ED5"/>
          <w:sz w:val="40"/>
          <w:szCs w:val="40"/>
        </w:rPr>
        <w:t xml:space="preserve">Training Matrix</w:t>
      </w:r>
    </w:p>
    <w:p>
      <w:pPr>
        <w:spacing w:after="80" w:before="80" w:line="300"/>
      </w:pPr>
      <w:r>
        <w:rPr>
          <w:sz w:val="22"/>
          <w:szCs w:val="22"/>
        </w:rPr>
        <w:t xml:space="preserve">The table below records each individual, their role, the training topic completed, the provider or delivery method, the completion date, and the date by which refresher training is due. Empty cells are completed and dated as training is delivered.</w:t>
      </w:r>
    </w:p>
    <w:p>
      <w:pPr>
        <w:spacing w:after="12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980"/>
        <w:gridCol w:w="1620"/>
        <w:gridCol w:w="1080"/>
        <w:gridCol w:w="1080"/>
      </w:tblGrid>
      <w:tr>
        <w:trPr>
          <w:tblHeader/>
        </w:trPr>
        <w:tc>
          <w:tcPr>
            <w:tcW w:type="dxa" w:w="216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Name</w:t>
            </w:r>
          </w:p>
        </w:tc>
        <w:tc>
          <w:tcPr>
            <w:tcW w:type="dxa" w:w="144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Role</w:t>
            </w:r>
          </w:p>
        </w:tc>
        <w:tc>
          <w:tcPr>
            <w:tcW w:type="dxa" w:w="198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Training Topic</w:t>
            </w:r>
          </w:p>
        </w:tc>
        <w:tc>
          <w:tcPr>
            <w:tcW w:type="dxa" w:w="162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Provider / Method</w:t>
            </w:r>
          </w:p>
        </w:tc>
        <w:tc>
          <w:tcPr>
            <w:tcW w:type="dxa" w:w="108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Date Completed</w:t>
            </w:r>
          </w:p>
        </w:tc>
        <w:tc>
          <w:tcPr>
            <w:tcW w:type="dxa" w:w="108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Refresh Due</w:t>
            </w:r>
          </w:p>
        </w:tc>
      </w:tr>
      <w:tr>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⟦hsLead⟧</w:t>
            </w:r>
          </w:p>
        </w:tc>
        <w:tc>
          <w:tcPr>
            <w:tcW w:type="dxa" w:w="14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Managing Director</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Introduction to Environmental Management</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Supply Chain Sustainability School (e-learning)</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⟦hsLead⟧</w:t>
            </w:r>
          </w:p>
        </w:tc>
        <w:tc>
          <w:tcPr>
            <w:tcW w:type="dxa" w:w="14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Managing Director</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Waste Management Awareness</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Toolbox talk (delivered by advisor)</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[Site Supervisor 1]</w:t>
            </w:r>
          </w:p>
        </w:tc>
        <w:tc>
          <w:tcPr>
            <w:tcW w:type="dxa" w:w="14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Site Supervisor</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Site Environmental Briefing (induction)</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⟦short⟧ induction</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[Site Supervisor 1]</w:t>
            </w:r>
          </w:p>
        </w:tc>
        <w:tc>
          <w:tcPr>
            <w:tcW w:type="dxa" w:w="14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Site Supervisor</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Introduction to Environmental Management</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Supply Chain Sustainability School (e-learning)</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[Site Supervisor 1]</w:t>
            </w:r>
          </w:p>
        </w:tc>
        <w:tc>
          <w:tcPr>
            <w:tcW w:type="dxa" w:w="14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Site Supervisor</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Waste Segregation Toolbox Talk</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On-site toolbox talk</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[Operative 1]</w:t>
            </w:r>
          </w:p>
        </w:tc>
        <w:tc>
          <w:tcPr>
            <w:tcW w:type="dxa" w:w="14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commentRangeStart w:id="1"/>
            <w:r>
              <w:rPr>
                <w:b w:val="false"/>
                <w:bCs w:val="false"/>
                <w:color w:val="000000"/>
                <w:sz w:val="18"/>
                <w:szCs w:val="18"/>
                <w:highlight w:val="yellow"/>
              </w:rPr>
              <w:t xml:space="preserve">Ductwork Installer</w:t>
            </w:r>
            <w:commentRangeEnd w:id="1"/>
            <w:r>
              <w:commentReference w:id="1"/>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Site Environmental Briefing (induction)</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⟦short⟧ induction</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[Operative 1]</w:t>
            </w:r>
          </w:p>
        </w:tc>
        <w:tc>
          <w:tcPr>
            <w:tcW w:type="dxa" w:w="14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commentRangeStart w:id="2"/>
            <w:r>
              <w:rPr>
                <w:b w:val="false"/>
                <w:bCs w:val="false"/>
                <w:color w:val="000000"/>
                <w:sz w:val="18"/>
                <w:szCs w:val="18"/>
                <w:highlight w:val="yellow"/>
              </w:rPr>
              <w:t xml:space="preserve">Ductwork Installer</w:t>
            </w:r>
            <w:commentRangeEnd w:id="2"/>
            <w:r>
              <w:commentReference w:id="2"/>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Waste Segregation Toolbox Talk</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On-site toolbox talk</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[Operative 2]</w:t>
            </w:r>
          </w:p>
        </w:tc>
        <w:tc>
          <w:tcPr>
            <w:tcW w:type="dxa" w:w="14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commentRangeStart w:id="3"/>
            <w:r>
              <w:rPr>
                <w:b w:val="false"/>
                <w:bCs w:val="false"/>
                <w:color w:val="000000"/>
                <w:sz w:val="18"/>
                <w:szCs w:val="18"/>
                <w:highlight w:val="yellow"/>
              </w:rPr>
              <w:t xml:space="preserve">Ductwork Installer</w:t>
            </w:r>
            <w:commentRangeEnd w:id="3"/>
            <w:r>
              <w:commentReference w:id="3"/>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Site Environmental Briefing (induction)</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⟦short⟧ induction</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[Operative 2]</w:t>
            </w:r>
          </w:p>
        </w:tc>
        <w:tc>
          <w:tcPr>
            <w:tcW w:type="dxa" w:w="14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commentRangeStart w:id="4"/>
            <w:r>
              <w:rPr>
                <w:b w:val="false"/>
                <w:bCs w:val="false"/>
                <w:color w:val="000000"/>
                <w:sz w:val="18"/>
                <w:szCs w:val="18"/>
                <w:highlight w:val="yellow"/>
              </w:rPr>
              <w:t xml:space="preserve">Ductwork Installer</w:t>
            </w:r>
            <w:commentRangeEnd w:id="4"/>
            <w:r>
              <w:commentReference w:id="4"/>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Spill Response Toolbox Talk</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On-site toolbox talk</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Simon Archer</w:t>
            </w:r>
          </w:p>
        </w:tc>
        <w:tc>
          <w:tcPr>
            <w:tcW w:type="dxa" w:w="14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External Environmental Advisor (Archer H&amp;S Ltd)</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Introduction to Environmental Management</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Supply Chain Sustainability School (CPD certificate, 100%)</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commentRangeStart w:id="5"/>
            <w:r>
              <w:rPr>
                <w:b w:val="false"/>
                <w:bCs w:val="false"/>
                <w:color w:val="000000"/>
                <w:sz w:val="18"/>
                <w:szCs w:val="18"/>
                <w:highlight w:val="yellow"/>
              </w:rPr>
              <w:t xml:space="preserve">27/04/2026</w:t>
            </w:r>
            <w:commentRangeEnd w:id="5"/>
            <w:r>
              <w:commentReference w:id="5"/>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commentRangeStart w:id="6"/>
            <w:r>
              <w:rPr>
                <w:b w:val="false"/>
                <w:bCs w:val="false"/>
                <w:color w:val="000000"/>
                <w:sz w:val="18"/>
                <w:szCs w:val="18"/>
                <w:highlight w:val="yellow"/>
              </w:rPr>
              <w:t xml:space="preserve">27/04/2027</w:t>
            </w:r>
            <w:commentRangeEnd w:id="6"/>
            <w:r>
              <w:commentReference w:id="6"/>
            </w:r>
          </w:p>
        </w:tc>
      </w:tr>
    </w:tbl>
    <w:p>
      <w:pPr>
        <w:spacing w:before="240"/>
      </w:pPr>
      <w:r>
        <w:t xml:space="preserve"> </w:t>
      </w:r>
    </w:p>
    <w:p>
      <w:pPr>
        <w:spacing w:after="120" w:before="360"/>
      </w:pPr>
      <w:r>
        <w:rPr>
          <w:color w:val="0F9ED5"/>
          <w:sz w:val="40"/>
          <w:szCs w:val="40"/>
        </w:rPr>
        <w:t xml:space="preserve">Review and Maintenance</w:t>
      </w:r>
    </w:p>
    <w:p>
      <w:pPr>
        <w:spacing w:after="80" w:before="80" w:line="300"/>
      </w:pPr>
      <w:r>
        <w:rPr>
          <w:sz w:val="22"/>
          <w:szCs w:val="22"/>
        </w:rPr>
        <w:t xml:space="preserve">This matrix is maintained by the appointed external environmental advisor on behalf of the Managing Director. It is reviewed at the end of each calendar quarter and updated whenever a worker joins or leaves the company, completes new training, or where refresher training falls due. A formal annual review is undertaken alongside the review of the Environmental &amp; Sustainability Policy.</w:t>
      </w:r>
    </w:p>
    <w:p>
      <w:pPr>
        <w:spacing w:after="80" w:before="80" w:line="300"/>
      </w:pPr>
      <w:r>
        <w:rPr>
          <w:sz w:val="22"/>
          <w:szCs w:val="22"/>
        </w:rPr>
        <w:t xml:space="preserve">Supporting evidence (training certificates, attendance sheets and toolbox talk records) is retained by the company and made available alongside this matrix on request.</w:t>
      </w:r>
    </w:p>
    <w:p>
      <w:pPr>
        <w:spacing w:before="360"/>
      </w:pPr>
      <w:r>
        <w:t xml:space="preserve"> </w:t>
      </w:r>
    </w:p>
    <w:p>
      <w:pPr>
        <w:spacing w:before="200"/>
      </w:pPr>
      <w:r>
        <w:rPr>
          <w:sz w:val="22"/>
          <w:szCs w:val="22"/>
        </w:rPr>
        <w:t xml:space="preserve">⟦hsLead⟧</w:t>
      </w:r>
    </w:p>
    <w:p>
      <w:r>
        <w:rPr>
          <w:sz w:val="22"/>
          <w:szCs w:val="22"/>
        </w:rPr>
        <w:t xml:space="preserve">Managing Director, ⟦legalName⟧</w:t>
      </w:r>
    </w:p>
    <w:p>
      <w:pPr>
        <w:spacing w:after="200"/>
      </w:pPr>
      <w:commentRangeStart w:id="7"/>
      <w:r>
        <w:rPr>
          <w:sz w:val="22"/>
          <w:szCs w:val="22"/>
          <w:highlight w:val="yellow"/>
        </w:rPr>
        <w:t xml:space="preserve">Date: 30/04/2026</w:t>
      </w:r>
      <w:commentRangeEnd w:id="7"/>
      <w:r>
        <w:commentReference w:id="7"/>
      </w:r>
    </w:p>
    <w:p>
      <w:pPr>
        <w:spacing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800"/>
        <w:gridCol w:w="3240"/>
        <w:gridCol w:w="1800"/>
      </w:tblGrid>
      <w:tr>
        <w:tc>
          <w:tcPr>
            <w:tcW w:type="dxa" w:w="108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Version</w:t>
            </w:r>
          </w:p>
        </w:tc>
        <w:tc>
          <w:tcPr>
            <w:tcW w:type="dxa" w:w="144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Date</w:t>
            </w:r>
          </w:p>
        </w:tc>
        <w:tc>
          <w:tcPr>
            <w:tcW w:type="dxa" w:w="180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Author</w:t>
            </w:r>
          </w:p>
        </w:tc>
        <w:tc>
          <w:tcPr>
            <w:tcW w:type="dxa" w:w="324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Description of Changes</w:t>
            </w:r>
          </w:p>
        </w:tc>
        <w:tc>
          <w:tcPr>
            <w:tcW w:type="dxa" w:w="180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Approval By</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8"/>
            <w:r>
              <w:rPr>
                <w:b w:val="false"/>
                <w:bCs w:val="false"/>
                <w:color w:val="000000"/>
                <w:sz w:val="20"/>
                <w:szCs w:val="20"/>
                <w:highlight w:val="yellow"/>
              </w:rPr>
              <w:t xml:space="preserve">30/04/2026</w:t>
            </w:r>
            <w:commentRangeEnd w:id="8"/>
            <w:r>
              <w:commentReference w:id="8"/>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Simon Archer</w:t>
            </w:r>
          </w:p>
        </w:tc>
        <w:tc>
          <w:tcPr>
            <w:tcW w:type="dxa" w:w="3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Initial creation in response to Common Assessment Standard (Constructionline) training evidence requirements.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⟦hsLead⟧</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3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This was written for a ventilation ductwork contractor. Check it fits ⟦specialism⟧ and rewrite it where it does not.</w:t>
      </w:r>
    </w:p>
  </w:comment>
  <w:comment w:id="4" w:author="AHS Ltd" w:initials="AHS" w:date="2026-10-13T00:00:00Z">
    <w:p>
      <w:r>
        <w:t xml:space="preserve">AHS Ltd review: This was written for a ventilation ductwork contractor. Check it fits ⟦specialism⟧ and rewrite it where it does not.</w:t>
      </w:r>
    </w:p>
  </w:comment>
  <w:comment w:id="5" w:author="AHS Ltd" w:initials="AHS" w:date="2026-10-13T00:00:00Z">
    <w:p>
      <w:r>
        <w:t xml:space="preserve">AHS Ltd review: It carries dates from the original document: check or update them.</w:t>
      </w:r>
    </w:p>
  </w:comment>
  <w:comment w:id="6" w:author="AHS Ltd" w:initials="AHS" w:date="2026-10-13T00:00:00Z">
    <w:p>
      <w:r>
        <w:t xml:space="preserve">AHS Ltd review: It carries dates from the original document: check or update them.</w:t>
      </w:r>
    </w:p>
  </w:comment>
  <w:comment w:id="7" w:author="AHS Ltd" w:initials="AHS" w:date="2026-10-13T00:00:00Z">
    <w:p>
      <w:r>
        <w:t xml:space="preserve">AHS Ltd review: It carries dates from the original document: check or update them.</w:t>
      </w:r>
    </w:p>
  </w:comment>
  <w:comment w:id="8"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highlight w:val="yellow"/>
      </w:rPr>
      <w:t xml:space="preserve">⟦short⟧_REC_22|Version 1.0|Effective 30/04/2026| Page </w:t>
    </w:r>
    <w:r>
      <w:rPr>
        <w:sz w:val="16"/>
        <w:szCs w:val="16"/>
      </w:rPr>
      <w:fldChar w:fldCharType="begin"/>
      <w:instrText xml:space="preserve">PAGE</w:instrText>
      <w:fldChar w:fldCharType="separate"/>
      <w:fldChar w:fldCharType="end"/>
    </w:r>
    <w:r>
      <w:rPr>
        <w:sz w:val="16"/>
        <w:szCs w:val="16"/>
        <w:highlight w:val="yellow"/>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0287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38e8b814255a704fff3610a1222fc25776b2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Environmental Training Matrix</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