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1C953F98" w:rsidR="00DC2911" w:rsidRPr="00C40084" w:rsidRDefault="00606613" w:rsidP="00F97FCF">
            <w:pPr>
              <w:jc w:val="center"/>
              <w:rPr>
                <w:rFonts w:asciiTheme="minorHAnsi" w:hAnsiTheme="minorHAnsi" w:cstheme="minorHAnsi"/>
                <w:sz w:val="32"/>
                <w:szCs w:val="32"/>
              </w:rPr>
            </w:pPr>
            <w:r>
              <w:rPr>
                <w:rFonts w:cstheme="minorHAnsi"/>
                <w:sz w:val="32"/>
                <w:szCs w:val="32"/>
              </w:rPr>
              <w:t>Welfare Facilities Statement</w:t>
            </w:r>
          </w:p>
        </w:tc>
      </w:tr>
    </w:tbl>
    <w:p w14:paraId="2A3BBE2B" w14:textId="77777777" w:rsidR="002A35DA" w:rsidRDefault="00876F70">
      <w:r>
        <w:br w:type="page"/>
      </w:r>
    </w:p>
    <w:p w14:paraId="50FB5116" w14:textId="77777777" w:rsidR="002A35DA" w:rsidRDefault="00876F70">
      <w:pPr>
        <w:pStyle w:val="Heading1"/>
      </w:pPr>
      <w:r>
        <w:lastRenderedPageBreak/>
        <w:t>Welfare Facilities Statement</w:t>
      </w:r>
    </w:p>
    <w:p w14:paraId="54628E2F" w14:textId="77777777" w:rsidR="002A35DA" w:rsidRDefault="00876F70">
      <w:pPr>
        <w:pStyle w:val="Heading2"/>
      </w:pPr>
      <w:r>
        <w:t>Purpose</w:t>
      </w:r>
    </w:p>
    <w:p w14:paraId="63F58F11" w14:textId="77777777" w:rsidR="002A35DA" w:rsidRDefault="00876F70">
      <w:r>
        <w:t>This statement explains how ⟦legalName⟧ (⟦short⟧) meets its duties for welfare facilities under the Construction (Design and Management) Regulations 2015 (CDM 2015), and why ⟦short⟧ does not itself provide welfare facilities on the projects it works on. It is issued in support of ⟦short⟧'s CHAS assessment and is to be read alongside the ⟦short⟧ Health &amp; Safety Policy.</w:t>
      </w:r>
    </w:p>
    <w:p w14:paraId="5E7E71E4" w14:textId="77777777" w:rsidR="002A35DA" w:rsidRDefault="002A35DA"/>
    <w:p w14:paraId="33E41531" w14:textId="77777777" w:rsidR="002A35DA" w:rsidRDefault="00876F70">
      <w:pPr>
        <w:pStyle w:val="Heading2"/>
      </w:pPr>
      <w:r>
        <w:t>How ⟦short⟧ works</w:t>
      </w:r>
    </w:p>
    <w:p w14:paraId="500DB8B7" w14:textId="77777777" w:rsidR="002A35DA" w:rsidRDefault="00876F70">
      <w:commentRangeStart w:id="1"/>
      <w:r>
        <w:rPr>
          <w:highlight w:val="yellow"/>
        </w:rPr>
        <w:t>⟦short⟧ is a specialist ductwork installation contractor. All ⟦short⟧ site work is carried out as a subcontractor on construction sites that are under the control of a Principal Contractor (PC) or, where ⟦short⟧ is engaged further down the supply chain, under the control of the Contractor that has appointed ⟦short⟧. ⟦short⟧ does not act as Principal Contractor and does not take on projects where it would be the only contractor on site. ⟦short⟧ operatives therefore always work on sites where welfare facilities have already been est</w:t>
      </w:r>
      <w:r>
        <w:rPr>
          <w:highlight w:val="yellow"/>
        </w:rPr>
        <w:t>ablished and are controlled by another duty holder.</w:t>
      </w:r>
      <w:commentRangeEnd w:id="1"/>
      <w:r>
        <w:commentReference w:id="1"/>
      </w:r>
    </w:p>
    <w:p w14:paraId="39741BFF" w14:textId="77777777" w:rsidR="002A35DA" w:rsidRDefault="002A35DA"/>
    <w:p w14:paraId="3662E579" w14:textId="77777777" w:rsidR="002A35DA" w:rsidRDefault="00876F70">
      <w:pPr>
        <w:pStyle w:val="Heading2"/>
      </w:pPr>
      <w:r>
        <w:t>Who is responsible for welfare facilities under CDM 2015</w:t>
      </w:r>
    </w:p>
    <w:p w14:paraId="0B0A12A6" w14:textId="77777777" w:rsidR="002A35DA" w:rsidRDefault="00876F70">
      <w:r>
        <w:t>CDM 2015 places the duty to provide welfare facilities on the client and the Principal Contractor, not on the subcontractors working on the site:</w:t>
      </w:r>
    </w:p>
    <w:p w14:paraId="1C7A2CEB" w14:textId="77777777" w:rsidR="002A35DA" w:rsidRDefault="002A35DA"/>
    <w:p w14:paraId="1619F935" w14:textId="77777777" w:rsidR="002A35DA" w:rsidRDefault="00876F70">
      <w:r>
        <w:t>• Regulation 4(2)(b): the client must make suitable arrangements for managing the project, and those arrangements must ensure that the facilities required by Schedule 2 are provided in respect of any person carrying out construction work.</w:t>
      </w:r>
    </w:p>
    <w:p w14:paraId="7D7A24D1" w14:textId="77777777" w:rsidR="002A35DA" w:rsidRDefault="00876F70">
      <w:r>
        <w:t>• Regulation 13(4)(c): the Principal Contractor must ensure that facilities that comply with the requirements of Schedule 2 are provided throughout the construction phase.</w:t>
      </w:r>
    </w:p>
    <w:p w14:paraId="51E35977" w14:textId="77777777" w:rsidR="002A35DA" w:rsidRDefault="00876F70">
      <w:r>
        <w:t>• Regulation 15(11): a contractor must ensure, so far as is reasonably practicable, that the requirements of Schedule 2 are complied with so far as they affect the contractor or any worker under that contractor's control.</w:t>
      </w:r>
    </w:p>
    <w:p w14:paraId="19EC07AB" w14:textId="77777777" w:rsidR="002A35DA" w:rsidRDefault="002A35DA"/>
    <w:p w14:paraId="0EEEF202" w14:textId="77777777" w:rsidR="002A35DA" w:rsidRDefault="00876F70">
      <w:r>
        <w:t>Schedule 2 sets the minimum welfare requirements for a construction site: sanitary conveniences, washing facilities, a supply of drinking water, changing rooms and lockers, and facilities for rest, including a means of preparing hot food and drinks and of keeping warm and dry.</w:t>
      </w:r>
    </w:p>
    <w:p w14:paraId="008A5EF0" w14:textId="77777777" w:rsidR="00087CE3" w:rsidRDefault="00087CE3"/>
    <w:p w14:paraId="6A00281A" w14:textId="77777777" w:rsidR="00087CE3" w:rsidRDefault="00087CE3"/>
    <w:p w14:paraId="20DD3744" w14:textId="77777777" w:rsidR="00087CE3" w:rsidRDefault="00087CE3"/>
    <w:p w14:paraId="01A44C95" w14:textId="77777777" w:rsidR="00087CE3" w:rsidRDefault="00087CE3"/>
    <w:p w14:paraId="760B8B92" w14:textId="77777777" w:rsidR="00087CE3" w:rsidRDefault="00087CE3"/>
    <w:p w14:paraId="0CF27685" w14:textId="77777777" w:rsidR="00087CE3" w:rsidRDefault="00087CE3"/>
    <w:p w14:paraId="0137D9A4" w14:textId="77777777" w:rsidR="00087CE3" w:rsidRDefault="00087CE3"/>
    <w:p w14:paraId="16D33B08" w14:textId="77777777" w:rsidR="00087CE3" w:rsidRDefault="00087CE3"/>
    <w:p w14:paraId="61BD2D65" w14:textId="77777777" w:rsidR="00087CE3" w:rsidRDefault="00087CE3"/>
    <w:p w14:paraId="7FC6E3C1" w14:textId="77777777" w:rsidR="002A35DA" w:rsidRDefault="002A35DA"/>
    <w:p w14:paraId="0C1C69B0" w14:textId="77777777" w:rsidR="002A35DA" w:rsidRDefault="00876F70">
      <w:pPr>
        <w:pStyle w:val="Heading2"/>
      </w:pPr>
      <w:r>
        <w:lastRenderedPageBreak/>
        <w:t>What this means for ⟦short⟧</w:t>
      </w:r>
    </w:p>
    <w:p w14:paraId="390F411B" w14:textId="77777777" w:rsidR="002A35DA" w:rsidRDefault="00876F70">
      <w:r>
        <w:t>Because ⟦short⟧ always works under a Principal Contractor or Contractor, the duty to provide the welfare facilities on site sits with the Principal Contractor under Regulation 13(4)(c), supported by the client under Regulation 4(2)(b). ⟦short⟧ does not provide, hire, install or maintain welfare facilities on any site. Where an assessment or pre-qualification question asks how ⟦short⟧ provides welfare, the correct answer is that welfare is provided by the Principal Contractor as part of the site set-up, and ⟦short⟧ uses tho</w:t>
      </w:r>
      <w:r>
        <w:t>se facilities.</w:t>
      </w:r>
    </w:p>
    <w:p w14:paraId="19417D2E" w14:textId="77777777" w:rsidR="002A35DA" w:rsidRDefault="002A35DA"/>
    <w:p w14:paraId="006C156C" w14:textId="77777777" w:rsidR="002A35DA" w:rsidRDefault="00876F70">
      <w:r>
        <w:t>This does not mean ⟦short⟧ has no duty at all. Under Regulation 15(11) ⟦short⟧ must satisfy itself that the facilities provided are adequate for its own operatives. ⟦short⟧ meets this duty as follows:</w:t>
      </w:r>
    </w:p>
    <w:p w14:paraId="4D7E7D31" w14:textId="77777777" w:rsidR="002A35DA" w:rsidRDefault="002A35DA"/>
    <w:p w14:paraId="08959A0C" w14:textId="77777777" w:rsidR="002A35DA" w:rsidRDefault="00876F70">
      <w:r>
        <w:t>• At tender and pre-start stage ⟦short⟧ confirms with the Principal Contractor that Schedule 2 welfare facilities are in place, where they are located and how ⟦short⟧ operatives will access them. This is recorded in the project pre-start information and the ⟦short⟧ risk assessment and method statement (RAMS) for the works.</w:t>
      </w:r>
    </w:p>
    <w:p w14:paraId="6E4363BF" w14:textId="77777777" w:rsidR="002A35DA" w:rsidRDefault="00876F70">
      <w:r>
        <w:t>• ⟦short⟧ operatives attend the Principal Contractor's site induction, which identifies the welfare facilities available to them.</w:t>
      </w:r>
    </w:p>
    <w:p w14:paraId="2A5688BB" w14:textId="77777777" w:rsidR="002A35DA" w:rsidRDefault="00876F70">
      <w:r>
        <w:t>• The ⟦short⟧ site supervisor checks that welfare facilities are available, clean and adequate for the number of ⟦short⟧ operatives on site, and raises any shortfall with the Principal Contractor's site management. Unresolved shortfalls are escalated to ⟦short⟧ management and recorded on the Compass management system.</w:t>
      </w:r>
    </w:p>
    <w:p w14:paraId="54C8289A" w14:textId="77777777" w:rsidR="002A35DA" w:rsidRDefault="00876F70">
      <w:r>
        <w:t>• ⟦short⟧ will not start or continue work on a site where suitable welfare facilities are not available to its operatives until the matter has been resolved with the Principal Contractor.</w:t>
      </w:r>
    </w:p>
    <w:p w14:paraId="1DCA7E67" w14:textId="77777777" w:rsidR="002A35DA" w:rsidRDefault="002A35DA"/>
    <w:p w14:paraId="7C6002D1" w14:textId="77777777" w:rsidR="002A35DA" w:rsidRDefault="00876F70">
      <w:pPr>
        <w:pStyle w:val="Heading2"/>
      </w:pPr>
      <w:r>
        <w:t>If ⟦short⟧ were ever the only contractor on a project</w:t>
      </w:r>
    </w:p>
    <w:p w14:paraId="0A58FE1F" w14:textId="77777777" w:rsidR="002A35DA" w:rsidRDefault="00876F70">
      <w:r>
        <w:t>⟦short⟧ does not currently undertake work as the only contractor on a project. If this were to change, ⟦short⟧ would become responsible for welfare under Regulation 15(11) and would ensure that Schedule 2 facilities were in place before work started, either by written agreement with the client to use existing facilities within the premises or by hiring self-contained welfare units for the duration of the works. No ⟦short⟧ work would start until those facilities were available.</w:t>
      </w:r>
    </w:p>
    <w:p w14:paraId="131997D9" w14:textId="77777777" w:rsidR="002A35DA" w:rsidRDefault="002A35DA"/>
    <w:p w14:paraId="57E3163B" w14:textId="77777777" w:rsidR="002A35DA" w:rsidRDefault="00876F70">
      <w:pPr>
        <w:pStyle w:val="Heading2"/>
      </w:pPr>
      <w:r>
        <w:t>Review</w:t>
      </w:r>
    </w:p>
    <w:p w14:paraId="3DD8AA54" w14:textId="77777777" w:rsidR="002A35DA" w:rsidRDefault="00876F70">
      <w:r>
        <w:t>This statement is reviewed annually by the Managing Director alongside the ⟦short⟧ Health &amp; Safety Policy, or earlier if ⟦short⟧'s way of working, the projects it undertakes or the relevant legislation changes.</w:t>
      </w:r>
    </w:p>
    <w:p w14:paraId="3C0B2AA3" w14:textId="77777777" w:rsidR="002A35DA" w:rsidRDefault="002A35DA"/>
    <w:p w14:paraId="31C800E6" w14:textId="77777777" w:rsidR="00343C5C" w:rsidRPr="00EE122E" w:rsidRDefault="00343C5C" w:rsidP="00343C5C">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60D74A6C" w14:textId="77777777" w:rsidR="00343C5C" w:rsidRDefault="00343C5C" w:rsidP="00343C5C">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3E4F0D64" w14:textId="77777777" w:rsidR="00343C5C" w:rsidRPr="00EE122E" w:rsidRDefault="00343C5C" w:rsidP="00343C5C">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79C18E57" w14:textId="77777777" w:rsidR="00343C5C" w:rsidRPr="00DC2911" w:rsidRDefault="00343C5C" w:rsidP="00343C5C">
      <w:pPr>
        <w:spacing w:after="0" w:line="240" w:lineRule="auto"/>
        <w:rPr>
          <w:rFonts w:eastAsia="Times New Roman" w:cs="Times New Roman"/>
          <w:kern w:val="0"/>
          <w:szCs w:val="20"/>
          <w:lang w:eastAsia="en-GB"/>
          <w14:ligatures w14:val="none"/>
        </w:rPr>
      </w:pPr>
    </w:p>
    <w:p w14:paraId="117E97B8" w14:textId="77777777" w:rsidR="00343C5C" w:rsidRDefault="00343C5C" w:rsidP="00343C5C">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343C5C" w14:paraId="193905B0"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408F27EA" w14:textId="77777777" w:rsidR="00343C5C" w:rsidRPr="00D26341" w:rsidRDefault="00343C5C"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4EFB0D14"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1031A6A3"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5BD2840B"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3620891E"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343C5C" w14:paraId="44BC8E1F"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3B9BF6D9" w14:textId="77777777" w:rsidR="00343C5C" w:rsidRDefault="00343C5C"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959A85D"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p>
        </w:tc>
        <w:tc>
          <w:tcPr>
            <w:tcW w:w="1559" w:type="dxa"/>
          </w:tcPr>
          <w:p w14:paraId="2F9CE734"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315E938D"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Initial Creation</w:t>
            </w:r>
          </w:p>
        </w:tc>
        <w:tc>
          <w:tcPr>
            <w:tcW w:w="1843" w:type="dxa"/>
          </w:tcPr>
          <w:p w14:paraId="144F6403"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343C5C" w14:paraId="3B4DB8B8"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10A51C99" w14:textId="77777777" w:rsidR="00343C5C" w:rsidRDefault="00343C5C" w:rsidP="00D1627A">
            <w:pPr>
              <w:spacing w:line="240" w:lineRule="auto"/>
              <w:rPr>
                <w:rFonts w:eastAsia="Times New Roman" w:cs="Times New Roman"/>
                <w:kern w:val="0"/>
                <w:szCs w:val="20"/>
                <w:lang w:eastAsia="en-GB"/>
                <w14:ligatures w14:val="none"/>
              </w:rPr>
            </w:pPr>
          </w:p>
        </w:tc>
        <w:tc>
          <w:tcPr>
            <w:tcW w:w="1373" w:type="dxa"/>
          </w:tcPr>
          <w:p w14:paraId="2946CB30"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1BEDAD5B"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0820496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59AC1FD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343C5C" w14:paraId="2536F1D6"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FB4473B" w14:textId="77777777" w:rsidR="00343C5C" w:rsidRDefault="00343C5C" w:rsidP="00D1627A">
            <w:pPr>
              <w:spacing w:line="240" w:lineRule="auto"/>
              <w:rPr>
                <w:rFonts w:eastAsia="Times New Roman" w:cs="Times New Roman"/>
                <w:kern w:val="0"/>
                <w:szCs w:val="20"/>
                <w:lang w:eastAsia="en-GB"/>
                <w14:ligatures w14:val="none"/>
              </w:rPr>
            </w:pPr>
          </w:p>
        </w:tc>
        <w:tc>
          <w:tcPr>
            <w:tcW w:w="1373" w:type="dxa"/>
          </w:tcPr>
          <w:p w14:paraId="321D7ADA"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FFEBD8F"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5ABAF1E9"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50DF651D"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r w:rsidR="00343C5C" w14:paraId="52721A6E"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47E87296" w14:textId="77777777" w:rsidR="00343C5C" w:rsidRDefault="00343C5C" w:rsidP="00D1627A">
            <w:pPr>
              <w:spacing w:line="240" w:lineRule="auto"/>
              <w:rPr>
                <w:rFonts w:eastAsia="Times New Roman" w:cs="Times New Roman"/>
                <w:kern w:val="0"/>
                <w:szCs w:val="20"/>
                <w:lang w:eastAsia="en-GB"/>
                <w14:ligatures w14:val="none"/>
              </w:rPr>
            </w:pPr>
          </w:p>
        </w:tc>
        <w:tc>
          <w:tcPr>
            <w:tcW w:w="1373" w:type="dxa"/>
          </w:tcPr>
          <w:p w14:paraId="3B80C826"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568B239C"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32E1EE4A"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07F65D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343C5C" w14:paraId="4DDA9681"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7E6CD270" w14:textId="77777777" w:rsidR="00343C5C" w:rsidRDefault="00343C5C" w:rsidP="00D1627A">
            <w:pPr>
              <w:spacing w:line="240" w:lineRule="auto"/>
              <w:rPr>
                <w:rFonts w:eastAsia="Times New Roman" w:cs="Times New Roman"/>
                <w:kern w:val="0"/>
                <w:szCs w:val="20"/>
                <w:lang w:eastAsia="en-GB"/>
                <w14:ligatures w14:val="none"/>
              </w:rPr>
            </w:pPr>
          </w:p>
        </w:tc>
        <w:tc>
          <w:tcPr>
            <w:tcW w:w="1373" w:type="dxa"/>
          </w:tcPr>
          <w:p w14:paraId="2FD202C8"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6C1824F"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68B0C765"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60DE5E75"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55CCB132" w14:textId="77777777" w:rsidR="00343C5C" w:rsidRPr="00DC2911" w:rsidRDefault="00343C5C" w:rsidP="00343C5C">
      <w:pPr>
        <w:spacing w:after="0" w:line="240" w:lineRule="auto"/>
        <w:rPr>
          <w:rFonts w:eastAsia="Times New Roman" w:cs="Times New Roman"/>
          <w:kern w:val="0"/>
          <w:szCs w:val="20"/>
          <w:lang w:eastAsia="en-GB"/>
          <w14:ligatures w14:val="none"/>
        </w:rPr>
      </w:pPr>
    </w:p>
    <w:p w14:paraId="23DE711A" w14:textId="77777777" w:rsidR="00DC2911" w:rsidRPr="00DC2911" w:rsidRDefault="00DC2911" w:rsidP="00DC2911">
      <w:pPr>
        <w:tabs>
          <w:tab w:val="left" w:pos="6360"/>
        </w:tabs>
      </w:pPr>
    </w:p>
    <w:sectPr w:rsidR="00DC2911" w:rsidRPr="00DC2911" w:rsidSect="00343C5C">
      <w:headerReference w:type="default" r:id="rId8"/>
      <w:footerReference w:type="default" r:id="rId9"/>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9BFF" w14:textId="77777777" w:rsidR="00876F70" w:rsidRDefault="00876F70" w:rsidP="00DC2911">
      <w:pPr>
        <w:spacing w:after="0" w:line="240" w:lineRule="auto"/>
      </w:pPr>
      <w:r>
        <w:separator/>
      </w:r>
    </w:p>
  </w:endnote>
  <w:endnote w:type="continuationSeparator" w:id="0">
    <w:p w14:paraId="0B275459" w14:textId="77777777" w:rsidR="00876F70" w:rsidRDefault="00876F70"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BE1B" w14:textId="5B303446" w:rsidR="00343C5C" w:rsidRPr="000074F1" w:rsidRDefault="00343C5C" w:rsidP="00343C5C">
    <w:pPr>
      <w:pStyle w:val="Footer"/>
      <w:tabs>
        <w:tab w:val="left" w:pos="8890"/>
      </w:tabs>
      <w:jc w:val="center"/>
      <w:rPr>
        <w:sz w:val="16"/>
        <w:szCs w:val="16"/>
      </w:rPr>
    </w:pPr>
    <w:r w:rsidRPr="000074F1">
      <w:rPr>
        <w:sz w:val="16"/>
        <w:szCs w:val="16"/>
      </w:rPr>
      <w:t xml:space="preserve">⟦short⟧_STM_01|Version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64427C57" w14:textId="77777777" w:rsidR="00343C5C" w:rsidRDefault="00343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A392" w14:textId="77777777" w:rsidR="00876F70" w:rsidRDefault="00876F70" w:rsidP="00DC2911">
      <w:pPr>
        <w:spacing w:after="0" w:line="240" w:lineRule="auto"/>
      </w:pPr>
      <w:r>
        <w:separator/>
      </w:r>
    </w:p>
  </w:footnote>
  <w:footnote w:type="continuationSeparator" w:id="0">
    <w:p w14:paraId="7963602A" w14:textId="77777777" w:rsidR="00876F70" w:rsidRDefault="00876F70"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803491977" name="Picture 180349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44DB7"/>
    <w:multiLevelType w:val="hybridMultilevel"/>
    <w:tmpl w:val="39CCB2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E37380"/>
    <w:multiLevelType w:val="hybridMultilevel"/>
    <w:tmpl w:val="46CC7E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748B3"/>
    <w:multiLevelType w:val="hybridMultilevel"/>
    <w:tmpl w:val="C3647F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52E82"/>
    <w:multiLevelType w:val="hybridMultilevel"/>
    <w:tmpl w:val="0574857C"/>
    <w:lvl w:ilvl="0" w:tplc="08090001">
      <w:start w:val="1"/>
      <w:numFmt w:val="bullet"/>
      <w:lvlText w:val=""/>
      <w:lvlJc w:val="left"/>
      <w:pPr>
        <w:ind w:left="720" w:hanging="360"/>
      </w:pPr>
      <w:rPr>
        <w:rFonts w:ascii="Symbol" w:hAnsi="Symbol" w:hint="default"/>
      </w:rPr>
    </w:lvl>
    <w:lvl w:ilvl="1" w:tplc="83A2523C">
      <w:numFmt w:val="bullet"/>
      <w:lvlText w:val="•"/>
      <w:lvlJc w:val="left"/>
      <w:pPr>
        <w:ind w:left="1440" w:hanging="360"/>
      </w:pPr>
      <w:rPr>
        <w:rFonts w:ascii="Abadi" w:eastAsiaTheme="minorHAnsi" w:hAnsi="Abad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C0574A"/>
    <w:multiLevelType w:val="hybridMultilevel"/>
    <w:tmpl w:val="8B907B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8387">
    <w:abstractNumId w:val="18"/>
  </w:num>
  <w:num w:numId="2" w16cid:durableId="1820338567">
    <w:abstractNumId w:val="12"/>
  </w:num>
  <w:num w:numId="3" w16cid:durableId="1090851989">
    <w:abstractNumId w:val="16"/>
  </w:num>
  <w:num w:numId="4" w16cid:durableId="1947075850">
    <w:abstractNumId w:val="17"/>
  </w:num>
  <w:num w:numId="5" w16cid:durableId="1475636362">
    <w:abstractNumId w:val="1"/>
  </w:num>
  <w:num w:numId="6" w16cid:durableId="1777170766">
    <w:abstractNumId w:val="6"/>
  </w:num>
  <w:num w:numId="7" w16cid:durableId="586693922">
    <w:abstractNumId w:val="13"/>
  </w:num>
  <w:num w:numId="8" w16cid:durableId="1526551970">
    <w:abstractNumId w:val="0"/>
  </w:num>
  <w:num w:numId="9" w16cid:durableId="379283959">
    <w:abstractNumId w:val="22"/>
  </w:num>
  <w:num w:numId="10" w16cid:durableId="1067263476">
    <w:abstractNumId w:val="21"/>
  </w:num>
  <w:num w:numId="11" w16cid:durableId="1636566518">
    <w:abstractNumId w:val="9"/>
  </w:num>
  <w:num w:numId="12" w16cid:durableId="906651685">
    <w:abstractNumId w:val="14"/>
  </w:num>
  <w:num w:numId="13" w16cid:durableId="260530869">
    <w:abstractNumId w:val="3"/>
  </w:num>
  <w:num w:numId="14" w16cid:durableId="1322346406">
    <w:abstractNumId w:val="5"/>
  </w:num>
  <w:num w:numId="15" w16cid:durableId="255016908">
    <w:abstractNumId w:val="10"/>
  </w:num>
  <w:num w:numId="16" w16cid:durableId="85618532">
    <w:abstractNumId w:val="8"/>
  </w:num>
  <w:num w:numId="17" w16cid:durableId="583952615">
    <w:abstractNumId w:val="4"/>
  </w:num>
  <w:num w:numId="18" w16cid:durableId="1687904295">
    <w:abstractNumId w:val="2"/>
  </w:num>
  <w:num w:numId="19" w16cid:durableId="1327586732">
    <w:abstractNumId w:val="19"/>
  </w:num>
  <w:num w:numId="20" w16cid:durableId="664668295">
    <w:abstractNumId w:val="15"/>
  </w:num>
  <w:num w:numId="21" w16cid:durableId="1768496541">
    <w:abstractNumId w:val="20"/>
  </w:num>
  <w:num w:numId="22" w16cid:durableId="955793639">
    <w:abstractNumId w:val="11"/>
  </w:num>
  <w:num w:numId="23" w16cid:durableId="1493376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87CE3"/>
    <w:rsid w:val="00155A79"/>
    <w:rsid w:val="00211B26"/>
    <w:rsid w:val="002A35DA"/>
    <w:rsid w:val="002A5578"/>
    <w:rsid w:val="002F0540"/>
    <w:rsid w:val="003332E2"/>
    <w:rsid w:val="00343C5C"/>
    <w:rsid w:val="00373826"/>
    <w:rsid w:val="00555A38"/>
    <w:rsid w:val="00606613"/>
    <w:rsid w:val="00612132"/>
    <w:rsid w:val="00617B7F"/>
    <w:rsid w:val="00660D65"/>
    <w:rsid w:val="0067056F"/>
    <w:rsid w:val="0070325F"/>
    <w:rsid w:val="007207DB"/>
    <w:rsid w:val="007F2CAC"/>
    <w:rsid w:val="00876F70"/>
    <w:rsid w:val="00956576"/>
    <w:rsid w:val="009A25FE"/>
    <w:rsid w:val="009E01C5"/>
    <w:rsid w:val="009F0564"/>
    <w:rsid w:val="00A713E2"/>
    <w:rsid w:val="00A921AA"/>
    <w:rsid w:val="00B4403F"/>
    <w:rsid w:val="00BD2882"/>
    <w:rsid w:val="00C10A5C"/>
    <w:rsid w:val="00C60CAB"/>
    <w:rsid w:val="00C777BB"/>
    <w:rsid w:val="00CF69F9"/>
    <w:rsid w:val="00D26341"/>
    <w:rsid w:val="00DC2911"/>
    <w:rsid w:val="00DD03AC"/>
    <w:rsid w:val="00E6113B"/>
    <w:rsid w:val="00EE122E"/>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 w:type="character" w:styleId="SubtleEmphasis">
    <w:name w:val="Subtle Emphasis"/>
    <w:basedOn w:val="DefaultParagraphFont"/>
    <w:uiPriority w:val="19"/>
    <w:qFormat/>
    <w:rsid w:val="007F2CA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Welfare Facilities Statement</dc:title>
  <dc:creator>AHS Ltd</dc:creator>
  <cp:lastModifiedBy>AHS Ltd</cp:lastModifiedBy>
</cp:coreProperties>
</file>