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53D7" w14:textId="77777777" w:rsidR="00290058" w:rsidRDefault="000A44CD">
      <w:pPr>
        <w:spacing w:before="400" w:after="260"/>
        <w:jc w:val="center"/>
      </w:pPr>
      <w:r>
        <w:rPr>
          <w:noProof/>
        </w:rPr>
        <w:drawing>
          <wp:inline distT="0" distB="0" distL="0" distR="0" wp14:anchorId="15C9543A" wp14:editId="15C9543B">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15C953D8" w14:textId="77777777" w:rsidR="00290058" w:rsidRDefault="000A44CD">
      <w:pPr>
        <w:spacing w:after="700"/>
        <w:jc w:val="center"/>
      </w:pPr>
      <w:r>
        <w:rPr>
          <w:rFonts w:ascii="Aptos Black" w:eastAsia="Aptos Black" w:hAnsi="Aptos Black" w:cs="Aptos Black"/>
          <w:b/>
          <w:bCs/>
          <w:color w:val="000000"/>
          <w:sz w:val="34"/>
          <w:szCs w:val="34"/>
        </w:rPr>
        <w:t>ANTI-BRIBERY &amp; CORRUPTION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0058" w14:paraId="15C953DB" w14:textId="77777777">
        <w:tblPrEx>
          <w:tblCellMar>
            <w:top w:w="0" w:type="dxa"/>
            <w:bottom w:w="0" w:type="dxa"/>
          </w:tblCellMar>
        </w:tblPrEx>
        <w:tc>
          <w:tcPr>
            <w:tcW w:w="4680" w:type="dxa"/>
            <w:tcMar>
              <w:top w:w="60" w:type="dxa"/>
              <w:left w:w="110" w:type="dxa"/>
              <w:bottom w:w="60" w:type="dxa"/>
              <w:right w:w="110" w:type="dxa"/>
            </w:tcMar>
          </w:tcPr>
          <w:p w14:paraId="15C953D9" w14:textId="77777777" w:rsidR="00290058" w:rsidRDefault="000A44CD">
            <w:pPr>
              <w:spacing w:before="40" w:after="40"/>
            </w:pPr>
            <w:r>
              <w:rPr>
                <w:b/>
                <w:bCs/>
              </w:rPr>
              <w:t>Date</w:t>
            </w:r>
          </w:p>
        </w:tc>
        <w:tc>
          <w:tcPr>
            <w:tcW w:w="4680" w:type="dxa"/>
            <w:tcMar>
              <w:top w:w="60" w:type="dxa"/>
              <w:left w:w="110" w:type="dxa"/>
              <w:bottom w:w="60" w:type="dxa"/>
              <w:right w:w="110" w:type="dxa"/>
            </w:tcMar>
          </w:tcPr>
          <w:p w14:paraId="15C953DA" w14:textId="77777777" w:rsidR="00290058" w:rsidRDefault="000A44CD">
            <w:pPr>
              <w:spacing w:before="40" w:after="40"/>
            </w:pPr>
            <w:r>
              <w:t xml:space="preserve">⟦issueMonth⟧</w:t>
            </w:r>
          </w:p>
        </w:tc>
      </w:tr>
      <w:tr w:rsidR="00290058" w14:paraId="15C953DE" w14:textId="77777777">
        <w:tblPrEx>
          <w:tblCellMar>
            <w:top w:w="0" w:type="dxa"/>
            <w:bottom w:w="0" w:type="dxa"/>
          </w:tblCellMar>
        </w:tblPrEx>
        <w:tc>
          <w:tcPr>
            <w:tcW w:w="4680" w:type="dxa"/>
            <w:tcMar>
              <w:top w:w="60" w:type="dxa"/>
              <w:left w:w="110" w:type="dxa"/>
              <w:bottom w:w="60" w:type="dxa"/>
              <w:right w:w="110" w:type="dxa"/>
            </w:tcMar>
          </w:tcPr>
          <w:p w14:paraId="15C953DC" w14:textId="77777777" w:rsidR="00290058" w:rsidRDefault="000A44CD">
            <w:pPr>
              <w:spacing w:before="40" w:after="40"/>
            </w:pPr>
            <w:r>
              <w:rPr>
                <w:b/>
                <w:bCs/>
              </w:rPr>
              <w:t>Author</w:t>
            </w:r>
          </w:p>
        </w:tc>
        <w:tc>
          <w:tcPr>
            <w:tcW w:w="4680" w:type="dxa"/>
            <w:tcMar>
              <w:top w:w="60" w:type="dxa"/>
              <w:left w:w="110" w:type="dxa"/>
              <w:bottom w:w="60" w:type="dxa"/>
              <w:right w:w="110" w:type="dxa"/>
            </w:tcMar>
          </w:tcPr>
          <w:p w14:paraId="15C953DD" w14:textId="77777777" w:rsidR="00290058" w:rsidRDefault="000A44CD">
            <w:pPr>
              <w:spacing w:before="40" w:after="40"/>
            </w:pPr>
            <w:r>
              <w:t>Simon Archer</w:t>
            </w:r>
          </w:p>
        </w:tc>
      </w:tr>
      <w:tr w:rsidR="00290058" w14:paraId="15C953E1" w14:textId="77777777">
        <w:tblPrEx>
          <w:tblCellMar>
            <w:top w:w="0" w:type="dxa"/>
            <w:bottom w:w="0" w:type="dxa"/>
          </w:tblCellMar>
        </w:tblPrEx>
        <w:tc>
          <w:tcPr>
            <w:tcW w:w="4680" w:type="dxa"/>
            <w:tcMar>
              <w:top w:w="60" w:type="dxa"/>
              <w:left w:w="110" w:type="dxa"/>
              <w:bottom w:w="60" w:type="dxa"/>
              <w:right w:w="110" w:type="dxa"/>
            </w:tcMar>
          </w:tcPr>
          <w:p w14:paraId="15C953DF" w14:textId="77777777" w:rsidR="00290058" w:rsidRDefault="000A44CD">
            <w:pPr>
              <w:spacing w:before="40" w:after="40"/>
            </w:pPr>
            <w:r>
              <w:rPr>
                <w:b/>
                <w:bCs/>
              </w:rPr>
              <w:t>Review Date</w:t>
            </w:r>
          </w:p>
        </w:tc>
        <w:tc>
          <w:tcPr>
            <w:tcW w:w="4680" w:type="dxa"/>
            <w:tcMar>
              <w:top w:w="60" w:type="dxa"/>
              <w:left w:w="110" w:type="dxa"/>
              <w:bottom w:w="60" w:type="dxa"/>
              <w:right w:w="110" w:type="dxa"/>
            </w:tcMar>
          </w:tcPr>
          <w:p w14:paraId="15C953E0" w14:textId="77777777" w:rsidR="00290058" w:rsidRDefault="000A44CD">
            <w:pPr>
              <w:spacing w:before="40" w:after="40"/>
            </w:pPr>
            <w:r>
              <w:t xml:space="preserve">⟦reviewMonth⟧</w:t>
            </w:r>
          </w:p>
        </w:tc>
      </w:tr>
    </w:tbl>
    <w:p w14:paraId="15C953E2" w14:textId="77777777" w:rsidR="00290058" w:rsidRDefault="00290058">
      <w:pPr>
        <w:spacing w:after="1400"/>
      </w:pPr>
    </w:p>
    <w:p w14:paraId="321D8490" w14:textId="77777777" w:rsidR="00F25945" w:rsidRDefault="00F25945">
      <w:pPr>
        <w:spacing w:after="1400"/>
      </w:pPr>
    </w:p>
    <w:p w14:paraId="2E05B7D5" w14:textId="77777777" w:rsidR="00F25945" w:rsidRDefault="00F25945">
      <w:pPr>
        <w:spacing w:after="1400"/>
      </w:pPr>
    </w:p>
    <w:p w14:paraId="15C953E3" w14:textId="77777777" w:rsidR="00290058" w:rsidRDefault="000A44CD">
      <w:pPr>
        <w:spacing w:after="200"/>
        <w:jc w:val="center"/>
      </w:pPr>
      <w:r>
        <w:rPr>
          <w:noProof/>
        </w:rPr>
        <w:drawing>
          <wp:inline distT="0" distB="0" distL="0" distR="0" wp14:anchorId="15C9543C" wp14:editId="15C9543D">
            <wp:extent cx="514350" cy="466725"/>
            <wp:effectExtent l="0" t="0" r="0" b="0"/>
            <wp:docPr id="969694789" name="Picture 96969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15C953E4" w14:textId="77777777" w:rsidR="00290058" w:rsidRDefault="000A44CD">
      <w:pPr>
        <w:shd w:val="clear" w:color="auto" w:fill="1B1B1B"/>
        <w:spacing w:before="200" w:after="200"/>
        <w:jc w:val="center"/>
      </w:pPr>
      <w:r>
        <w:rPr>
          <w:color w:val="FFFFFF"/>
        </w:rPr>
        <w:t>⟦legalName⟧</w:t>
      </w:r>
    </w:p>
    <w:p w14:paraId="15C953E5" w14:textId="2C6A2073" w:rsidR="00290058" w:rsidRDefault="00290058"/>
    <w:p w14:paraId="15C953E6" w14:textId="77777777" w:rsidR="00290058" w:rsidRDefault="000A44CD">
      <w:pPr>
        <w:spacing w:after="200"/>
      </w:pPr>
      <w:r>
        <w:rPr>
          <w:rFonts w:ascii="Calibri" w:eastAsia="Calibri" w:hAnsi="Calibri" w:cs="Calibri"/>
          <w:b/>
          <w:bCs/>
          <w:sz w:val="26"/>
          <w:szCs w:val="26"/>
        </w:rPr>
        <w:t>Contents</w:t>
      </w:r>
    </w:p>
    <w:sdt>
      <w:sdtPr>
        <w:alias w:val="Contents"/>
        <w:id w:val="145249204"/>
      </w:sdtPr>
      <w:sdtEndPr/>
      <w:sdtContent>
        <w:p w14:paraId="4FAB8AF3" w14:textId="05ED4EF1" w:rsidR="00F25945" w:rsidRDefault="000A44CD">
          <w:pPr>
            <w:pStyle w:val="TOC1"/>
            <w:tabs>
              <w:tab w:val="right" w:leader="dot" w:pos="9736"/>
            </w:tabs>
            <w:rPr>
              <w:noProof/>
            </w:rPr>
          </w:pPr>
          <w:r>
            <w:fldChar w:fldCharType="begin"/>
            <w:instrText>TOC \h \o "1-3"</w:instrText>
            <w:fldChar w:fldCharType="separate"/>
          </w:r>
          <w:hyperlink w:anchor="_Toc238658227" w:history="1">
            <w:r>
              <w:rPr>
                <w:rStyle w:val="Hyperlink"/>
                <w:noProof/>
              </w:rPr>
              <w:t>1. Policy Statement</w:t>
            </w:r>
            <w:r>
              <w:rPr>
                <w:noProof/>
              </w:rPr>
              <w:tab/>
              <w:fldChar w:fldCharType="begin"/>
              <w:instrText xml:space="preserve"> PAGEREF _Toc238658227 \h </w:instrText>
              <w:fldChar w:fldCharType="separate"/>
              <w:t>1</w:t>
              <w:fldChar w:fldCharType="end"/>
            </w:r>
          </w:hyperlink>
        </w:p>
        <w:p w14:paraId="02FE74BB" w14:textId="46844B8B" w:rsidR="00F25945" w:rsidRDefault="00F25945">
          <w:pPr>
            <w:pStyle w:val="TOC1"/>
            <w:tabs>
              <w:tab w:val="right" w:leader="dot" w:pos="9736"/>
            </w:tabs>
            <w:rPr>
              <w:noProof/>
            </w:rPr>
          </w:pPr>
          <w:hyperlink w:anchor="_Toc238658228" w:history="1">
            <w:r>
              <w:rPr>
                <w:rStyle w:val="Hyperlink"/>
                <w:noProof/>
              </w:rPr>
              <w:t>2. Who and what it covers</w:t>
            </w:r>
            <w:r>
              <w:rPr>
                <w:noProof/>
              </w:rPr>
              <w:tab/>
              <w:fldChar w:fldCharType="begin"/>
              <w:instrText xml:space="preserve"> PAGEREF _Toc238658228 \h </w:instrText>
              <w:fldChar w:fldCharType="separate"/>
              <w:t>1</w:t>
              <w:fldChar w:fldCharType="end"/>
            </w:r>
          </w:hyperlink>
        </w:p>
        <w:p w14:paraId="76D0E559" w14:textId="73F4D316" w:rsidR="00F25945" w:rsidRDefault="00F25945">
          <w:pPr>
            <w:pStyle w:val="TOC1"/>
            <w:tabs>
              <w:tab w:val="right" w:leader="dot" w:pos="9736"/>
            </w:tabs>
            <w:rPr>
              <w:noProof/>
            </w:rPr>
          </w:pPr>
          <w:hyperlink w:anchor="_Toc238658229" w:history="1">
            <w:r>
              <w:rPr>
                <w:rStyle w:val="Hyperlink"/>
                <w:noProof/>
              </w:rPr>
              <w:t>3. What counts as bribery</w:t>
            </w:r>
            <w:r>
              <w:rPr>
                <w:noProof/>
              </w:rPr>
              <w:tab/>
              <w:fldChar w:fldCharType="begin"/>
              <w:instrText xml:space="preserve"> PAGEREF _Toc238658229 \h </w:instrText>
              <w:fldChar w:fldCharType="separate"/>
              <w:t>1</w:t>
              <w:fldChar w:fldCharType="end"/>
            </w:r>
          </w:hyperlink>
        </w:p>
        <w:p w14:paraId="46FB891C" w14:textId="0F2C863F" w:rsidR="00F25945" w:rsidRDefault="00F25945">
          <w:pPr>
            <w:pStyle w:val="TOC1"/>
            <w:tabs>
              <w:tab w:val="right" w:leader="dot" w:pos="9736"/>
            </w:tabs>
            <w:rPr>
              <w:noProof/>
            </w:rPr>
          </w:pPr>
          <w:hyperlink w:anchor="_Toc238658230" w:history="1">
            <w:r>
              <w:rPr>
                <w:rStyle w:val="Hyperlink"/>
                <w:noProof/>
              </w:rPr>
              <w:t>4. Gifts and hospitality</w:t>
            </w:r>
            <w:r>
              <w:rPr>
                <w:noProof/>
              </w:rPr>
              <w:tab/>
              <w:fldChar w:fldCharType="begin"/>
              <w:instrText xml:space="preserve"> PAGEREF _Toc238658230 \h </w:instrText>
              <w:fldChar w:fldCharType="separate"/>
              <w:t>1</w:t>
              <w:fldChar w:fldCharType="end"/>
            </w:r>
          </w:hyperlink>
        </w:p>
        <w:p w14:paraId="3AC7D8CE" w14:textId="012CCB42" w:rsidR="00F25945" w:rsidRDefault="00F25945">
          <w:pPr>
            <w:pStyle w:val="TOC1"/>
            <w:tabs>
              <w:tab w:val="right" w:leader="dot" w:pos="9736"/>
            </w:tabs>
            <w:rPr>
              <w:noProof/>
            </w:rPr>
          </w:pPr>
          <w:hyperlink w:anchor="_Toc238658231" w:history="1">
            <w:r>
              <w:rPr>
                <w:rStyle w:val="Hyperlink"/>
                <w:noProof/>
              </w:rPr>
              <w:t>5. Facilitation payments</w:t>
            </w:r>
            <w:r>
              <w:rPr>
                <w:noProof/>
              </w:rPr>
              <w:tab/>
              <w:fldChar w:fldCharType="begin"/>
              <w:instrText xml:space="preserve"> PAGEREF _Toc238658231 \h </w:instrText>
              <w:fldChar w:fldCharType="separate"/>
              <w:t>1</w:t>
              <w:fldChar w:fldCharType="end"/>
            </w:r>
          </w:hyperlink>
        </w:p>
        <w:p w14:paraId="1FD52450" w14:textId="412901E8" w:rsidR="00F25945" w:rsidRDefault="00F25945">
          <w:pPr>
            <w:pStyle w:val="TOC1"/>
            <w:tabs>
              <w:tab w:val="right" w:leader="dot" w:pos="9736"/>
            </w:tabs>
            <w:rPr>
              <w:noProof/>
            </w:rPr>
          </w:pPr>
          <w:hyperlink w:anchor="_Toc238658232" w:history="1">
            <w:r>
              <w:rPr>
                <w:rStyle w:val="Hyperlink"/>
                <w:noProof/>
              </w:rPr>
              <w:t>6. Competition law</w:t>
            </w:r>
            <w:r>
              <w:rPr>
                <w:noProof/>
              </w:rPr>
              <w:tab/>
              <w:fldChar w:fldCharType="begin"/>
              <w:instrText xml:space="preserve"> PAGEREF _Toc238658232 \h </w:instrText>
              <w:fldChar w:fldCharType="separate"/>
              <w:t>1</w:t>
              <w:fldChar w:fldCharType="end"/>
            </w:r>
          </w:hyperlink>
        </w:p>
        <w:p w14:paraId="4EDEE3DC" w14:textId="3B2F50EB" w:rsidR="00F25945" w:rsidRDefault="00F25945">
          <w:pPr>
            <w:pStyle w:val="TOC1"/>
            <w:tabs>
              <w:tab w:val="right" w:leader="dot" w:pos="9736"/>
            </w:tabs>
            <w:rPr>
              <w:noProof/>
            </w:rPr>
          </w:pPr>
          <w:hyperlink w:anchor="_Toc238658233" w:history="1">
            <w:r>
              <w:rPr>
                <w:rStyle w:val="Hyperlink"/>
                <w:noProof/>
              </w:rPr>
              <w:t>7. Controlling fraud and malpractice, and detecting anti-competitive behaviour</w:t>
            </w:r>
            <w:r>
              <w:rPr>
                <w:noProof/>
              </w:rPr>
              <w:tab/>
              <w:fldChar w:fldCharType="begin"/>
              <w:instrText xml:space="preserve"> PAGEREF _Toc238658233 \h </w:instrText>
              <w:fldChar w:fldCharType="separate"/>
              <w:t>1</w:t>
              <w:fldChar w:fldCharType="end"/>
            </w:r>
          </w:hyperlink>
        </w:p>
        <w:p w14:paraId="57D83DBF" w14:textId="32E83611" w:rsidR="00F25945" w:rsidRDefault="00F25945">
          <w:pPr>
            <w:pStyle w:val="TOC1"/>
            <w:tabs>
              <w:tab w:val="right" w:leader="dot" w:pos="9736"/>
            </w:tabs>
            <w:rPr>
              <w:noProof/>
            </w:rPr>
          </w:pPr>
          <w:hyperlink w:anchor="_Toc238658234" w:history="1">
            <w:r>
              <w:rPr>
                <w:rStyle w:val="Hyperlink"/>
                <w:noProof/>
              </w:rPr>
              <w:t>8. Responsibilities</w:t>
            </w:r>
            <w:r>
              <w:rPr>
                <w:noProof/>
              </w:rPr>
              <w:tab/>
              <w:fldChar w:fldCharType="begin"/>
              <w:instrText xml:space="preserve"> PAGEREF _Toc238658234 \h </w:instrText>
              <w:fldChar w:fldCharType="separate"/>
              <w:t>1</w:t>
              <w:fldChar w:fldCharType="end"/>
            </w:r>
          </w:hyperlink>
        </w:p>
        <w:p w14:paraId="1DC5A586" w14:textId="6B83D8EA" w:rsidR="00F25945" w:rsidRDefault="00F25945">
          <w:pPr>
            <w:pStyle w:val="TOC1"/>
            <w:tabs>
              <w:tab w:val="right" w:leader="dot" w:pos="9736"/>
            </w:tabs>
            <w:rPr>
              <w:noProof/>
            </w:rPr>
          </w:pPr>
          <w:hyperlink w:anchor="_Toc238658235" w:history="1">
            <w:r>
              <w:rPr>
                <w:rStyle w:val="Hyperlink"/>
                <w:noProof/>
              </w:rPr>
              <w:t>9. Keeping records</w:t>
            </w:r>
            <w:r>
              <w:rPr>
                <w:noProof/>
              </w:rPr>
              <w:tab/>
              <w:fldChar w:fldCharType="begin"/>
              <w:instrText xml:space="preserve"> PAGEREF _Toc238658235 \h </w:instrText>
              <w:fldChar w:fldCharType="separate"/>
              <w:t>1</w:t>
              <w:fldChar w:fldCharType="end"/>
            </w:r>
          </w:hyperlink>
        </w:p>
        <w:p w14:paraId="426BD70D" w14:textId="0616797D" w:rsidR="00F25945" w:rsidRDefault="00F25945">
          <w:pPr>
            <w:pStyle w:val="TOC1"/>
            <w:tabs>
              <w:tab w:val="right" w:leader="dot" w:pos="9736"/>
            </w:tabs>
            <w:rPr>
              <w:noProof/>
            </w:rPr>
          </w:pPr>
          <w:hyperlink w:anchor="_Toc238658236" w:history="1">
            <w:r>
              <w:rPr>
                <w:rStyle w:val="Hyperlink"/>
                <w:noProof/>
              </w:rPr>
              <w:t>10. Speaking up</w:t>
            </w:r>
            <w:r>
              <w:rPr>
                <w:noProof/>
              </w:rPr>
              <w:tab/>
              <w:fldChar w:fldCharType="begin"/>
              <w:instrText xml:space="preserve"> PAGEREF _Toc238658236 \h </w:instrText>
              <w:fldChar w:fldCharType="separate"/>
              <w:t>1</w:t>
              <w:fldChar w:fldCharType="end"/>
            </w:r>
          </w:hyperlink>
        </w:p>
        <w:p w14:paraId="3E25F19A" w14:textId="4840921B" w:rsidR="00F25945" w:rsidRDefault="00F25945">
          <w:pPr>
            <w:pStyle w:val="TOC1"/>
            <w:tabs>
              <w:tab w:val="right" w:leader="dot" w:pos="9736"/>
            </w:tabs>
            <w:rPr>
              <w:noProof/>
            </w:rPr>
          </w:pPr>
          <w:hyperlink w:anchor="_Toc238658237" w:history="1">
            <w:r>
              <w:rPr>
                <w:rStyle w:val="Hyperlink"/>
                <w:noProof/>
              </w:rPr>
              <w:t>11. How we investigate</w:t>
            </w:r>
            <w:r>
              <w:rPr>
                <w:noProof/>
              </w:rPr>
              <w:tab/>
              <w:fldChar w:fldCharType="begin"/>
              <w:instrText xml:space="preserve"> PAGEREF _Toc238658237 \h </w:instrText>
              <w:fldChar w:fldCharType="separate"/>
              <w:t>1</w:t>
              <w:fldChar w:fldCharType="end"/>
            </w:r>
          </w:hyperlink>
        </w:p>
        <w:p w14:paraId="50B27FA7" w14:textId="49DA0169" w:rsidR="00F25945" w:rsidRDefault="00F25945">
          <w:pPr>
            <w:pStyle w:val="TOC1"/>
            <w:tabs>
              <w:tab w:val="right" w:leader="dot" w:pos="9736"/>
            </w:tabs>
            <w:rPr>
              <w:noProof/>
            </w:rPr>
          </w:pPr>
          <w:hyperlink w:anchor="_Toc238658238" w:history="1">
            <w:r>
              <w:rPr>
                <w:rStyle w:val="Hyperlink"/>
                <w:noProof/>
              </w:rPr>
              <w:t>12. The law behind this policy</w:t>
            </w:r>
            <w:r>
              <w:rPr>
                <w:noProof/>
              </w:rPr>
              <w:tab/>
              <w:fldChar w:fldCharType="begin"/>
              <w:instrText xml:space="preserve"> PAGEREF _Toc238658238 \h </w:instrText>
              <w:fldChar w:fldCharType="separate"/>
              <w:t>1</w:t>
              <w:fldChar w:fldCharType="end"/>
            </w:r>
          </w:hyperlink>
        </w:p>
        <w:p w14:paraId="6AD81A48" w14:textId="632FA179" w:rsidR="00F25945" w:rsidRDefault="00F25945">
          <w:pPr>
            <w:pStyle w:val="TOC1"/>
            <w:tabs>
              <w:tab w:val="right" w:leader="dot" w:pos="9736"/>
            </w:tabs>
            <w:rPr>
              <w:noProof/>
            </w:rPr>
          </w:pPr>
          <w:hyperlink w:anchor="_Toc238658239" w:history="1">
            <w:r>
              <w:rPr>
                <w:rStyle w:val="Hyperlink"/>
                <w:noProof/>
              </w:rPr>
              <w:t>13. How this policy reaches people</w:t>
            </w:r>
            <w:r>
              <w:rPr>
                <w:noProof/>
              </w:rPr>
              <w:tab/>
              <w:fldChar w:fldCharType="begin"/>
              <w:instrText xml:space="preserve"> PAGEREF _Toc238658239 \h </w:instrText>
              <w:fldChar w:fldCharType="separate"/>
              <w:t>1</w:t>
              <w:fldChar w:fldCharType="end"/>
            </w:r>
          </w:hyperlink>
        </w:p>
        <w:p w14:paraId="7F753C94" w14:textId="398EE929" w:rsidR="00F25945" w:rsidRDefault="00F25945">
          <w:pPr>
            <w:pStyle w:val="TOC1"/>
            <w:tabs>
              <w:tab w:val="right" w:leader="dot" w:pos="9736"/>
            </w:tabs>
            <w:rPr>
              <w:noProof/>
            </w:rPr>
          </w:pPr>
          <w:hyperlink w:anchor="_Toc238658240" w:history="1">
            <w:r>
              <w:rPr>
                <w:rStyle w:val="Hyperlink"/>
                <w:noProof/>
              </w:rPr>
              <w:t>14. Policy review and updates</w:t>
            </w:r>
            <w:r>
              <w:rPr>
                <w:noProof/>
              </w:rPr>
              <w:tab/>
              <w:fldChar w:fldCharType="begin"/>
              <w:instrText xml:space="preserve"> PAGEREF _Toc238658240 \h </w:instrText>
              <w:fldChar w:fldCharType="separate"/>
              <w:t>1</w:t>
              <w:fldChar w:fldCharType="end"/>
            </w:r>
          </w:hyperlink>
        </w:p>
        <w:p w14:paraId="15C953E8" w14:textId="4FA206DB" w:rsidR="00290058" w:rsidRDefault="000A44CD">
          <w:r>
            <w:fldChar w:fldCharType="end"/>
          </w:r>
        </w:p>
      </w:sdtContent>
    </w:sdt>
    <w:p w14:paraId="15C953E9" w14:textId="77777777" w:rsidR="00290058" w:rsidRDefault="000A44CD">
      <w:r>
        <w:br w:type="page"/>
      </w:r>
    </w:p>
    <w:p w14:paraId="15C953EA" w14:textId="77777777" w:rsidR="00290058" w:rsidRDefault="000A44CD">
      <w:pPr>
        <w:pStyle w:val="Heading1"/>
        <w:spacing w:before="280" w:after="100"/>
      </w:pPr>
      <w:bookmarkStart w:id="0" w:name="_Toc238658227"/>
      <w:r>
        <w:rPr>
          <w:sz w:val="28"/>
          <w:szCs w:val="28"/>
        </w:rPr>
        <w:lastRenderedPageBreak/>
        <w:t>1. Policy Statement</w:t>
      </w:r>
      <w:bookmarkEnd w:id="0"/>
    </w:p>
    <w:p w14:paraId="15C953EB" w14:textId="77777777" w:rsidR="00290058" w:rsidRDefault="000A44CD">
      <w:pPr>
        <w:spacing w:after="140" w:line="264" w:lineRule="auto"/>
      </w:pPr>
      <w:r>
        <w:rPr>
          <w:color w:val="000000"/>
        </w:rPr>
        <w:t>⟦legalName⟧ (⟦short⟧) does business honestly. We do not offer bribes, we do not accept them, and we do not turn a blind eye to anyone who does. That is not just good manners, it is the law, and both the company and the individual can end up in serious trouble.</w:t>
      </w:r>
    </w:p>
    <w:p w14:paraId="15C953EC" w14:textId="77777777" w:rsidR="00290058" w:rsidRDefault="000A44CD">
      <w:pPr>
        <w:spacing w:after="140" w:line="264" w:lineRule="auto"/>
      </w:pPr>
      <w:r>
        <w:rPr>
          <w:color w:val="000000"/>
        </w:rPr>
        <w:t>The same goes for competition. We win work on the quality of our advice and the level of our fees, and we do not talk to competitors about either.</w:t>
      </w:r>
    </w:p>
    <w:p w14:paraId="15C953ED" w14:textId="77777777" w:rsidR="00290058" w:rsidRDefault="000A44CD">
      <w:pPr>
        <w:pStyle w:val="Heading1"/>
        <w:spacing w:before="280" w:after="100"/>
      </w:pPr>
      <w:bookmarkStart w:id="1" w:name="_Toc238658228"/>
      <w:r>
        <w:rPr>
          <w:sz w:val="28"/>
          <w:szCs w:val="28"/>
        </w:rPr>
        <w:t>2. Who and what it covers</w:t>
      </w:r>
      <w:bookmarkEnd w:id="1"/>
    </w:p>
    <w:p w14:paraId="15C953EE" w14:textId="77777777" w:rsidR="00290058" w:rsidRDefault="000A44CD">
      <w:pPr>
        <w:spacing w:after="140" w:line="264" w:lineRule="auto"/>
      </w:pPr>
      <w:r>
        <w:rPr>
          <w:color w:val="000000"/>
        </w:rPr>
        <w:t xml:space="preserve">This policy applies to everyone at ⟦short⟧. ⟦short⟧ does not use sub-consultants to deliver its work. If it ever engages an agent or adviser to act for it, this policy applies to them from the first day of the engagement.</w:t>
      </w:r>
    </w:p>
    <w:p w14:paraId="15C953EF" w14:textId="77777777" w:rsidR="00290058" w:rsidRDefault="000A44CD">
      <w:pPr>
        <w:pStyle w:val="Heading1"/>
        <w:spacing w:before="280" w:after="100"/>
      </w:pPr>
      <w:bookmarkStart w:id="2" w:name="_Toc238658229"/>
      <w:r>
        <w:rPr>
          <w:sz w:val="28"/>
          <w:szCs w:val="28"/>
        </w:rPr>
        <w:t>3. What counts as bribery</w:t>
      </w:r>
      <w:bookmarkEnd w:id="2"/>
    </w:p>
    <w:p w14:paraId="15C953F0" w14:textId="77777777" w:rsidR="00290058" w:rsidRDefault="000A44CD">
      <w:pPr>
        <w:spacing w:after="140" w:line="264" w:lineRule="auto"/>
      </w:pPr>
      <w:r>
        <w:rPr>
          <w:color w:val="000000"/>
        </w:rPr>
        <w:t>A bribe is any payment, gift or favour offered or accepted to get someone to act improperly, or to win an unfair advantage. It does not have to involve cash, and it does not have to succeed to be an offence.</w:t>
      </w:r>
    </w:p>
    <w:p w14:paraId="15C953F1" w14:textId="77777777" w:rsidR="00290058" w:rsidRDefault="000A44CD">
      <w:pPr>
        <w:pStyle w:val="Heading1"/>
        <w:spacing w:before="280" w:after="100"/>
      </w:pPr>
      <w:bookmarkStart w:id="3" w:name="_Toc238658230"/>
      <w:r>
        <w:rPr>
          <w:sz w:val="28"/>
          <w:szCs w:val="28"/>
        </w:rPr>
        <w:t>4. Gifts and hospitality</w:t>
      </w:r>
      <w:bookmarkEnd w:id="3"/>
    </w:p>
    <w:p w14:paraId="15C953F2" w14:textId="77777777" w:rsidR="00290058" w:rsidRDefault="000A44CD">
      <w:pPr>
        <w:spacing w:after="140" w:line="264" w:lineRule="auto"/>
      </w:pPr>
      <w:r>
        <w:rPr>
          <w:color w:val="000000"/>
        </w:rPr>
        <w:t xml:space="preserve">There is nothing wrong with ordinary, reasonable hospitality, a working lunch or a modest gift at Christmas. The line is crossed when something is out of proportion, or looks like it is meant to sway a decision. Cash, or anything close to it, is never acceptable in either direction. If in doubt, or if a gift feels unusual in its size or timing, tell the Managing Director.</w:t>
      </w:r>
    </w:p>
    <w:p w14:paraId="15C953F3" w14:textId="77777777" w:rsidR="00290058" w:rsidRDefault="000A44CD">
      <w:pPr>
        <w:spacing w:after="140" w:line="264" w:lineRule="auto"/>
      </w:pPr>
      <w:r>
        <w:rPr>
          <w:color w:val="000000"/>
        </w:rPr>
        <w:t>To make that workable rather than a matter of judgement each time:</w:t>
      </w:r>
    </w:p>
    <w:p w14:paraId="15C953F4" w14:textId="77777777" w:rsidR="00290058" w:rsidRDefault="000A44CD">
      <w:pPr>
        <w:pStyle w:val="ListParagraph"/>
        <w:numPr>
          <w:ilvl w:val="0"/>
          <w:numId w:val="2"/>
        </w:numPr>
        <w:spacing w:after="70" w:line="264" w:lineRule="auto"/>
      </w:pPr>
      <w:r>
        <w:t>Anything worth more than £50, offered or received, goes in the gifts and hospitality record within five working days, whether or not it was accepted.</w:t>
      </w:r>
    </w:p>
    <w:p w14:paraId="15C953F5" w14:textId="77777777" w:rsidR="00290058" w:rsidRDefault="000A44CD">
      <w:pPr>
        <w:pStyle w:val="ListParagraph"/>
        <w:numPr>
          <w:ilvl w:val="0"/>
          <w:numId w:val="2"/>
        </w:numPr>
        <w:spacing w:after="70" w:line="264" w:lineRule="auto"/>
      </w:pPr>
      <w:r>
        <w:t xml:space="preserve">Anything above £100 needs the Managing Director's agreement before it is accepted.</w:t>
      </w:r>
    </w:p>
    <w:p w14:paraId="15C953F6" w14:textId="77777777" w:rsidR="00290058" w:rsidRDefault="000A44CD">
      <w:pPr>
        <w:pStyle w:val="ListParagraph"/>
        <w:numPr>
          <w:ilvl w:val="0"/>
          <w:numId w:val="2"/>
        </w:numPr>
        <w:spacing w:after="70" w:line="264" w:lineRule="auto"/>
      </w:pPr>
      <w:r>
        <w:t>Nothing is accepted from a party while we are specifying, evaluating or recommending on a job they could win, or while a tender involving them is live.</w:t>
      </w:r>
    </w:p>
    <w:p w14:paraId="15C953F7" w14:textId="77777777" w:rsidR="00290058" w:rsidRDefault="000A44CD">
      <w:pPr>
        <w:pStyle w:val="ListParagraph"/>
        <w:numPr>
          <w:ilvl w:val="0"/>
          <w:numId w:val="2"/>
        </w:numPr>
        <w:spacing w:after="70" w:line="264" w:lineRule="auto"/>
      </w:pPr>
      <w:r>
        <w:t>We do not accept commission, referral fees or rebates from manufacturers, distributors or installers, at any value. Our specifications are written on technical merit and the client's interest.</w:t>
      </w:r>
    </w:p>
    <w:p w14:paraId="15C953F8" w14:textId="77777777" w:rsidR="00290058" w:rsidRDefault="000A44CD">
      <w:pPr>
        <w:spacing w:after="140" w:line="264" w:lineRule="auto"/>
      </w:pPr>
      <w:r>
        <w:rPr>
          <w:color w:val="000000"/>
        </w:rPr>
        <w:t>Manufacturer training, CPD and factory visits are fine and useful. Where travel, accommodation or entertainment is attached to them, declare it.</w:t>
      </w:r>
    </w:p>
    <w:p w14:paraId="15C953F9" w14:textId="77777777" w:rsidR="00290058" w:rsidRDefault="000A44CD">
      <w:pPr>
        <w:pStyle w:val="Heading1"/>
        <w:spacing w:before="280" w:after="100"/>
      </w:pPr>
      <w:bookmarkStart w:id="4" w:name="_Toc238658231"/>
      <w:r>
        <w:rPr>
          <w:sz w:val="28"/>
          <w:szCs w:val="28"/>
        </w:rPr>
        <w:t>5. Facilitation payments</w:t>
      </w:r>
      <w:bookmarkEnd w:id="4"/>
    </w:p>
    <w:p w14:paraId="15C953FA" w14:textId="77777777" w:rsidR="00290058" w:rsidRDefault="000A44CD">
      <w:pPr>
        <w:spacing w:after="140" w:line="264" w:lineRule="auto"/>
        <w:rPr>
          <w:color w:val="000000"/>
        </w:rPr>
      </w:pPr>
      <w:r>
        <w:rPr>
          <w:color w:val="000000"/>
        </w:rPr>
        <w:t>We do not make facilitation payments, and we do not accept them.</w:t>
      </w:r>
    </w:p>
    <w:p w14:paraId="25769AEF" w14:textId="77777777" w:rsidR="00F25945" w:rsidRDefault="00F25945">
      <w:pPr>
        <w:spacing w:after="140" w:line="264" w:lineRule="auto"/>
        <w:rPr>
          <w:color w:val="000000"/>
        </w:rPr>
      </w:pPr>
    </w:p>
    <w:p w14:paraId="119F5CF0" w14:textId="77777777" w:rsidR="00F25945" w:rsidRDefault="00F25945">
      <w:pPr>
        <w:spacing w:after="140" w:line="264" w:lineRule="auto"/>
        <w:rPr>
          <w:color w:val="000000"/>
        </w:rPr>
      </w:pPr>
    </w:p>
    <w:p w14:paraId="56ACB6EB" w14:textId="77777777" w:rsidR="00F25945" w:rsidRDefault="00F25945">
      <w:pPr>
        <w:spacing w:after="140" w:line="264" w:lineRule="auto"/>
        <w:rPr>
          <w:color w:val="000000"/>
        </w:rPr>
      </w:pPr>
    </w:p>
    <w:p w14:paraId="7700C7F0" w14:textId="77777777" w:rsidR="00F25945" w:rsidRDefault="00F25945">
      <w:pPr>
        <w:spacing w:after="140" w:line="264" w:lineRule="auto"/>
        <w:rPr>
          <w:color w:val="000000"/>
        </w:rPr>
      </w:pPr>
    </w:p>
    <w:p w14:paraId="5908C248" w14:textId="77777777" w:rsidR="00F25945" w:rsidRDefault="00F25945">
      <w:pPr>
        <w:spacing w:after="140" w:line="264" w:lineRule="auto"/>
        <w:rPr>
          <w:color w:val="000000"/>
        </w:rPr>
      </w:pPr>
    </w:p>
    <w:p w14:paraId="2853FC00" w14:textId="77777777" w:rsidR="00F25945" w:rsidRDefault="00F25945">
      <w:pPr>
        <w:spacing w:after="140" w:line="264" w:lineRule="auto"/>
        <w:rPr>
          <w:color w:val="000000"/>
        </w:rPr>
      </w:pPr>
    </w:p>
    <w:p w14:paraId="68A13251" w14:textId="77777777" w:rsidR="00F25945" w:rsidRDefault="00F25945">
      <w:pPr>
        <w:spacing w:after="140" w:line="264" w:lineRule="auto"/>
      </w:pPr>
    </w:p>
    <w:p w14:paraId="15C953FB" w14:textId="77777777" w:rsidR="00290058" w:rsidRDefault="000A44CD">
      <w:pPr>
        <w:pStyle w:val="Heading1"/>
        <w:spacing w:before="280" w:after="100"/>
      </w:pPr>
      <w:bookmarkStart w:id="5" w:name="_Toc238658232"/>
      <w:r>
        <w:rPr>
          <w:sz w:val="28"/>
          <w:szCs w:val="28"/>
        </w:rPr>
        <w:lastRenderedPageBreak/>
        <w:t>6. Competition law</w:t>
      </w:r>
      <w:bookmarkEnd w:id="5"/>
    </w:p>
    <w:p w14:paraId="15C953FC" w14:textId="77777777" w:rsidR="00290058" w:rsidRDefault="000A44CD">
      <w:pPr>
        <w:spacing w:after="140" w:line="264" w:lineRule="auto"/>
      </w:pPr>
      <w:r>
        <w:rPr>
          <w:color w:val="000000"/>
        </w:rPr>
        <w:t>Competition law matters to us because we tender for fees, sometimes in a specialist market where the same names come up. The rules are straightforward and there is no grey area in them.</w:t>
      </w:r>
    </w:p>
    <w:p w14:paraId="15C953FD" w14:textId="77777777" w:rsidR="00290058" w:rsidRDefault="000A44CD">
      <w:pPr>
        <w:spacing w:after="140" w:line="264" w:lineRule="auto"/>
      </w:pPr>
      <w:r>
        <w:rPr>
          <w:color w:val="000000"/>
        </w:rPr>
        <w:t>We will not, with a competitor:</w:t>
      </w:r>
    </w:p>
    <w:p w14:paraId="15C953FE" w14:textId="77777777" w:rsidR="00290058" w:rsidRDefault="000A44CD">
      <w:pPr>
        <w:pStyle w:val="ListParagraph"/>
        <w:numPr>
          <w:ilvl w:val="0"/>
          <w:numId w:val="2"/>
        </w:numPr>
        <w:spacing w:after="70" w:line="264" w:lineRule="auto"/>
      </w:pPr>
      <w:r>
        <w:t>Discuss, compare or coordinate fees, day rates, margins or discounts.</w:t>
      </w:r>
    </w:p>
    <w:p w14:paraId="15C953FF" w14:textId="77777777" w:rsidR="00290058" w:rsidRDefault="000A44CD">
      <w:pPr>
        <w:pStyle w:val="ListParagraph"/>
        <w:numPr>
          <w:ilvl w:val="0"/>
          <w:numId w:val="2"/>
        </w:numPr>
        <w:spacing w:after="70" w:line="264" w:lineRule="auto"/>
      </w:pPr>
      <w:r>
        <w:t>Agree who will bid, who will not bid, or at what level.</w:t>
      </w:r>
    </w:p>
    <w:p w14:paraId="15C95400" w14:textId="77777777" w:rsidR="00290058" w:rsidRDefault="000A44CD">
      <w:pPr>
        <w:pStyle w:val="ListParagraph"/>
        <w:numPr>
          <w:ilvl w:val="0"/>
          <w:numId w:val="2"/>
        </w:numPr>
        <w:spacing w:after="70" w:line="264" w:lineRule="auto"/>
      </w:pPr>
      <w:r>
        <w:t>Exchange tender lists, pricing intentions, costs, capacity or client terms, whether directly, through a client, or in a trade body or industry setting.</w:t>
      </w:r>
    </w:p>
    <w:p w14:paraId="15C95401" w14:textId="77777777" w:rsidR="00290058" w:rsidRDefault="000A44CD">
      <w:pPr>
        <w:pStyle w:val="ListParagraph"/>
        <w:numPr>
          <w:ilvl w:val="0"/>
          <w:numId w:val="2"/>
        </w:numPr>
        <w:spacing w:after="70" w:line="264" w:lineRule="auto"/>
      </w:pPr>
      <w:r>
        <w:t>Divide up clients, sectors or areas.</w:t>
      </w:r>
    </w:p>
    <w:p w14:paraId="15C95402" w14:textId="77777777" w:rsidR="00290058" w:rsidRDefault="000A44CD">
      <w:pPr>
        <w:pStyle w:val="ListParagraph"/>
        <w:numPr>
          <w:ilvl w:val="0"/>
          <w:numId w:val="2"/>
        </w:numPr>
        <w:spacing w:after="70" w:line="264" w:lineRule="auto"/>
      </w:pPr>
      <w:r>
        <w:t>Agree not to work for a particular client or with a particular contractor.</w:t>
      </w:r>
    </w:p>
    <w:p w14:paraId="15C95403" w14:textId="77777777" w:rsidR="00290058" w:rsidRDefault="000A44CD">
      <w:pPr>
        <w:spacing w:after="140" w:line="264" w:lineRule="auto"/>
      </w:pPr>
      <w:r>
        <w:rPr>
          <w:color w:val="000000"/>
        </w:rPr>
        <w:t>We also do not submit cover prices. If we do not want a job, or cannot resource it, we tell the client in writing that we are not bidding. We never ask a competitor for a price to put in, and we never give one.</w:t>
      </w:r>
    </w:p>
    <w:p w14:paraId="15C95404" w14:textId="77777777" w:rsidR="00290058" w:rsidRDefault="000A44CD">
      <w:pPr>
        <w:spacing w:after="140" w:line="264" w:lineRule="auto"/>
      </w:pPr>
      <w:r>
        <w:rPr>
          <w:color w:val="000000"/>
        </w:rPr>
        <w:t xml:space="preserve">If a competitor raises any of this, say plainly that ⟦short⟧ will not discuss it, end the conversation, write down what was said and who said it, and tell the Managing Director the same day. Staying quiet can be treated as taking part.</w:t>
      </w:r>
    </w:p>
    <w:p w14:paraId="15C95405" w14:textId="77777777" w:rsidR="00290058" w:rsidRDefault="000A44CD">
      <w:pPr>
        <w:pStyle w:val="Heading1"/>
        <w:spacing w:before="280" w:after="100"/>
      </w:pPr>
      <w:bookmarkStart w:id="6" w:name="_Toc238658233"/>
      <w:r>
        <w:rPr>
          <w:sz w:val="28"/>
          <w:szCs w:val="28"/>
        </w:rPr>
        <w:t>7. Controlling fraud and malpractice, and detecting anti-competitive behaviour</w:t>
      </w:r>
      <w:bookmarkEnd w:id="6"/>
    </w:p>
    <w:p w14:paraId="15C95406" w14:textId="77777777" w:rsidR="00290058" w:rsidRDefault="000A44CD">
      <w:pPr>
        <w:spacing w:after="140" w:line="264" w:lineRule="auto"/>
      </w:pPr>
      <w:r>
        <w:rPr>
          <w:color w:val="000000"/>
        </w:rPr>
        <w:t>These are the processes we have in place to control fraud and malpractice, and the arrangements we use to detect and avoid anti-competitive behaviour. They sit behind sections 4 to 6 and rest on risk assessment, due diligence, training and monitoring.</w:t>
      </w:r>
    </w:p>
    <w:p w14:paraId="15C95407" w14:textId="77777777" w:rsidR="00290058" w:rsidRDefault="000A44CD">
      <w:pPr>
        <w:pStyle w:val="ListParagraph"/>
        <w:numPr>
          <w:ilvl w:val="0"/>
          <w:numId w:val="2"/>
        </w:numPr>
        <w:spacing w:after="70" w:line="264" w:lineRule="auto"/>
      </w:pPr>
      <w:r>
        <w:t xml:space="preserve">Risk. The Managing Director looks at where the company is exposed to bribery, corruption, fraud, malpractice and competition risk once a year, and record it in the minutes of the annual team meeting.</w:t>
      </w:r>
    </w:p>
    <w:p w14:paraId="15C95408" w14:textId="77777777" w:rsidR="00290058" w:rsidRDefault="000A44CD">
      <w:pPr>
        <w:pStyle w:val="ListParagraph"/>
        <w:numPr>
          <w:ilvl w:val="0"/>
          <w:numId w:val="2"/>
        </w:numPr>
        <w:spacing w:after="70" w:line="264" w:lineRule="auto"/>
      </w:pPr>
      <w:r>
        <w:t xml:space="preserve">Due diligence. Before we engage any agent or adviser to act for us, we check who they are at Companies House, ask them to confirm in writing that they will comply with this policy, and write that requirement into the engagement terms.</w:t>
      </w:r>
    </w:p>
    <w:p w14:paraId="15C95409" w14:textId="77777777" w:rsidR="00290058" w:rsidRDefault="000A44CD">
      <w:pPr>
        <w:pStyle w:val="ListParagraph"/>
        <w:numPr>
          <w:ilvl w:val="0"/>
          <w:numId w:val="2"/>
        </w:numPr>
        <w:spacing w:after="70" w:line="264" w:lineRule="auto"/>
      </w:pPr>
      <w:r>
        <w:t>Conflicts. Anyone with a personal or financial connection to a client, competitor, supplier, installer or contractor declares it in writing. They then take no part in any specification, evaluation or recommendation affected by it, and the client is told.</w:t>
      </w:r>
    </w:p>
    <w:p w14:paraId="15C9540A" w14:textId="77777777" w:rsidR="00290058" w:rsidRDefault="000A44CD">
      <w:pPr>
        <w:pStyle w:val="ListParagraph"/>
        <w:numPr>
          <w:ilvl w:val="0"/>
          <w:numId w:val="2"/>
        </w:numPr>
        <w:spacing w:after="70" w:line="264" w:lineRule="auto"/>
      </w:pPr>
      <w:r>
        <w:t xml:space="preserve">Independent pricing. Fee proposals are built from our own rates and hours. The file shows who prepared the fee and that the Managing Director approved it.</w:t>
      </w:r>
    </w:p>
    <w:p w14:paraId="15C9540B" w14:textId="77777777" w:rsidR="00290058" w:rsidRDefault="000A44CD">
      <w:pPr>
        <w:pStyle w:val="ListParagraph"/>
        <w:numPr>
          <w:ilvl w:val="0"/>
          <w:numId w:val="2"/>
        </w:numPr>
        <w:spacing w:after="70" w:line="264" w:lineRule="auto"/>
      </w:pPr>
      <w:r>
        <w:t>Specifications. We write to performance requirements wherever we can. Where a named product is unavoidable, the reason goes on the project file and we allow an equivalent unless the client says otherwise.</w:t>
      </w:r>
    </w:p>
    <w:p w14:paraId="15C9540C" w14:textId="77777777" w:rsidR="00290058" w:rsidRDefault="000A44CD">
      <w:pPr>
        <w:pStyle w:val="ListParagraph"/>
        <w:numPr>
          <w:ilvl w:val="0"/>
          <w:numId w:val="2"/>
        </w:numPr>
        <w:spacing w:after="70" w:line="264" w:lineRule="auto"/>
      </w:pPr>
      <w:r>
        <w:t xml:space="preserve">Certifying. We do not sign, date or issue anything we have not checked ourselves. If anyone asks us to, we refuse in writing and tell the Managing Director the same day.</w:t>
      </w:r>
    </w:p>
    <w:p w14:paraId="15C9540D" w14:textId="77777777" w:rsidR="00290058" w:rsidRDefault="000A44CD">
      <w:pPr>
        <w:pStyle w:val="ListParagraph"/>
        <w:numPr>
          <w:ilvl w:val="0"/>
          <w:numId w:val="2"/>
        </w:numPr>
        <w:spacing w:after="70" w:line="264" w:lineRule="auto"/>
      </w:pPr>
      <w:r>
        <w:t>Training. Bribery, gifts and competition law are covered at the annual team meeting, which is minuted with a signed attendance record, and everyone completes a short online anti-bribery course each year.</w:t>
      </w:r>
    </w:p>
    <w:p w14:paraId="15C9540E" w14:textId="77777777" w:rsidR="00290058" w:rsidRDefault="000A44CD">
      <w:pPr>
        <w:pStyle w:val="ListParagraph"/>
        <w:numPr>
          <w:ilvl w:val="0"/>
          <w:numId w:val="2"/>
        </w:numPr>
        <w:spacing w:after="70" w:line="264" w:lineRule="auto"/>
      </w:pPr>
      <w:r>
        <w:t xml:space="preserve">Monitoring. The Managing Director reviews the gifts and hospitality record and the declarations of interest at the annual meeting, and spot check tender files.</w:t>
      </w:r>
    </w:p>
    <w:p w14:paraId="15C9540F" w14:textId="77777777" w:rsidR="00290058" w:rsidRDefault="000A44CD">
      <w:pPr>
        <w:pStyle w:val="Heading1"/>
        <w:spacing w:before="280" w:after="100"/>
      </w:pPr>
      <w:bookmarkStart w:id="7" w:name="_Toc238658234"/>
      <w:r>
        <w:rPr>
          <w:sz w:val="28"/>
          <w:szCs w:val="28"/>
        </w:rPr>
        <w:lastRenderedPageBreak/>
        <w:t>8. Responsibilities</w:t>
      </w:r>
      <w:bookmarkEnd w:id="7"/>
    </w:p>
    <w:p w14:paraId="15C95410" w14:textId="77777777" w:rsidR="00290058" w:rsidRDefault="000A44CD">
      <w:pPr>
        <w:pStyle w:val="ListParagraph"/>
        <w:numPr>
          <w:ilvl w:val="0"/>
          <w:numId w:val="2"/>
        </w:numPr>
        <w:spacing w:after="70" w:line="264" w:lineRule="auto"/>
      </w:pPr>
      <w:r>
        <w:t xml:space="preserve">Managing Director: sets the tone, keeps sensible procedures in place, holds the gifts and hospitality record and the declarations of interest, approves anything above the threshold, deals with concerns, and reports to the authorities where required.</w:t>
      </w:r>
    </w:p>
    <w:p w14:paraId="15C95411" w14:textId="77777777" w:rsidR="00290058" w:rsidRDefault="000A44CD">
      <w:pPr>
        <w:pStyle w:val="ListParagraph"/>
        <w:numPr>
          <w:ilvl w:val="0"/>
          <w:numId w:val="2"/>
        </w:numPr>
        <w:spacing w:after="70" w:line="264" w:lineRule="auto"/>
      </w:pPr>
      <w:r>
        <w:t>Everyone else: steer clear of anything dubious, declare gifts, hospitality and conflicts, complete the annual training, and report concerns.</w:t>
      </w:r>
    </w:p>
    <w:p w14:paraId="15C95412" w14:textId="77777777" w:rsidR="00290058" w:rsidRDefault="000A44CD">
      <w:pPr>
        <w:pStyle w:val="Heading1"/>
        <w:spacing w:before="280" w:after="100"/>
      </w:pPr>
      <w:bookmarkStart w:id="8" w:name="_Toc238658235"/>
      <w:r>
        <w:rPr>
          <w:sz w:val="28"/>
          <w:szCs w:val="28"/>
        </w:rPr>
        <w:t>9. Keeping records</w:t>
      </w:r>
      <w:bookmarkEnd w:id="8"/>
    </w:p>
    <w:p w14:paraId="15C95413" w14:textId="77777777" w:rsidR="00290058" w:rsidRDefault="000A44CD">
      <w:pPr>
        <w:spacing w:after="140" w:line="264" w:lineRule="auto"/>
      </w:pPr>
      <w:r>
        <w:rPr>
          <w:color w:val="000000"/>
        </w:rPr>
        <w:t xml:space="preserve">We keep a record of gifts and hospitality worth more than £50, of declarations of interest, and of any payments to agents, together with the reason for them. It is a single sheet in the company shared folder that everyone can see and add to. Where a year passes with nothing to record, we note that, because a nil return is itself a record.</w:t>
      </w:r>
    </w:p>
    <w:p w14:paraId="15C95414" w14:textId="77777777" w:rsidR="00290058" w:rsidRDefault="000A44CD">
      <w:pPr>
        <w:spacing w:after="140" w:line="264" w:lineRule="auto"/>
      </w:pPr>
      <w:r>
        <w:rPr>
          <w:color w:val="000000"/>
        </w:rPr>
        <w:t>Fee build-ups, specification decisions and tender files are kept for six years.</w:t>
      </w:r>
    </w:p>
    <w:p w14:paraId="15C95415" w14:textId="77777777" w:rsidR="00290058" w:rsidRDefault="000A44CD">
      <w:pPr>
        <w:pStyle w:val="Heading1"/>
        <w:spacing w:before="280" w:after="100"/>
      </w:pPr>
      <w:bookmarkStart w:id="9" w:name="_Toc238658236"/>
      <w:r>
        <w:rPr>
          <w:sz w:val="28"/>
          <w:szCs w:val="28"/>
        </w:rPr>
        <w:t>10. Speaking up</w:t>
      </w:r>
      <w:bookmarkEnd w:id="9"/>
    </w:p>
    <w:p w14:paraId="15C95416" w14:textId="77777777" w:rsidR="00290058" w:rsidRDefault="000A44CD">
      <w:pPr>
        <w:spacing w:after="140" w:line="264" w:lineRule="auto"/>
      </w:pPr>
      <w:r>
        <w:rPr>
          <w:color w:val="000000"/>
        </w:rPr>
        <w:t xml:space="preserve">Raise concerns with the Managing Director, or through the Whistleblowing Policy. Nobody will suffer for refusing a bribe or for raising a genuine worry, even if it costs us the job.</w:t>
      </w:r>
    </w:p>
    <w:p w14:paraId="15C95417" w14:textId="77777777" w:rsidR="00290058" w:rsidRDefault="000A44CD">
      <w:pPr>
        <w:spacing w:after="140" w:line="264" w:lineRule="auto"/>
      </w:pPr>
      <w:r>
        <w:rPr>
          <w:color w:val="000000"/>
        </w:rPr>
        <w:t xml:space="preserve">We are a small business, so the routes are short and worth spelling out. Go to the Managing Director. If your concern is about the Managing Director, or you would rather not raise it inside the company at all, go outside: contact ACAS on 0300 123 1100, or Protect, the independent whistleblowing charity, which gives free confidential advice on 020 3117 2520. Anti-competitive conduct can be reported to the Competition and Markets Authority, which runs a cartel reporting line and a leniency programme. You can report anonymously.</w:t>
      </w:r>
    </w:p>
    <w:p w14:paraId="15C95418" w14:textId="77777777" w:rsidR="00290058" w:rsidRDefault="000A44CD">
      <w:pPr>
        <w:pStyle w:val="Heading1"/>
        <w:spacing w:before="280" w:after="100"/>
      </w:pPr>
      <w:bookmarkStart w:id="10" w:name="_Toc238658237"/>
      <w:r>
        <w:rPr>
          <w:sz w:val="28"/>
          <w:szCs w:val="28"/>
        </w:rPr>
        <w:t>11. How we investigate</w:t>
      </w:r>
      <w:bookmarkEnd w:id="10"/>
    </w:p>
    <w:p w14:paraId="15C95419" w14:textId="77777777" w:rsidR="00290058" w:rsidRDefault="000A44CD">
      <w:pPr>
        <w:spacing w:after="140" w:line="264" w:lineRule="auto"/>
      </w:pPr>
      <w:r>
        <w:rPr>
          <w:color w:val="000000"/>
        </w:rPr>
        <w:t xml:space="preserve">When a concern comes in, the Managing Director acknowledges it in writing within five working days and secures the relevant emails, project files and fee records before anything is discussed.</w:t>
      </w:r>
    </w:p>
    <w:p w14:paraId="15C9541A" w14:textId="77777777" w:rsidR="00290058" w:rsidRDefault="000A44CD">
      <w:pPr>
        <w:spacing w:after="140" w:line="264" w:lineRule="auto"/>
      </w:pPr>
      <w:r>
        <w:rPr>
          <w:color w:val="000000"/>
        </w:rPr>
        <w:t xml:space="preserve">The Managing Director looks into it. Where the concern involves the Managing Director, or he is too close to it, the Company appoints an independent investigator from outside, chosen at the time, because there is nobody else inside the Company who can do it. Anyone accused is told what is alleged and given a fair chance to answer. The findings and the reasons for them are written down, and the person who raised it is told the outcome as far as is appropriate.</w:t>
      </w:r>
    </w:p>
    <w:p w14:paraId="15C9541B" w14:textId="77777777" w:rsidR="00290058" w:rsidRDefault="000A44CD">
      <w:pPr>
        <w:spacing w:after="140" w:line="264" w:lineRule="auto"/>
        <w:rPr>
          <w:color w:val="000000"/>
        </w:rPr>
      </w:pPr>
      <w:r>
        <w:rPr>
          <w:color w:val="000000"/>
        </w:rPr>
        <w:t xml:space="preserve">If a concern is upheld, it is dealt with under the disciplinary procedure and can amount to gross misconduct. Where a supplier is involved, we end the relationship. Where we think an offence has been committed we report it to the police, the Serious Fraud Office or the Competition and Markets Authority, and we cooperate with any investigation. The Managing Director records what allowed it to happen and what has changed as a result.</w:t>
      </w:r>
    </w:p>
    <w:p w14:paraId="07E81F8E" w14:textId="77777777" w:rsidR="00F25945" w:rsidRDefault="00F25945">
      <w:pPr>
        <w:spacing w:after="140" w:line="264" w:lineRule="auto"/>
        <w:rPr>
          <w:color w:val="000000"/>
        </w:rPr>
      </w:pPr>
    </w:p>
    <w:p w14:paraId="687B13DE" w14:textId="77777777" w:rsidR="00F25945" w:rsidRDefault="00F25945">
      <w:pPr>
        <w:spacing w:after="140" w:line="264" w:lineRule="auto"/>
        <w:rPr>
          <w:color w:val="000000"/>
        </w:rPr>
      </w:pPr>
    </w:p>
    <w:p w14:paraId="784952C2" w14:textId="77777777" w:rsidR="00F25945" w:rsidRDefault="00F25945">
      <w:pPr>
        <w:spacing w:after="140" w:line="264" w:lineRule="auto"/>
        <w:rPr>
          <w:color w:val="000000"/>
        </w:rPr>
      </w:pPr>
    </w:p>
    <w:p w14:paraId="1D0A0047" w14:textId="77777777" w:rsidR="00F25945" w:rsidRDefault="00F25945">
      <w:pPr>
        <w:spacing w:after="140" w:line="264" w:lineRule="auto"/>
        <w:rPr>
          <w:color w:val="000000"/>
        </w:rPr>
      </w:pPr>
    </w:p>
    <w:p w14:paraId="726B9789" w14:textId="77777777" w:rsidR="00F25945" w:rsidRDefault="00F25945">
      <w:pPr>
        <w:spacing w:after="140" w:line="264" w:lineRule="auto"/>
      </w:pPr>
    </w:p>
    <w:p w14:paraId="15C9541C" w14:textId="77777777" w:rsidR="00290058" w:rsidRDefault="000A44CD">
      <w:pPr>
        <w:pStyle w:val="Heading1"/>
        <w:spacing w:before="280" w:after="100"/>
      </w:pPr>
      <w:bookmarkStart w:id="11" w:name="_Toc238658238"/>
      <w:r>
        <w:rPr>
          <w:sz w:val="28"/>
          <w:szCs w:val="28"/>
        </w:rPr>
        <w:lastRenderedPageBreak/>
        <w:t>12. The law behind this policy</w:t>
      </w:r>
      <w:bookmarkEnd w:id="11"/>
    </w:p>
    <w:p w14:paraId="15C9541D" w14:textId="77777777" w:rsidR="00290058" w:rsidRDefault="000A44CD">
      <w:pPr>
        <w:spacing w:after="140" w:line="264" w:lineRule="auto"/>
      </w:pPr>
      <w:r>
        <w:rPr>
          <w:color w:val="000000"/>
        </w:rPr>
        <w:t>This policy meets the Bribery Act 2010, under which a company can be guilty of failing to prevent bribery unless it has adequate procedures in place. We follow the Government's six principles for those procedures: keeping them proportionate, commitment from the top, assessing risk, doing due diligence, training and communication, and reviewing how it all works. Proportionate matters here: we are a small consultancy, and the arrangements above are set to match that rather than copied from a large contractor.</w:t>
      </w:r>
    </w:p>
    <w:p w14:paraId="15C9541E" w14:textId="77777777" w:rsidR="00290058" w:rsidRDefault="000A44CD">
      <w:pPr>
        <w:spacing w:after="140" w:line="264" w:lineRule="auto"/>
      </w:pPr>
      <w:r>
        <w:rPr>
          <w:color w:val="000000"/>
        </w:rPr>
        <w:t>It also covers the Fraud Act 2006, which makes it an offence to lie to get something, to hide information you are supposed to share, or to abuse a position of trust. The Proceeds of Crime Act 2002, under which we do not handle or conceal money we suspect comes from crime. The Criminal Finances Act 2017, which is dealt with in the Fraud Prevention Policy. And the Economic Crime and Corporate Transparency Act 2023.</w:t>
      </w:r>
    </w:p>
    <w:p w14:paraId="15C9541F" w14:textId="77777777" w:rsidR="00290058" w:rsidRDefault="000A44CD">
      <w:pPr>
        <w:spacing w:after="140" w:line="264" w:lineRule="auto"/>
      </w:pPr>
      <w:r>
        <w:rPr>
          <w:color w:val="000000"/>
        </w:rPr>
        <w:t>On competition, it covers the Competition Act 1998, which prohibits anti-competitive agreements and the abuse of a dominant position and carries fines of up to 10% of worldwide turnover. The Enterprise Act 2002, under which an individual who dishonestly rigs a bid or fixes a price can go to prison for up to five years and be disqualified as a director for up to fifteen. And the Digital Markets, Competition and Consumers Act 2024, which strengthened the powers of the Competition and Markets Authority.</w:t>
      </w:r>
    </w:p>
    <w:p w14:paraId="15C95420" w14:textId="77777777" w:rsidR="00290058" w:rsidRDefault="000A44CD">
      <w:pPr>
        <w:pStyle w:val="Heading1"/>
        <w:spacing w:before="280" w:after="100"/>
      </w:pPr>
      <w:bookmarkStart w:id="12" w:name="_Toc238658239"/>
      <w:r>
        <w:rPr>
          <w:sz w:val="28"/>
          <w:szCs w:val="28"/>
        </w:rPr>
        <w:t>13. How this policy reaches people</w:t>
      </w:r>
      <w:bookmarkEnd w:id="12"/>
    </w:p>
    <w:p w14:paraId="15C95421" w14:textId="77777777" w:rsidR="00290058" w:rsidRDefault="000A44CD">
      <w:pPr>
        <w:spacing w:after="140" w:line="264" w:lineRule="auto"/>
      </w:pPr>
      <w:r>
        <w:rPr>
          <w:color w:val="000000"/>
        </w:rPr>
        <w:t xml:space="preserve">The current version sits in the company shared folder, which everyone can open. When it is issued or changed, the Managing Director emails it round and asks each person to reply confirming they have read it, and those replies are kept. Everyone signs the staff policy acknowledgement once a year. New starters get the pack before they start and sign as part of the induction. It is covered at the annual team meeting, which is minuted with a signed attendance record.</w:t>
      </w:r>
    </w:p>
    <w:p w14:paraId="15C95422" w14:textId="77777777" w:rsidR="00290058" w:rsidRDefault="000A44CD">
      <w:pPr>
        <w:pStyle w:val="Heading1"/>
        <w:spacing w:before="280" w:after="100"/>
      </w:pPr>
      <w:bookmarkStart w:id="13" w:name="_Toc238658240"/>
      <w:r>
        <w:rPr>
          <w:sz w:val="28"/>
          <w:szCs w:val="28"/>
        </w:rPr>
        <w:t>14. Policy review and updates</w:t>
      </w:r>
      <w:bookmarkEnd w:id="13"/>
    </w:p>
    <w:p w14:paraId="15C95423" w14:textId="77777777" w:rsidR="00290058" w:rsidRDefault="000A44CD">
      <w:pPr>
        <w:spacing w:after="140" w:line="264" w:lineRule="auto"/>
      </w:pPr>
      <w:r>
        <w:rPr>
          <w:color w:val="000000"/>
        </w:rPr>
        <w:t>This policy is reviewed at least once every 12 months, and sooner if there is a change in legislation, working practices or company circumstances. Any amendments are recorded in the version control table below and communicated to all employees.</w:t>
      </w:r>
    </w:p>
    <w:p w14:paraId="15C95424" w14:textId="77777777" w:rsidR="00290058" w:rsidRDefault="00290058">
      <w:pPr>
        <w:spacing w:after="600"/>
      </w:pPr>
    </w:p>
    <w:p w14:paraId="15C95425" w14:textId="77777777" w:rsidR="00290058" w:rsidRDefault="000A44CD">
      <w:pPr>
        <w:spacing w:after="60" w:line="264" w:lineRule="auto"/>
      </w:pPr>
      <w:r>
        <w:rPr>
          <w:color w:val="000000"/>
        </w:rPr>
        <w:t>⟦hsLead⟧</w:t>
      </w:r>
    </w:p>
    <w:p w14:paraId="15C95426" w14:textId="306D9750" w:rsidR="00290058" w:rsidRDefault="000A44CD">
      <w:pPr>
        <w:tabs>
          <w:tab w:val="right" w:pos="9740"/>
        </w:tabs>
        <w:spacing w:after="140"/>
      </w:pPr>
      <w:r>
        <w:t xml:space="preserve">Managing Director, ⟦legalName⟧                                                                          Date: 25</w:t>
      </w:r>
      <w:r>
        <w:rPr>
          <w:vertAlign w:val="superscript"/>
        </w:rPr>
        <w:t>th</w:t>
      </w:r>
      <w:r>
        <w:t xml:space="preserve"> Aug 26</w:t>
      </w:r>
    </w:p>
    <w:p w14:paraId="15C95427" w14:textId="77777777" w:rsidR="00290058" w:rsidRDefault="0029005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900"/>
        <w:gridCol w:w="3560"/>
        <w:gridCol w:w="1600"/>
      </w:tblGrid>
      <w:tr w:rsidR="00290058" w14:paraId="15C9542D"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15C95428" w14:textId="77777777" w:rsidR="00290058" w:rsidRDefault="000A44CD">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15C95429" w14:textId="77777777" w:rsidR="00290058" w:rsidRDefault="000A44CD">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15C9542A" w14:textId="77777777" w:rsidR="00290058" w:rsidRDefault="000A44CD">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15C9542B" w14:textId="77777777" w:rsidR="00290058" w:rsidRDefault="000A44CD">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15C9542C" w14:textId="77777777" w:rsidR="00290058" w:rsidRDefault="000A44CD">
            <w:pPr>
              <w:spacing w:before="40" w:after="40"/>
            </w:pPr>
            <w:r>
              <w:rPr>
                <w:b/>
                <w:bCs/>
                <w:sz w:val="18"/>
                <w:szCs w:val="18"/>
              </w:rPr>
              <w:t>Approval By</w:t>
            </w:r>
          </w:p>
        </w:tc>
      </w:tr>
      <w:tr w:rsidR="00290058" w14:paraId="15C95433" w14:textId="77777777">
        <w:tblPrEx>
          <w:tblCellMar>
            <w:top w:w="0" w:type="dxa"/>
            <w:bottom w:w="0" w:type="dxa"/>
          </w:tblCellMar>
        </w:tblPrEx>
        <w:tc>
          <w:tcPr>
            <w:tcW w:w="1000" w:type="dxa"/>
            <w:tcMar>
              <w:top w:w="60" w:type="dxa"/>
              <w:left w:w="110" w:type="dxa"/>
              <w:bottom w:w="60" w:type="dxa"/>
              <w:right w:w="110" w:type="dxa"/>
            </w:tcMar>
          </w:tcPr>
          <w:p w14:paraId="15C9542E" w14:textId="77777777" w:rsidR="00290058" w:rsidRDefault="000A44CD">
            <w:pPr>
              <w:spacing w:before="40" w:after="40"/>
            </w:pPr>
            <w:r>
              <w:rPr>
                <w:sz w:val="18"/>
                <w:szCs w:val="18"/>
              </w:rPr>
              <w:t>2.0</w:t>
            </w:r>
          </w:p>
        </w:tc>
        <w:tc>
          <w:tcPr>
            <w:tcW w:w="1300" w:type="dxa"/>
            <w:tcMar>
              <w:top w:w="60" w:type="dxa"/>
              <w:left w:w="110" w:type="dxa"/>
              <w:bottom w:w="60" w:type="dxa"/>
              <w:right w:w="110" w:type="dxa"/>
            </w:tcMar>
          </w:tcPr>
          <w:p w14:paraId="15C9542F" w14:textId="77777777" w:rsidR="00290058" w:rsidRDefault="000A44CD">
            <w:pPr>
              <w:spacing w:before="40" w:after="40"/>
            </w:pPr>
            <w:commentRangeStart w:id="1"/>
            <w:r>
              <w:rPr>
                <w:sz w:val="18"/>
                <w:szCs w:val="18"/>
                <w:highlight w:val="yellow"/>
              </w:rPr>
              <w:t>July 2026</w:t>
            </w:r>
            <w:commentRangeEnd w:id="1"/>
            <w:r>
              <w:commentReference w:id="1"/>
            </w:r>
          </w:p>
        </w:tc>
        <w:tc>
          <w:tcPr>
            <w:tcW w:w="1900" w:type="dxa"/>
            <w:tcMar>
              <w:top w:w="60" w:type="dxa"/>
              <w:left w:w="110" w:type="dxa"/>
              <w:bottom w:w="60" w:type="dxa"/>
              <w:right w:w="110" w:type="dxa"/>
            </w:tcMar>
          </w:tcPr>
          <w:p w14:paraId="15C95430" w14:textId="77777777" w:rsidR="00290058" w:rsidRDefault="000A44CD">
            <w:pPr>
              <w:spacing w:before="40" w:after="40"/>
            </w:pPr>
            <w:r>
              <w:rPr>
                <w:sz w:val="18"/>
                <w:szCs w:val="18"/>
              </w:rPr>
              <w:t>Simon Archer</w:t>
            </w:r>
          </w:p>
        </w:tc>
        <w:tc>
          <w:tcPr>
            <w:tcW w:w="3560" w:type="dxa"/>
            <w:tcMar>
              <w:top w:w="60" w:type="dxa"/>
              <w:left w:w="110" w:type="dxa"/>
              <w:bottom w:w="60" w:type="dxa"/>
              <w:right w:w="110" w:type="dxa"/>
            </w:tcMar>
          </w:tcPr>
          <w:p w14:paraId="15C95431" w14:textId="77777777" w:rsidR="00290058" w:rsidRDefault="000A44CD">
            <w:pPr>
              <w:spacing w:before="40" w:after="40"/>
            </w:pPr>
            <w:r>
              <w:rPr>
                <w:sz w:val="18"/>
                <w:szCs w:val="18"/>
              </w:rPr>
              <w:t>Reviewed and updated</w:t>
            </w:r>
          </w:p>
        </w:tc>
        <w:tc>
          <w:tcPr>
            <w:tcW w:w="1600" w:type="dxa"/>
            <w:tcMar>
              <w:top w:w="60" w:type="dxa"/>
              <w:left w:w="110" w:type="dxa"/>
              <w:bottom w:w="60" w:type="dxa"/>
              <w:right w:w="110" w:type="dxa"/>
            </w:tcMar>
          </w:tcPr>
          <w:p w14:paraId="15C95432" w14:textId="77777777" w:rsidR="00290058" w:rsidRDefault="000A44CD">
            <w:pPr>
              <w:spacing w:before="40" w:after="40"/>
            </w:pPr>
            <w:r>
              <w:rPr>
                <w:sz w:val="18"/>
                <w:szCs w:val="18"/>
              </w:rPr>
              <w:t>⟦hsLead⟧</w:t>
            </w:r>
          </w:p>
        </w:tc>
      </w:tr>
      <w:tr w:rsidR="00290058" w14:paraId="15C95439" w14:textId="77777777">
        <w:tblPrEx>
          <w:tblCellMar>
            <w:top w:w="0" w:type="dxa"/>
            <w:bottom w:w="0" w:type="dxa"/>
          </w:tblCellMar>
        </w:tblPrEx>
        <w:tc>
          <w:tcPr>
            <w:tcW w:w="1000" w:type="dxa"/>
            <w:tcMar>
              <w:top w:w="60" w:type="dxa"/>
              <w:left w:w="110" w:type="dxa"/>
              <w:bottom w:w="60" w:type="dxa"/>
              <w:right w:w="110" w:type="dxa"/>
            </w:tcMar>
          </w:tcPr>
          <w:p w14:paraId="15C95434" w14:textId="77777777" w:rsidR="00290058" w:rsidRDefault="000A44CD">
            <w:pPr>
              <w:spacing w:before="40" w:after="40"/>
            </w:pPr>
            <w:r>
              <w:rPr>
                <w:sz w:val="18"/>
                <w:szCs w:val="18"/>
              </w:rPr>
              <w:t>3.0</w:t>
            </w:r>
          </w:p>
        </w:tc>
        <w:tc>
          <w:tcPr>
            <w:tcW w:w="1300" w:type="dxa"/>
            <w:tcMar>
              <w:top w:w="60" w:type="dxa"/>
              <w:left w:w="110" w:type="dxa"/>
              <w:bottom w:w="60" w:type="dxa"/>
              <w:right w:w="110" w:type="dxa"/>
            </w:tcMar>
          </w:tcPr>
          <w:p w14:paraId="15C95435" w14:textId="77777777" w:rsidR="00290058" w:rsidRDefault="000A44CD">
            <w:pPr>
              <w:spacing w:before="40" w:after="40"/>
            </w:pPr>
            <w:commentRangeStart w:id="2"/>
            <w:r>
              <w:rPr>
                <w:sz w:val="18"/>
                <w:szCs w:val="18"/>
                <w:highlight w:val="yellow"/>
              </w:rPr>
              <w:t>August 2026</w:t>
            </w:r>
            <w:commentRangeEnd w:id="2"/>
            <w:r>
              <w:commentReference w:id="2"/>
            </w:r>
          </w:p>
        </w:tc>
        <w:tc>
          <w:tcPr>
            <w:tcW w:w="1900" w:type="dxa"/>
            <w:tcMar>
              <w:top w:w="60" w:type="dxa"/>
              <w:left w:w="110" w:type="dxa"/>
              <w:bottom w:w="60" w:type="dxa"/>
              <w:right w:w="110" w:type="dxa"/>
            </w:tcMar>
          </w:tcPr>
          <w:p w14:paraId="15C95436" w14:textId="77777777" w:rsidR="00290058" w:rsidRDefault="000A44CD">
            <w:pPr>
              <w:spacing w:before="40" w:after="40"/>
            </w:pPr>
            <w:r>
              <w:rPr>
                <w:sz w:val="18"/>
                <w:szCs w:val="18"/>
              </w:rPr>
              <w:t>Simon Archer</w:t>
            </w:r>
          </w:p>
        </w:tc>
        <w:tc>
          <w:tcPr>
            <w:tcW w:w="3560" w:type="dxa"/>
            <w:tcMar>
              <w:top w:w="60" w:type="dxa"/>
              <w:left w:w="110" w:type="dxa"/>
              <w:bottom w:w="60" w:type="dxa"/>
              <w:right w:w="110" w:type="dxa"/>
            </w:tcMar>
          </w:tcPr>
          <w:p w14:paraId="15C95437" w14:textId="77777777" w:rsidR="00290058" w:rsidRDefault="000A44CD">
            <w:pPr>
              <w:spacing w:before="40" w:after="40"/>
            </w:pPr>
            <w:r>
              <w:rPr>
                <w:sz w:val="18"/>
                <w:szCs w:val="18"/>
              </w:rPr>
              <w:t>Added competition law, arrangements to detect and avoid anti-competitive behaviour, gifts and hospitality thresholds, investigation procedure and communication route</w:t>
            </w:r>
          </w:p>
        </w:tc>
        <w:tc>
          <w:tcPr>
            <w:tcW w:w="1600" w:type="dxa"/>
            <w:tcMar>
              <w:top w:w="60" w:type="dxa"/>
              <w:left w:w="110" w:type="dxa"/>
              <w:bottom w:w="60" w:type="dxa"/>
              <w:right w:w="110" w:type="dxa"/>
            </w:tcMar>
          </w:tcPr>
          <w:p w14:paraId="15C95438" w14:textId="77777777" w:rsidR="00290058" w:rsidRDefault="000A44CD">
            <w:pPr>
              <w:spacing w:before="40" w:after="40"/>
            </w:pPr>
            <w:r>
              <w:rPr>
                <w:sz w:val="18"/>
                <w:szCs w:val="18"/>
              </w:rPr>
              <w:t>⟦hsLead⟧</w:t>
            </w:r>
          </w:p>
        </w:tc>
      </w:tr>
      <w:tr w:rsidR="00290058" w14:paraId="15C95439" w14:textId="77777777">
        <w:tblPrEx>
          <w:tblCellMar>
            <w:top w:w="0" w:type="dxa"/>
            <w:bottom w:w="0" w:type="dxa"/>
          </w:tblCellMar>
        </w:tblPrEx>
        <w:tc>
          <w:tcPr>
            <w:tcW w:w="1000" w:type="dxa"/>
            <w:tcMar>
              <w:top w:w="60" w:type="dxa"/>
              <w:left w:w="110" w:type="dxa"/>
              <w:bottom w:w="60" w:type="dxa"/>
              <w:right w:w="110" w:type="dxa"/>
            </w:tcMar>
          </w:tcPr>
          <w:p w14:paraId="15C95434" w14:textId="77777777" w:rsidR="00290058" w:rsidRDefault="000A44CD">
            <w:pPr>
              <w:spacing w:before="40" w:after="40"/>
            </w:pPr>
            <w:r>
              <w:rPr>
                <w:sz w:val="18"/>
                <w:szCs w:val="18"/>
              </w:rPr>
              <w:t xml:space="preserve">4.0</w:t>
            </w:r>
          </w:p>
        </w:tc>
        <w:tc>
          <w:tcPr>
            <w:tcW w:w="1300" w:type="dxa"/>
            <w:tcMar>
              <w:top w:w="60" w:type="dxa"/>
              <w:left w:w="110" w:type="dxa"/>
              <w:bottom w:w="60" w:type="dxa"/>
              <w:right w:w="110" w:type="dxa"/>
            </w:tcMar>
          </w:tcPr>
          <w:p w14:paraId="15C95435" w14:textId="77777777" w:rsidR="00290058" w:rsidRDefault="000A44CD">
            <w:pPr>
              <w:spacing w:before="40" w:after="40"/>
            </w:pPr>
            <w:r>
              <w:rPr>
                <w:sz w:val="18"/>
                <w:szCs w:val="18"/>
              </w:rPr>
              <w:t xml:space="preserve">⟦issueMonth⟧</w:t>
            </w:r>
          </w:p>
        </w:tc>
        <w:tc>
          <w:tcPr>
            <w:tcW w:w="1900" w:type="dxa"/>
            <w:tcMar>
              <w:top w:w="60" w:type="dxa"/>
              <w:left w:w="110" w:type="dxa"/>
              <w:bottom w:w="60" w:type="dxa"/>
              <w:right w:w="110" w:type="dxa"/>
            </w:tcMar>
          </w:tcPr>
          <w:p w14:paraId="15C95436" w14:textId="77777777" w:rsidR="00290058" w:rsidRDefault="000A44CD">
            <w:pPr>
              <w:spacing w:before="40" w:after="40"/>
            </w:pPr>
            <w:r>
              <w:rPr>
                <w:sz w:val="18"/>
                <w:szCs w:val="18"/>
              </w:rPr>
              <w:t xml:space="preserve">Simon Archer</w:t>
            </w:r>
          </w:p>
        </w:tc>
        <w:tc>
          <w:tcPr>
            <w:tcW w:w="3560" w:type="dxa"/>
            <w:tcMar>
              <w:top w:w="60" w:type="dxa"/>
              <w:left w:w="110" w:type="dxa"/>
              <w:bottom w:w="60" w:type="dxa"/>
              <w:right w:w="110" w:type="dxa"/>
            </w:tcMar>
          </w:tcPr>
          <w:p w14:paraId="15C95437" w14:textId="77777777" w:rsidR="00290058" w:rsidRDefault="000A44CD">
            <w:pPr>
              <w:spacing w:before="40" w:after="40"/>
            </w:pPr>
            <w:commentRangeStart w:id="3"/>
            <w:r>
              <w:rPr>
                <w:sz w:val="18"/>
                <w:szCs w:val="18"/>
                <w:highlight w:val="yellow"/>
              </w:rPr>
              <w:t xml:space="preserve">Sole Director and no sub-consultants: approval, reporting and investigation routes amended. Record threshold made consistent at £50.</w:t>
            </w:r>
            <w:commentRangeEnd w:id="3"/>
            <w:r>
              <w:commentReference w:id="3"/>
            </w:r>
          </w:p>
        </w:tc>
        <w:tc>
          <w:tcPr>
            <w:tcW w:w="1600" w:type="dxa"/>
            <w:tcMar>
              <w:top w:w="60" w:type="dxa"/>
              <w:left w:w="110" w:type="dxa"/>
              <w:bottom w:w="60" w:type="dxa"/>
              <w:right w:w="110" w:type="dxa"/>
            </w:tcMar>
          </w:tcPr>
          <w:p w14:paraId="15C95438" w14:textId="77777777" w:rsidR="00290058" w:rsidRDefault="000A44CD">
            <w:pPr>
              <w:spacing w:before="40" w:after="40"/>
            </w:pPr>
            <w:r>
              <w:rPr>
                <w:sz w:val="18"/>
                <w:szCs w:val="18"/>
              </w:rPr>
              <w:t xml:space="preserve">⟦hsLead⟧</w:t>
            </w:r>
          </w:p>
        </w:tc>
      </w:tr>
    </w:tbl>
    <w:p w14:paraId="15C9543A" w14:textId="77777777" w:rsidR="000A44CD" w:rsidRDefault="000A44CD"/>
    <w:sectPr w:rsidR="000A44CD">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CFAB" w14:textId="77777777" w:rsidR="000A44CD" w:rsidRDefault="000A44CD">
      <w:r>
        <w:separator/>
      </w:r>
    </w:p>
  </w:endnote>
  <w:endnote w:type="continuationSeparator" w:id="0">
    <w:p w14:paraId="086FDA2D" w14:textId="77777777" w:rsidR="000A44CD" w:rsidRDefault="000A4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543E" w14:textId="77777777" w:rsidR="00290058" w:rsidRDefault="000A44CD">
    <w:pPr>
      <w:pBdr>
        <w:top w:val="single" w:sz="6" w:space="6" w:color="000000"/>
      </w:pBdr>
      <w:spacing w:before="120"/>
      <w:jc w:val="center"/>
    </w:pPr>
    <w:r>
      <w:rPr>
        <w:rFonts w:ascii="Helvetica" w:eastAsia="Helvetica" w:hAnsi="Helvetica" w:cs="Helvetica"/>
        <w:sz w:val="14"/>
        <w:szCs w:val="14"/>
      </w:rPr>
      <w:t>Registered Office: ⟦address⟧</w:t>
    </w:r>
  </w:p>
  <w:p w14:paraId="15C9543F" w14:textId="77777777" w:rsidR="00290058" w:rsidRDefault="000A44CD">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E9841" w14:textId="77777777" w:rsidR="000A44CD" w:rsidRDefault="000A44CD">
      <w:r>
        <w:separator/>
      </w:r>
    </w:p>
  </w:footnote>
  <w:footnote w:type="continuationSeparator" w:id="0">
    <w:p w14:paraId="72BCB57F" w14:textId="77777777" w:rsidR="000A44CD" w:rsidRDefault="000A4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37CA9"/>
    <w:multiLevelType w:val="hybridMultilevel"/>
    <w:tmpl w:val="79261B1E"/>
    <w:lvl w:ilvl="0" w:tplc="A79C9EAC">
      <w:start w:val="1"/>
      <w:numFmt w:val="bullet"/>
      <w:lvlText w:val="•"/>
      <w:lvlJc w:val="left"/>
      <w:pPr>
        <w:ind w:left="460" w:hanging="240"/>
      </w:pPr>
      <w:rPr>
        <w:rFonts w:ascii="Aptos" w:eastAsia="Aptos" w:hAnsi="Aptos" w:cs="Aptos"/>
        <w:sz w:val="22"/>
        <w:szCs w:val="22"/>
      </w:rPr>
    </w:lvl>
    <w:lvl w:ilvl="1" w:tplc="DA5C99B6">
      <w:start w:val="1"/>
      <w:numFmt w:val="bullet"/>
      <w:lvlText w:val="–"/>
      <w:lvlJc w:val="left"/>
      <w:pPr>
        <w:ind w:left="920" w:hanging="240"/>
      </w:pPr>
      <w:rPr>
        <w:rFonts w:ascii="Aptos" w:eastAsia="Aptos" w:hAnsi="Aptos" w:cs="Aptos"/>
        <w:sz w:val="22"/>
        <w:szCs w:val="22"/>
      </w:rPr>
    </w:lvl>
    <w:lvl w:ilvl="2" w:tplc="5704C444">
      <w:numFmt w:val="decimal"/>
      <w:lvlText w:val=""/>
      <w:lvlJc w:val="left"/>
    </w:lvl>
    <w:lvl w:ilvl="3" w:tplc="EB8CF502">
      <w:numFmt w:val="decimal"/>
      <w:lvlText w:val=""/>
      <w:lvlJc w:val="left"/>
    </w:lvl>
    <w:lvl w:ilvl="4" w:tplc="F162BF68">
      <w:numFmt w:val="decimal"/>
      <w:lvlText w:val=""/>
      <w:lvlJc w:val="left"/>
    </w:lvl>
    <w:lvl w:ilvl="5" w:tplc="8F2E641A">
      <w:numFmt w:val="decimal"/>
      <w:lvlText w:val=""/>
      <w:lvlJc w:val="left"/>
    </w:lvl>
    <w:lvl w:ilvl="6" w:tplc="C05CFD04">
      <w:numFmt w:val="decimal"/>
      <w:lvlText w:val=""/>
      <w:lvlJc w:val="left"/>
    </w:lvl>
    <w:lvl w:ilvl="7" w:tplc="1B0E41B2">
      <w:numFmt w:val="decimal"/>
      <w:lvlText w:val=""/>
      <w:lvlJc w:val="left"/>
    </w:lvl>
    <w:lvl w:ilvl="8" w:tplc="C9D216FC">
      <w:numFmt w:val="decimal"/>
      <w:lvlText w:val=""/>
      <w:lvlJc w:val="left"/>
    </w:lvl>
  </w:abstractNum>
  <w:abstractNum w:abstractNumId="1" w15:restartNumberingAfterBreak="0">
    <w:nsid w:val="67A150D4"/>
    <w:multiLevelType w:val="hybridMultilevel"/>
    <w:tmpl w:val="240C3024"/>
    <w:lvl w:ilvl="0" w:tplc="54A84620">
      <w:start w:val="1"/>
      <w:numFmt w:val="bullet"/>
      <w:lvlText w:val="●"/>
      <w:lvlJc w:val="left"/>
      <w:pPr>
        <w:ind w:left="720" w:hanging="360"/>
      </w:pPr>
    </w:lvl>
    <w:lvl w:ilvl="1" w:tplc="CED8DB6A">
      <w:start w:val="1"/>
      <w:numFmt w:val="bullet"/>
      <w:lvlText w:val="○"/>
      <w:lvlJc w:val="left"/>
      <w:pPr>
        <w:ind w:left="1440" w:hanging="360"/>
      </w:pPr>
    </w:lvl>
    <w:lvl w:ilvl="2" w:tplc="20EC6C06">
      <w:start w:val="1"/>
      <w:numFmt w:val="bullet"/>
      <w:lvlText w:val="■"/>
      <w:lvlJc w:val="left"/>
      <w:pPr>
        <w:ind w:left="2160" w:hanging="360"/>
      </w:pPr>
    </w:lvl>
    <w:lvl w:ilvl="3" w:tplc="BF5E308E">
      <w:start w:val="1"/>
      <w:numFmt w:val="bullet"/>
      <w:lvlText w:val="●"/>
      <w:lvlJc w:val="left"/>
      <w:pPr>
        <w:ind w:left="2880" w:hanging="360"/>
      </w:pPr>
    </w:lvl>
    <w:lvl w:ilvl="4" w:tplc="197CEDE2">
      <w:start w:val="1"/>
      <w:numFmt w:val="bullet"/>
      <w:lvlText w:val="○"/>
      <w:lvlJc w:val="left"/>
      <w:pPr>
        <w:ind w:left="3600" w:hanging="360"/>
      </w:pPr>
    </w:lvl>
    <w:lvl w:ilvl="5" w:tplc="A0346BDE">
      <w:start w:val="1"/>
      <w:numFmt w:val="bullet"/>
      <w:lvlText w:val="■"/>
      <w:lvlJc w:val="left"/>
      <w:pPr>
        <w:ind w:left="4320" w:hanging="360"/>
      </w:pPr>
    </w:lvl>
    <w:lvl w:ilvl="6" w:tplc="B226132E">
      <w:start w:val="1"/>
      <w:numFmt w:val="bullet"/>
      <w:lvlText w:val="●"/>
      <w:lvlJc w:val="left"/>
      <w:pPr>
        <w:ind w:left="5040" w:hanging="360"/>
      </w:pPr>
    </w:lvl>
    <w:lvl w:ilvl="7" w:tplc="36F4BAE2">
      <w:start w:val="1"/>
      <w:numFmt w:val="bullet"/>
      <w:lvlText w:val="●"/>
      <w:lvlJc w:val="left"/>
      <w:pPr>
        <w:ind w:left="5760" w:hanging="360"/>
      </w:pPr>
    </w:lvl>
    <w:lvl w:ilvl="8" w:tplc="E5DCED70">
      <w:start w:val="1"/>
      <w:numFmt w:val="bullet"/>
      <w:lvlText w:val="●"/>
      <w:lvlJc w:val="left"/>
      <w:pPr>
        <w:ind w:left="6480" w:hanging="360"/>
      </w:pPr>
    </w:lvl>
  </w:abstractNum>
  <w:num w:numId="1" w16cid:durableId="1272585628">
    <w:abstractNumId w:val="1"/>
    <w:lvlOverride w:ilvl="0">
      <w:startOverride w:val="1"/>
    </w:lvlOverride>
  </w:num>
  <w:num w:numId="2" w16cid:durableId="2140564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058"/>
    <w:rsid w:val="000A44CD"/>
    <w:rsid w:val="00290058"/>
    <w:rsid w:val="00F25945"/>
    <w:rsid w:val="00F66D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53D7"/>
  <w15:docId w15:val="{39E6057D-006B-47AB-83D8-FC57F17D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594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1772</Words>
  <Characters>10106</Characters>
  <Application>Microsoft Office Word</Application>
  <DocSecurity>0</DocSecurity>
  <Lines>84</Lines>
  <Paragraphs>23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Anti-Bribery &amp; Corruption Policy</dc:title>
  <dc:creator>AHS Ltd</dc:creator>
  <cp:lastModifiedBy>AHS Ltd</cp:lastModifiedBy>
</cp:coreProperties>
</file>