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BUILDING SAFETY COMMUNICATION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Policy Statement</w:t>
      </w:r>
    </w:p>
    <w:p>
      <w:pPr>
        <w:spacing w:after="80"/>
      </w:pPr>
      <w:r>
        <w:rPr>
          <w:rFonts w:ascii="Arial" w:cs="Arial" w:eastAsia="Arial" w:hAnsi="Arial"/>
          <w:color w:val="3A3A3A"/>
          <w:sz w:val="21"/>
          <w:szCs w:val="21"/>
        </w:rPr>
        <w:t xml:space="preserve">Section 2: Who We Communicate With</w:t>
      </w:r>
    </w:p>
    <w:p>
      <w:pPr>
        <w:spacing w:after="80"/>
      </w:pPr>
      <w:r>
        <w:rPr>
          <w:rFonts w:ascii="Arial" w:cs="Arial" w:eastAsia="Arial" w:hAnsi="Arial"/>
          <w:color w:val="3A3A3A"/>
          <w:sz w:val="21"/>
          <w:szCs w:val="21"/>
        </w:rPr>
        <w:t xml:space="preserve">Section 3: Plain Language Principles</w:t>
      </w:r>
    </w:p>
    <w:p>
      <w:pPr>
        <w:spacing w:after="80"/>
      </w:pPr>
      <w:r>
        <w:rPr>
          <w:rFonts w:ascii="Arial" w:cs="Arial" w:eastAsia="Arial" w:hAnsi="Arial"/>
          <w:color w:val="3A3A3A"/>
          <w:sz w:val="21"/>
          <w:szCs w:val="21"/>
        </w:rPr>
        <w:t xml:space="preserve">Section 4: Making Information Accessible</w:t>
      </w:r>
    </w:p>
    <w:p>
      <w:pPr>
        <w:spacing w:after="80"/>
      </w:pPr>
      <w:r>
        <w:rPr>
          <w:rFonts w:ascii="Arial" w:cs="Arial" w:eastAsia="Arial" w:hAnsi="Arial"/>
          <w:color w:val="3A3A3A"/>
          <w:sz w:val="21"/>
          <w:szCs w:val="21"/>
        </w:rPr>
        <w:t xml:space="preserve">Section 5: Telling Clients About Their Duties</w:t>
      </w:r>
    </w:p>
    <w:p>
      <w:pPr>
        <w:spacing w:after="80"/>
      </w:pPr>
      <w:r>
        <w:rPr>
          <w:rFonts w:ascii="Arial" w:cs="Arial" w:eastAsia="Arial" w:hAnsi="Arial"/>
          <w:color w:val="3A3A3A"/>
          <w:sz w:val="21"/>
          <w:szCs w:val="21"/>
        </w:rPr>
        <w:t xml:space="preserve">Section 6: Cooperating With the Project Team</w:t>
      </w:r>
    </w:p>
    <w:p>
      <w:pPr>
        <w:spacing w:after="80"/>
      </w:pPr>
      <w:r>
        <w:rPr>
          <w:rFonts w:ascii="Arial" w:cs="Arial" w:eastAsia="Arial" w:hAnsi="Arial"/>
          <w:color w:val="3A3A3A"/>
          <w:sz w:val="21"/>
          <w:szCs w:val="21"/>
        </w:rPr>
        <w:t xml:space="preserve">Section 7: Monitoring</w:t>
      </w:r>
    </w:p>
    <w:p>
      <w:pPr>
        <w:spacing w:after="80"/>
      </w:pPr>
      <w:r>
        <w:rPr>
          <w:rFonts w:ascii="Arial" w:cs="Arial" w:eastAsia="Arial" w:hAnsi="Arial"/>
          <w:color w:val="3A3A3A"/>
          <w:sz w:val="21"/>
          <w:szCs w:val="21"/>
        </w:rPr>
        <w:t xml:space="preserve">Section 8: Legislation and Guidance</w:t>
      </w:r>
    </w:p>
    <w:p>
      <w:pPr>
        <w:spacing w:after="80"/>
      </w:pPr>
      <w:r>
        <w:rPr>
          <w:rFonts w:ascii="Arial" w:cs="Arial" w:eastAsia="Arial" w:hAnsi="Arial"/>
          <w:color w:val="3A3A3A"/>
          <w:sz w:val="21"/>
          <w:szCs w:val="21"/>
        </w:rPr>
        <w:t xml:space="preserve">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POLICY STATEMENT</w:t>
      </w:r>
    </w:p>
    <w:p>
      <w:pPr>
        <w:spacing w:after="140" w:line="300"/>
      </w:pPr>
      <w:r>
        <w:rPr>
          <w:rFonts w:ascii="Arial" w:cs="Arial" w:eastAsia="Arial" w:hAnsi="Arial"/>
          <w:color w:val="3A3A3A"/>
          <w:sz w:val="21"/>
          <w:szCs w:val="21"/>
        </w:rPr>
        <w:t xml:space="preserve">Most of ⟦short⟧'s clients are not security or building safety specialists. A design is only safe if the people who own, run and use the building understand what it does and what they have to do. This policy sets out how ⟦short⟧ explains technical and building safety information clearly to everyone who needs it, and how we cooperate with the rest of the project team.</w:t>
      </w:r>
    </w:p>
    <w:p>
      <w:pPr>
        <w:spacing w:after="140" w:line="300"/>
      </w:pPr>
      <w:r>
        <w:rPr>
          <w:rFonts w:ascii="Arial" w:cs="Arial" w:eastAsia="Arial" w:hAnsi="Arial"/>
          <w:color w:val="3A3A3A"/>
          <w:sz w:val="21"/>
          <w:szCs w:val="21"/>
        </w:rPr>
        <w:t xml:space="preserve">It replaces the Stakeholder Engagement Policy 2025.</w:t>
      </w:r>
    </w:p>
    <w:p>
      <w:pPr>
        <w:pStyle w:val="Heading1"/>
        <w:pBdr>
          <w:bottom w:val="single" w:color="9A9A9A" w:sz="4" w:space="4"/>
        </w:pBdr>
        <w:spacing w:after="160" w:before="360"/>
      </w:pPr>
      <w:r>
        <w:rPr>
          <w:rFonts w:ascii="Arial" w:cs="Arial" w:eastAsia="Arial" w:hAnsi="Arial"/>
          <w:b/>
          <w:bCs/>
          <w:color w:val="2E4A5C"/>
          <w:sz w:val="24"/>
          <w:szCs w:val="24"/>
        </w:rPr>
        <w:t xml:space="preserve">SECTION 2: WHO WE COMMUNICATE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Audience</w:t>
            </w:r>
          </w:p>
        </w:tc>
        <w:tc>
          <w:tcPr>
            <w:tcW w:type="dxa" w:w="609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What they need from us</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Clients and building owners</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What the system does, what it costs to run and maintain, and their legal duties as client.</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Facilities and building managers</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How to operate, test and maintain the system safely, and what not to change.</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Residents and building users</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Usually through the client or accountable person: how doors, entry systems and alarms behave, especially in a fire.</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Principal designer, principal contractor and other designers</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Design information, risks we could not design out and how our systems interface with theirs.</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Installers</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Clear drawings and specifications, including the fire safety requirements they must follow.</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Building control and the Building Safety Regulator</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Compliance information and design changes, through the principal designer.</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3: PLAIN LANGUAGE PRINCIPLES</w:t>
      </w:r>
    </w:p>
    <w:p>
      <w:pPr>
        <w:pStyle w:val="ListParagraph"/>
        <w:numPr>
          <w:ilvl w:val="0"/>
          <w:numId w:val="2"/>
        </w:numPr>
        <w:spacing w:after="80" w:line="290"/>
      </w:pPr>
      <w:r>
        <w:rPr>
          <w:rFonts w:ascii="Arial" w:cs="Arial" w:eastAsia="Arial" w:hAnsi="Arial"/>
          <w:b/>
          <w:bCs/>
          <w:color w:val="3A3A3A"/>
          <w:sz w:val="21"/>
          <w:szCs w:val="21"/>
        </w:rPr>
        <w:t xml:space="preserve">Say what it means for them.</w:t>
      </w:r>
      <w:r>
        <w:rPr>
          <w:rFonts w:ascii="Arial" w:cs="Arial" w:eastAsia="Arial" w:hAnsi="Arial"/>
          <w:color w:val="3A3A3A"/>
          <w:sz w:val="21"/>
          <w:szCs w:val="21"/>
        </w:rPr>
        <w:t xml:space="preserve"> Lead with what the person needs to know or do, then the detail.</w:t>
      </w:r>
    </w:p>
    <w:p>
      <w:pPr>
        <w:pStyle w:val="ListParagraph"/>
        <w:numPr>
          <w:ilvl w:val="0"/>
          <w:numId w:val="2"/>
        </w:numPr>
        <w:spacing w:after="80" w:line="290"/>
      </w:pPr>
      <w:r>
        <w:rPr>
          <w:rFonts w:ascii="Arial" w:cs="Arial" w:eastAsia="Arial" w:hAnsi="Arial"/>
          <w:b/>
          <w:bCs/>
          <w:color w:val="3A3A3A"/>
          <w:sz w:val="21"/>
          <w:szCs w:val="21"/>
        </w:rPr>
        <w:t xml:space="preserve">Use everyday words.</w:t>
      </w:r>
      <w:r>
        <w:rPr>
          <w:rFonts w:ascii="Arial" w:cs="Arial" w:eastAsia="Arial" w:hAnsi="Arial"/>
          <w:color w:val="3A3A3A"/>
          <w:sz w:val="21"/>
          <w:szCs w:val="21"/>
        </w:rPr>
        <w:t xml:space="preserve"> Avoid jargon and abbreviations. Where a technical term is needed, explain it the first time.</w:t>
      </w:r>
    </w:p>
    <w:p>
      <w:pPr>
        <w:pStyle w:val="ListParagraph"/>
        <w:numPr>
          <w:ilvl w:val="0"/>
          <w:numId w:val="2"/>
        </w:numPr>
        <w:spacing w:after="80" w:line="290"/>
      </w:pPr>
      <w:r>
        <w:rPr>
          <w:rFonts w:ascii="Arial" w:cs="Arial" w:eastAsia="Arial" w:hAnsi="Arial"/>
          <w:b/>
          <w:bCs/>
          <w:color w:val="3A3A3A"/>
          <w:sz w:val="21"/>
          <w:szCs w:val="21"/>
        </w:rPr>
        <w:t xml:space="preserve">Explain the why.</w:t>
      </w:r>
      <w:r>
        <w:rPr>
          <w:rFonts w:ascii="Arial" w:cs="Arial" w:eastAsia="Arial" w:hAnsi="Arial"/>
          <w:color w:val="3A3A3A"/>
          <w:sz w:val="21"/>
          <w:szCs w:val="21"/>
        </w:rPr>
        <w:t xml:space="preserve"> People follow a rule when they understand the reason for it.</w:t>
      </w:r>
    </w:p>
    <w:p>
      <w:pPr>
        <w:pStyle w:val="ListParagraph"/>
        <w:numPr>
          <w:ilvl w:val="0"/>
          <w:numId w:val="2"/>
        </w:numPr>
        <w:spacing w:after="80" w:line="290"/>
      </w:pPr>
      <w:r>
        <w:rPr>
          <w:rFonts w:ascii="Arial" w:cs="Arial" w:eastAsia="Arial" w:hAnsi="Arial"/>
          <w:b/>
          <w:bCs/>
          <w:color w:val="3A3A3A"/>
          <w:sz w:val="21"/>
          <w:szCs w:val="21"/>
        </w:rPr>
        <w:t xml:space="preserve">Keep it short.</w:t>
      </w:r>
      <w:r>
        <w:rPr>
          <w:rFonts w:ascii="Arial" w:cs="Arial" w:eastAsia="Arial" w:hAnsi="Arial"/>
          <w:color w:val="3A3A3A"/>
          <w:sz w:val="21"/>
          <w:szCs w:val="21"/>
        </w:rPr>
        <w:t xml:space="preserve"> One idea per sentence. Use headings, bullet points and marked-up drawings.</w:t>
      </w:r>
    </w:p>
    <w:p>
      <w:pPr>
        <w:pStyle w:val="ListParagraph"/>
        <w:numPr>
          <w:ilvl w:val="0"/>
          <w:numId w:val="2"/>
        </w:numPr>
        <w:spacing w:after="80" w:line="290"/>
      </w:pPr>
      <w:r>
        <w:rPr>
          <w:rFonts w:ascii="Arial" w:cs="Arial" w:eastAsia="Arial" w:hAnsi="Arial"/>
          <w:b/>
          <w:bCs/>
          <w:color w:val="3A3A3A"/>
          <w:sz w:val="21"/>
          <w:szCs w:val="21"/>
        </w:rPr>
        <w:t xml:space="preserve">Check understanding.</w:t>
      </w:r>
      <w:r>
        <w:rPr>
          <w:rFonts w:ascii="Arial" w:cs="Arial" w:eastAsia="Arial" w:hAnsi="Arial"/>
          <w:color w:val="3A3A3A"/>
          <w:sz w:val="21"/>
          <w:szCs w:val="21"/>
        </w:rPr>
        <w:t xml:space="preserve"> Ask the person to tell us back what they will do, rather than asking “is that clear?”.</w:t>
      </w:r>
    </w:p>
    <w:p>
      <w:pPr>
        <w:pStyle w:val="ListParagraph"/>
        <w:numPr>
          <w:ilvl w:val="0"/>
          <w:numId w:val="2"/>
        </w:numPr>
        <w:spacing w:after="80" w:line="290"/>
      </w:pPr>
      <w:r>
        <w:rPr>
          <w:rFonts w:ascii="Arial" w:cs="Arial" w:eastAsia="Arial" w:hAnsi="Arial"/>
          <w:b/>
          <w:bCs/>
          <w:color w:val="3A3A3A"/>
          <w:sz w:val="21"/>
          <w:szCs w:val="21"/>
        </w:rPr>
        <w:t xml:space="preserve">Put it in writing.</w:t>
      </w:r>
      <w:r>
        <w:rPr>
          <w:rFonts w:ascii="Arial" w:cs="Arial" w:eastAsia="Arial" w:hAnsi="Arial"/>
          <w:color w:val="3A3A3A"/>
          <w:sz w:val="21"/>
          <w:szCs w:val="21"/>
        </w:rPr>
        <w:t xml:space="preserve"> Anything said in a meeting or on site that affects safety is confirmed by email.</w:t>
      </w:r>
    </w:p>
    <w:p>
      <w:pPr>
        <w:pStyle w:val="Heading2"/>
        <w:keepNext/>
        <w:spacing w:after="100" w:before="220"/>
      </w:pPr>
      <w:r>
        <w:rPr>
          <w:rFonts w:ascii="Arial" w:cs="Arial" w:eastAsia="Arial" w:hAnsi="Arial"/>
          <w:b/>
          <w:bCs/>
          <w:color w:val="2E4A5C"/>
          <w:sz w:val="22"/>
          <w:szCs w:val="22"/>
        </w:rPr>
        <w:t xml:space="preserve">Examples</w:t>
      </w:r>
    </w:p>
    <w:p>
      <w:pPr>
        <w:spacing w:after="140" w:line="300"/>
      </w:pPr>
      <w:r>
        <w:rPr>
          <w:rFonts w:ascii="Arial" w:cs="Arial" w:eastAsia="Arial" w:hAnsi="Arial"/>
          <w:color w:val="3A3A3A"/>
          <w:sz w:val="21"/>
          <w:szCs w:val="21"/>
        </w:rPr>
        <w:t xml:space="preserve">These examples show how ⟦short⟧ turns a technical point into plain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Technical</w:t>
            </w:r>
          </w:p>
        </w:tc>
        <w:tc>
          <w:tcPr>
            <w:tcW w:type="dxa" w:w="451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Plain language</w:t>
            </w:r>
          </w:p>
        </w:tc>
      </w:tr>
      <w:tr>
        <w:trPr>
          <w:tblHeader w:val="false"/>
        </w:trPr>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
            <w:r>
              <w:rPr>
                <w:rFonts w:ascii="Arial" w:cs="Arial" w:eastAsia="Arial" w:hAnsi="Arial"/>
                <w:color w:val="3A3A3A"/>
                <w:sz w:val="21"/>
                <w:szCs w:val="21"/>
                <w:highlight w:val="yellow"/>
              </w:rPr>
              <w:t xml:space="preserve">Maglocks on the final exit are fail-safe and released by a monitored fire alarm interface to BS 7273-4.</w:t>
            </w:r>
            <w:commentRangeEnd w:id="1"/>
            <w:r>
              <w:commentReference w:id="1"/>
            </w:r>
          </w:p>
        </w:tc>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The electric locks on the exit doors open automatically as soon as the fire alarm goes off, or if the power fails, so nobody can be locked in.</w:t>
            </w:r>
          </w:p>
        </w:tc>
      </w:tr>
      <w:tr>
        <w:trPr>
          <w:tblHeader w:val="false"/>
        </w:trPr>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Containment penetrations through compartment walls must be fire-stopped to maintain the fire resistance period.</w:t>
            </w:r>
          </w:p>
        </w:tc>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Where cables pass through a fire wall, the hole must be sealed with fire-rated material. Otherwise smoke and fire can spread through the gap.</w:t>
            </w:r>
          </w:p>
        </w:tc>
      </w:tr>
      <w:tr>
        <w:trPr>
          <w:tblHeader w:val="false"/>
        </w:trPr>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The client must ensure the PD and PC are appointed under Part 2A and that sufficient time and resource is allocated.</w:t>
            </w:r>
          </w:p>
        </w:tc>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As the client, the law says you must appoint people to lead the design and the build safely, and give them enough time and money to do it. Here is what that means for this project.</w:t>
            </w:r>
          </w:p>
        </w:tc>
      </w:tr>
      <w:tr>
        <w:trPr>
          <w:tblHeader w:val="false"/>
        </w:trPr>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Door hold-open devices are to be linked to the fire alarm to release on activation.</w:t>
            </w:r>
          </w:p>
        </w:tc>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These magnets hold the fire doors open day to day. When the fire alarm sounds they let go, so the doors close and hold back smoke. Do not prop the doors open with anything else.</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4: MAKING INFORMATION ACCESSIBLE</w:t>
      </w:r>
    </w:p>
    <w:p>
      <w:pPr>
        <w:pStyle w:val="ListParagraph"/>
        <w:numPr>
          <w:ilvl w:val="0"/>
          <w:numId w:val="2"/>
        </w:numPr>
        <w:spacing w:after="80" w:line="290"/>
      </w:pPr>
      <w:r>
        <w:rPr>
          <w:rFonts w:ascii="Arial" w:cs="Arial" w:eastAsia="Arial" w:hAnsi="Arial"/>
          <w:color w:val="3A3A3A"/>
          <w:sz w:val="21"/>
          <w:szCs w:val="21"/>
        </w:rPr>
        <w:t xml:space="preserve">We ask clients at the start whether anyone receiving information has particular needs, such as large print, a different language or an easy-read version, and provide it in that format.</w:t>
      </w:r>
    </w:p>
    <w:p>
      <w:pPr>
        <w:pStyle w:val="ListParagraph"/>
        <w:numPr>
          <w:ilvl w:val="0"/>
          <w:numId w:val="2"/>
        </w:numPr>
        <w:spacing w:after="80" w:line="290"/>
      </w:pPr>
      <w:r>
        <w:rPr>
          <w:rFonts w:ascii="Arial" w:cs="Arial" w:eastAsia="Arial" w:hAnsi="Arial"/>
          <w:color w:val="3A3A3A"/>
          <w:sz w:val="21"/>
          <w:szCs w:val="21"/>
        </w:rPr>
        <w:t xml:space="preserve">We use marked-up drawings and photographs, which are easier to follow than text alone.</w:t>
      </w:r>
    </w:p>
    <w:p>
      <w:pPr>
        <w:pStyle w:val="ListParagraph"/>
        <w:numPr>
          <w:ilvl w:val="0"/>
          <w:numId w:val="2"/>
        </w:numPr>
        <w:spacing w:after="80" w:line="290"/>
      </w:pPr>
      <w:r>
        <w:rPr>
          <w:rFonts w:ascii="Arial" w:cs="Arial" w:eastAsia="Arial" w:hAnsi="Arial"/>
          <w:color w:val="3A3A3A"/>
          <w:sz w:val="21"/>
          <w:szCs w:val="21"/>
        </w:rPr>
        <w:t xml:space="preserve">At handover we demonstrate the system in person and leave a short, plain-language user guide alongside the full operation and maintenance manual.</w:t>
      </w:r>
    </w:p>
    <w:p>
      <w:pPr>
        <w:pStyle w:val="ListParagraph"/>
        <w:numPr>
          <w:ilvl w:val="0"/>
          <w:numId w:val="2"/>
        </w:numPr>
        <w:spacing w:after="80" w:line="290"/>
      </w:pPr>
      <w:r>
        <w:rPr>
          <w:rFonts w:ascii="Arial" w:cs="Arial" w:eastAsia="Arial" w:hAnsi="Arial"/>
          <w:color w:val="3A3A3A"/>
          <w:sz w:val="21"/>
          <w:szCs w:val="21"/>
        </w:rPr>
        <w:t xml:space="preserve">Information for residents is written so it can be passed on by the client or accountable person without change.</w:t>
      </w:r>
    </w:p>
    <w:p>
      <w:pPr>
        <w:pStyle w:val="Heading1"/>
        <w:pBdr>
          <w:bottom w:val="single" w:color="9A9A9A" w:sz="4" w:space="4"/>
        </w:pBdr>
        <w:spacing w:after="160" w:before="360"/>
      </w:pPr>
      <w:r>
        <w:rPr>
          <w:rFonts w:ascii="Arial" w:cs="Arial" w:eastAsia="Arial" w:hAnsi="Arial"/>
          <w:b/>
          <w:bCs/>
          <w:color w:val="2E4A5C"/>
          <w:sz w:val="24"/>
          <w:szCs w:val="24"/>
        </w:rPr>
        <w:t xml:space="preserve">SECTION 5: TELLING CLIENTS ABOUT THEIR DUTIES</w:t>
      </w:r>
    </w:p>
    <w:p>
      <w:pPr>
        <w:spacing w:after="140" w:line="300"/>
      </w:pPr>
      <w:r>
        <w:rPr>
          <w:rFonts w:ascii="Arial" w:cs="Arial" w:eastAsia="Arial" w:hAnsi="Arial"/>
          <w:color w:val="3A3A3A"/>
          <w:sz w:val="21"/>
          <w:szCs w:val="21"/>
        </w:rPr>
        <w:t xml:space="preserve">Before starting any design work, ⟦short⟧ must be satisfied that the client knows their duties under regulation 9(1) of CDM 2015 and Part 2A of the Building Regulations 2010. We do this as follows:</w:t>
      </w:r>
    </w:p>
    <w:p>
      <w:pPr>
        <w:pStyle w:val="ListParagraph"/>
        <w:numPr>
          <w:ilvl w:val="0"/>
          <w:numId w:val="2"/>
        </w:numPr>
        <w:spacing w:after="80" w:line="290"/>
      </w:pPr>
      <w:r>
        <w:rPr>
          <w:rFonts w:ascii="Arial" w:cs="Arial" w:eastAsia="Arial" w:hAnsi="Arial"/>
          <w:color w:val="3A3A3A"/>
          <w:sz w:val="21"/>
          <w:szCs w:val="21"/>
        </w:rPr>
        <w:t xml:space="preserve">At appointment, the Managing Director issues the client duties letter, generated from ⟦short⟧'s project workflow system. It explains in plain language what the client must do under Part 2A of the Building Regulations and CDM 2015.</w:t>
      </w:r>
    </w:p>
    <w:p>
      <w:pPr>
        <w:pStyle w:val="ListParagraph"/>
        <w:numPr>
          <w:ilvl w:val="0"/>
          <w:numId w:val="2"/>
        </w:numPr>
        <w:spacing w:after="80" w:line="290"/>
      </w:pPr>
      <w:r>
        <w:rPr>
          <w:rFonts w:ascii="Arial" w:cs="Arial" w:eastAsia="Arial" w:hAnsi="Arial"/>
          <w:color w:val="3A3A3A"/>
          <w:sz w:val="21"/>
          <w:szCs w:val="21"/>
        </w:rPr>
        <w:t xml:space="preserve">The letter is followed by a short call or meeting to talk it through and answer questions.</w:t>
      </w:r>
    </w:p>
    <w:p>
      <w:pPr>
        <w:pStyle w:val="ListParagraph"/>
        <w:numPr>
          <w:ilvl w:val="0"/>
          <w:numId w:val="2"/>
        </w:numPr>
        <w:spacing w:after="80" w:line="290"/>
      </w:pPr>
      <w:r>
        <w:rPr>
          <w:rFonts w:ascii="Arial" w:cs="Arial" w:eastAsia="Arial" w:hAnsi="Arial"/>
          <w:color w:val="3A3A3A"/>
          <w:sz w:val="21"/>
          <w:szCs w:val="21"/>
        </w:rPr>
        <w:t xml:space="preserve">We ask the client to confirm receipt. The letter and confirmation are saved in the project file.</w:t>
      </w:r>
    </w:p>
    <w:p>
      <w:pPr>
        <w:pStyle w:val="ListParagraph"/>
        <w:numPr>
          <w:ilvl w:val="0"/>
          <w:numId w:val="2"/>
        </w:numPr>
        <w:spacing w:after="80" w:line="290"/>
      </w:pPr>
      <w:r>
        <w:rPr>
          <w:rFonts w:ascii="Arial" w:cs="Arial" w:eastAsia="Arial" w:hAnsi="Arial"/>
          <w:color w:val="3A3A3A"/>
          <w:sz w:val="21"/>
          <w:szCs w:val="21"/>
        </w:rPr>
        <w:t xml:space="preserve">Where the client is unsure or has not made the required appointments, we tell them in writing what is missing before we go further.</w:t>
      </w:r>
    </w:p>
    <w:p>
      <w:pPr>
        <w:spacing w:after="140" w:line="300"/>
      </w:pPr>
      <w:r>
        <w:rPr>
          <w:rFonts w:ascii="Arial" w:cs="Arial" w:eastAsia="Arial" w:hAnsi="Arial"/>
          <w:color w:val="3A3A3A"/>
          <w:sz w:val="21"/>
          <w:szCs w:val="21"/>
          <w:highlight w:val="yellow"/>
          <w:highlightCs w:val="yellow"/>
        </w:rPr>
        <w:t xml:space="preserve">Example letter on file: insert project name and date of a 2026 client duties letter.</w:t>
      </w:r>
    </w:p>
    <w:p>
      <w:pPr>
        <w:pStyle w:val="Heading1"/>
        <w:pBdr>
          <w:bottom w:val="single" w:color="9A9A9A" w:sz="4" w:space="4"/>
        </w:pBdr>
        <w:spacing w:after="160" w:before="360"/>
      </w:pPr>
      <w:r>
        <w:rPr>
          <w:rFonts w:ascii="Arial" w:cs="Arial" w:eastAsia="Arial" w:hAnsi="Arial"/>
          <w:b/>
          <w:bCs/>
          <w:color w:val="2E4A5C"/>
          <w:sz w:val="24"/>
          <w:szCs w:val="24"/>
        </w:rPr>
        <w:t xml:space="preserve">SECTION 6: COOPERATING WITH THE PROJECT TEAM</w:t>
      </w:r>
    </w:p>
    <w:p>
      <w:pPr>
        <w:pStyle w:val="ListParagraph"/>
        <w:numPr>
          <w:ilvl w:val="0"/>
          <w:numId w:val="2"/>
        </w:numPr>
        <w:spacing w:after="80" w:line="290"/>
      </w:pPr>
      <w:r>
        <w:rPr>
          <w:rFonts w:ascii="Arial" w:cs="Arial" w:eastAsia="Arial" w:hAnsi="Arial"/>
          <w:color w:val="3A3A3A"/>
          <w:sz w:val="21"/>
          <w:szCs w:val="21"/>
        </w:rPr>
        <w:t xml:space="preserve">We share design information early with the principal designer and other designers, especially where our systems interface with the fire alarm, doors, electrical supply or structure.</w:t>
      </w:r>
    </w:p>
    <w:p>
      <w:pPr>
        <w:pStyle w:val="ListParagraph"/>
        <w:numPr>
          <w:ilvl w:val="0"/>
          <w:numId w:val="2"/>
        </w:numPr>
        <w:spacing w:after="80" w:line="290"/>
      </w:pPr>
      <w:r>
        <w:rPr>
          <w:rFonts w:ascii="Arial" w:cs="Arial" w:eastAsia="Arial" w:hAnsi="Arial"/>
          <w:color w:val="3A3A3A"/>
          <w:sz w:val="21"/>
          <w:szCs w:val="21"/>
        </w:rPr>
        <w:t xml:space="preserve">We attend design team meetings when asked, or provide written comments where we cannot attend.</w:t>
      </w:r>
    </w:p>
    <w:p>
      <w:pPr>
        <w:pStyle w:val="ListParagraph"/>
        <w:numPr>
          <w:ilvl w:val="0"/>
          <w:numId w:val="2"/>
        </w:numPr>
        <w:spacing w:after="80" w:line="290"/>
      </w:pPr>
      <w:r>
        <w:rPr>
          <w:rFonts w:ascii="Arial" w:cs="Arial" w:eastAsia="Arial" w:hAnsi="Arial"/>
          <w:color w:val="3A3A3A"/>
          <w:sz w:val="21"/>
          <w:szCs w:val="21"/>
        </w:rPr>
        <w:t xml:space="preserve">We tell the principal designer about any risk we could not design out, in plain terms, on drawings and in the design risk register.</w:t>
      </w:r>
    </w:p>
    <w:p>
      <w:pPr>
        <w:pStyle w:val="ListParagraph"/>
        <w:numPr>
          <w:ilvl w:val="0"/>
          <w:numId w:val="2"/>
        </w:numPr>
        <w:spacing w:after="80" w:line="290"/>
      </w:pPr>
      <w:r>
        <w:rPr>
          <w:rFonts w:ascii="Arial" w:cs="Arial" w:eastAsia="Arial" w:hAnsi="Arial"/>
          <w:color w:val="3A3A3A"/>
          <w:sz w:val="21"/>
          <w:szCs w:val="21"/>
        </w:rPr>
        <w:t xml:space="preserve">We respond to requests for information promptly and keep a record of what was issued, to whom and when.</w:t>
      </w:r>
    </w:p>
    <w:p>
      <w:pPr>
        <w:pStyle w:val="ListParagraph"/>
        <w:numPr>
          <w:ilvl w:val="0"/>
          <w:numId w:val="2"/>
        </w:numPr>
        <w:spacing w:after="80" w:line="290"/>
      </w:pPr>
      <w:r>
        <w:rPr>
          <w:rFonts w:ascii="Arial" w:cs="Arial" w:eastAsia="Arial" w:hAnsi="Arial"/>
          <w:color w:val="3A3A3A"/>
          <w:sz w:val="21"/>
          <w:szCs w:val="21"/>
        </w:rPr>
        <w:t xml:space="preserve">We raise concerns about anyone else's design or work under our Building Safety Defect and Occurrence Reporting Policy.</w:t>
      </w:r>
    </w:p>
    <w:p>
      <w:pPr>
        <w:pStyle w:val="Heading1"/>
        <w:pBdr>
          <w:bottom w:val="single" w:color="9A9A9A" w:sz="4" w:space="4"/>
        </w:pBdr>
        <w:spacing w:after="160" w:before="360"/>
      </w:pPr>
      <w:r>
        <w:rPr>
          <w:rFonts w:ascii="Arial" w:cs="Arial" w:eastAsia="Arial" w:hAnsi="Arial"/>
          <w:b/>
          <w:bCs/>
          <w:color w:val="2E4A5C"/>
          <w:sz w:val="24"/>
          <w:szCs w:val="24"/>
        </w:rPr>
        <w:t xml:space="preserve">SECTION 7: MONITORING</w:t>
      </w:r>
    </w:p>
    <w:p>
      <w:pPr>
        <w:spacing w:after="140" w:line="300"/>
      </w:pPr>
      <w:r>
        <w:rPr>
          <w:rFonts w:ascii="Arial" w:cs="Arial" w:eastAsia="Arial" w:hAnsi="Arial"/>
          <w:color w:val="3A3A3A"/>
          <w:sz w:val="21"/>
          <w:szCs w:val="21"/>
        </w:rPr>
        <w:t xml:space="preserve">The Managing Director checks a sample of client and project communications each year as part of the CDM designer audit, and looks at any feedback or complaints about how clearly we explained things. Lessons are fed back into this policy.</w:t>
      </w:r>
    </w:p>
    <w:p>
      <w:pPr>
        <w:pStyle w:val="Heading1"/>
        <w:pBdr>
          <w:bottom w:val="single" w:color="9A9A9A" w:sz="4" w:space="4"/>
        </w:pBdr>
        <w:spacing w:after="160" w:before="360"/>
      </w:pPr>
      <w:r>
        <w:rPr>
          <w:rFonts w:ascii="Arial" w:cs="Arial" w:eastAsia="Arial" w:hAnsi="Arial"/>
          <w:b/>
          <w:bCs/>
          <w:color w:val="2E4A5C"/>
          <w:sz w:val="24"/>
          <w:szCs w:val="24"/>
        </w:rPr>
        <w:t xml:space="preserve">SECTION 8: LEGISLATION AND GUIDANCE</w:t>
      </w:r>
    </w:p>
    <w:p>
      <w:pPr>
        <w:pStyle w:val="ListParagraph"/>
        <w:numPr>
          <w:ilvl w:val="0"/>
          <w:numId w:val="2"/>
        </w:numPr>
        <w:spacing w:after="80" w:line="290"/>
      </w:pPr>
      <w:r>
        <w:rPr>
          <w:rFonts w:ascii="Arial" w:cs="Arial" w:eastAsia="Arial" w:hAnsi="Arial"/>
          <w:color w:val="3A3A3A"/>
          <w:sz w:val="21"/>
          <w:szCs w:val="21"/>
        </w:rPr>
        <w:t xml:space="preserve">Building Safety Act 2022</w:t>
      </w:r>
    </w:p>
    <w:p>
      <w:pPr>
        <w:pStyle w:val="ListParagraph"/>
        <w:numPr>
          <w:ilvl w:val="0"/>
          <w:numId w:val="2"/>
        </w:numPr>
        <w:spacing w:after="80" w:line="290"/>
      </w:pPr>
      <w:r>
        <w:rPr>
          <w:rFonts w:ascii="Arial" w:cs="Arial" w:eastAsia="Arial" w:hAnsi="Arial"/>
          <w:color w:val="3A3A3A"/>
          <w:sz w:val="21"/>
          <w:szCs w:val="21"/>
        </w:rPr>
        <w:t xml:space="preserve">The Building Regulations 2010, Part 2A</w:t>
      </w:r>
    </w:p>
    <w:p>
      <w:pPr>
        <w:pStyle w:val="ListParagraph"/>
        <w:numPr>
          <w:ilvl w:val="0"/>
          <w:numId w:val="2"/>
        </w:numPr>
        <w:spacing w:after="80" w:line="290"/>
      </w:pPr>
      <w:r>
        <w:rPr>
          <w:rFonts w:ascii="Arial" w:cs="Arial" w:eastAsia="Arial" w:hAnsi="Arial"/>
          <w:color w:val="3A3A3A"/>
          <w:sz w:val="21"/>
          <w:szCs w:val="21"/>
        </w:rPr>
        <w:t xml:space="preserve">The Construction (Design and Management) Regulations 2015</w:t>
      </w:r>
    </w:p>
    <w:p>
      <w:pPr>
        <w:pStyle w:val="ListParagraph"/>
        <w:numPr>
          <w:ilvl w:val="0"/>
          <w:numId w:val="2"/>
        </w:numPr>
        <w:spacing w:after="80" w:line="290"/>
      </w:pPr>
      <w:r>
        <w:rPr>
          <w:rFonts w:ascii="Arial" w:cs="Arial" w:eastAsia="Arial" w:hAnsi="Arial"/>
          <w:color w:val="3A3A3A"/>
          <w:sz w:val="21"/>
          <w:szCs w:val="21"/>
        </w:rPr>
        <w:t xml:space="preserve">Equality Act 2010 (accessible information)</w:t>
      </w:r>
    </w:p>
    <w:p>
      <w:pPr>
        <w:pStyle w:val="ListParagraph"/>
        <w:numPr>
          <w:ilvl w:val="0"/>
          <w:numId w:val="2"/>
        </w:numPr>
        <w:spacing w:after="80" w:line="290"/>
      </w:pPr>
      <w:r>
        <w:rPr>
          <w:rFonts w:ascii="Arial" w:cs="Arial" w:eastAsia="Arial" w:hAnsi="Arial"/>
          <w:color w:val="3A3A3A"/>
          <w:sz w:val="21"/>
          <w:szCs w:val="21"/>
        </w:rPr>
        <w:t xml:space="preserve">Plain English Campaign guidance</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APPROVAL AND VERSION CONTROL</w:t>
      </w:r>
    </w:p>
    <w:p>
      <w:pPr>
        <w:spacing w:after="140" w:line="300"/>
      </w:pPr>
      <w:r>
        <w:rPr>
          <w:rFonts w:ascii="Arial" w:cs="Arial" w:eastAsia="Arial" w:hAnsi="Arial"/>
          <w:color w:val="3A3A3A"/>
          <w:sz w:val="21"/>
          <w:szCs w:val="21"/>
        </w:rPr>
        <w:t xml:space="preserve">Approved by the Managing Director and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2025</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Stakeholder Engagement Policy issued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2.0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Rewritten as the Building Safety Communication Policy. Plain language principles, worked examples, accessible formats and the client duties letter process added.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Building Safety Communication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Building Safety Communication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